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3CE8" w14:textId="77777777" w:rsidR="00366D9B" w:rsidRPr="00203060" w:rsidRDefault="00366D9B" w:rsidP="00366D9B">
      <w:pPr>
        <w:shd w:val="clear" w:color="auto" w:fill="FFFFFF"/>
        <w:spacing w:before="240" w:after="120" w:line="240" w:lineRule="auto"/>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III PIELIKUMS</w:t>
      </w:r>
    </w:p>
    <w:p w14:paraId="267A4B40" w14:textId="77777777" w:rsidR="00366D9B" w:rsidRPr="00203060" w:rsidRDefault="00366D9B" w:rsidP="00366D9B">
      <w:pPr>
        <w:shd w:val="clear" w:color="auto" w:fill="FFFFFF"/>
        <w:spacing w:before="240" w:after="120" w:line="240" w:lineRule="auto"/>
        <w:jc w:val="both"/>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VEIDNE INFORMĀCIJAS ATKLĀŠANAI PAR IESPĒJU ĪSTENOŠANU SASKAŅĀ AR DIREKTĪVAS 2009/138/EK 31. PANTA 2. PUNKTA D) APAKŠPUNKTU</w:t>
      </w:r>
    </w:p>
    <w:tbl>
      <w:tblPr>
        <w:tblW w:w="5253" w:type="pct"/>
        <w:tblCellSpacing w:w="0"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458"/>
        <w:gridCol w:w="1669"/>
        <w:gridCol w:w="2290"/>
        <w:gridCol w:w="1528"/>
        <w:gridCol w:w="1411"/>
        <w:gridCol w:w="1833"/>
        <w:gridCol w:w="2260"/>
        <w:gridCol w:w="2190"/>
      </w:tblGrid>
      <w:tr w:rsidR="00E81189" w:rsidRPr="00203060" w14:paraId="7EBE79F1"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CA5AE37" w14:textId="77777777" w:rsidR="00366D9B" w:rsidRPr="00203060" w:rsidRDefault="00366D9B" w:rsidP="00366D9B">
            <w:pPr>
              <w:spacing w:before="60" w:after="60" w:line="240" w:lineRule="auto"/>
              <w:ind w:right="195"/>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Direktīvas 2009/138/EK pants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B195743" w14:textId="77777777" w:rsidR="00366D9B" w:rsidRPr="00203060" w:rsidRDefault="00366D9B" w:rsidP="00366D9B">
            <w:pPr>
              <w:spacing w:before="60" w:after="60" w:line="240" w:lineRule="auto"/>
              <w:ind w:right="195"/>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Panta virsraksts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63572AA" w14:textId="77777777" w:rsidR="00366D9B" w:rsidRPr="00203060" w:rsidRDefault="00366D9B" w:rsidP="00366D9B">
            <w:pPr>
              <w:spacing w:before="60" w:after="60" w:line="240" w:lineRule="auto"/>
              <w:ind w:right="195"/>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Iespējas apraksts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B7CCEFB" w14:textId="77777777" w:rsidR="00366D9B" w:rsidRPr="00203060" w:rsidRDefault="00366D9B" w:rsidP="00366D9B">
            <w:pPr>
              <w:spacing w:before="60" w:after="60" w:line="240" w:lineRule="auto"/>
              <w:ind w:right="195"/>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Iespējas izmantošana JĀ/NĒ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E1D4A40" w14:textId="77777777" w:rsidR="00366D9B" w:rsidRPr="00203060" w:rsidRDefault="00366D9B" w:rsidP="00A329A9">
            <w:pPr>
              <w:spacing w:before="60" w:after="60" w:line="240" w:lineRule="auto"/>
              <w:ind w:right="195"/>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Izmantotais valsts juridiskais instruments L /R / A</w:t>
            </w:r>
            <w:r w:rsidR="00A329A9" w:rsidRPr="00203060">
              <w:rPr>
                <w:rFonts w:ascii="Times New Roman" w:eastAsia="Times New Roman" w:hAnsi="Times New Roman" w:cs="Times New Roman"/>
                <w:b/>
                <w:bCs/>
                <w:color w:val="000000"/>
                <w:sz w:val="20"/>
                <w:szCs w:val="20"/>
                <w:vertAlign w:val="superscript"/>
                <w:lang w:val="lv-LV"/>
              </w:rPr>
              <w:t>(1)</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4B655A3" w14:textId="77777777" w:rsidR="00366D9B" w:rsidRPr="00203060" w:rsidRDefault="00366D9B" w:rsidP="00366D9B">
            <w:pPr>
              <w:spacing w:before="60" w:after="60" w:line="240" w:lineRule="auto"/>
              <w:ind w:right="195"/>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Atsauce uz pantu valsts tiesību aktā</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20026A2" w14:textId="77777777" w:rsidR="00366D9B" w:rsidRPr="00203060" w:rsidRDefault="00366D9B" w:rsidP="00366D9B">
            <w:pPr>
              <w:spacing w:before="60" w:after="60" w:line="240" w:lineRule="auto"/>
              <w:ind w:right="195"/>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Valsts tiesību akta teksts vai saite uz to</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AD6D537" w14:textId="77777777" w:rsidR="00366D9B" w:rsidRPr="00203060" w:rsidRDefault="00366D9B" w:rsidP="00366D9B">
            <w:pPr>
              <w:spacing w:before="60" w:after="60" w:line="240" w:lineRule="auto"/>
              <w:ind w:right="195"/>
              <w:jc w:val="center"/>
              <w:rPr>
                <w:rFonts w:ascii="Times New Roman" w:eastAsia="Times New Roman" w:hAnsi="Times New Roman" w:cs="Times New Roman"/>
                <w:b/>
                <w:bCs/>
                <w:color w:val="000000"/>
                <w:sz w:val="20"/>
                <w:szCs w:val="20"/>
                <w:lang w:val="lv-LV"/>
              </w:rPr>
            </w:pPr>
            <w:r w:rsidRPr="00203060">
              <w:rPr>
                <w:rFonts w:ascii="Times New Roman" w:eastAsia="Times New Roman" w:hAnsi="Times New Roman" w:cs="Times New Roman"/>
                <w:b/>
                <w:bCs/>
                <w:color w:val="000000"/>
                <w:sz w:val="20"/>
                <w:szCs w:val="20"/>
                <w:lang w:val="lv-LV"/>
              </w:rPr>
              <w:t>Valsts tiesību akta teksts vai saite uz to, ja ir pieejams citā valodā</w:t>
            </w:r>
          </w:p>
        </w:tc>
      </w:tr>
      <w:tr w:rsidR="00E81189" w:rsidRPr="00203060" w14:paraId="1303E11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C59170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13. panta 27.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0D5206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Definīcijas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B49574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Attiecībā uz lielu risku definīciju iespēja papildināt to risku kategoriju, kas klasificēti saskaņā ar I pielikuma A daļas 3., 8., 9., 10., 13. un 16. nedzīvības apdrošināšanas veidu, ar riskiem, pret kuriem apdrošinās profesionālās apvienības, kopuzņēmumi vai pagaidu grupējumi</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7A51CC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44EA35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7DD034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4D4210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904AA3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5A721ECE"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6E0188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15. panta 2. punkta trešā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E19208C"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Licencēšanas joma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502753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piešķirt licenci darbībai divos vai vairākos tiešās apdrošināšanas veidos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A57E7C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96439A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5048C8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A8F7D6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DCB471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5D838C1A"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714B78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15. panta 3. punkta pirmā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0D2799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Licencēšanas joma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58F2F6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piešķirt licenci nedzīvības apdrošināšanai to apdrošināšanas veidu grupām, kas uzskaitīti I pielikuma B daļā</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11A804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0B8C37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B2EAC1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88D4A6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F6CD71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592CE9FD"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AA2B4F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17. panta 2.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F0604D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sabiedrības juridiskā forma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4F43EB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Iespēja izveidot sabiedrības saskaņā ar jebkuru publisko tiesību formu ar noteikumu, ka to mērķis ir veikt apdrošināšanas vai pārapdrošināšanas darījumus saskaņā ar nosacījumiem, kas ir līdzvērtīgi nosacījumiem, </w:t>
            </w:r>
            <w:r w:rsidRPr="00203060">
              <w:rPr>
                <w:rFonts w:ascii="Times New Roman" w:eastAsia="Times New Roman" w:hAnsi="Times New Roman" w:cs="Times New Roman"/>
                <w:color w:val="000000"/>
                <w:sz w:val="20"/>
                <w:szCs w:val="20"/>
                <w:lang w:val="lv-LV"/>
              </w:rPr>
              <w:lastRenderedPageBreak/>
              <w:t>saskaņā ar kuriem darbojas sabiedrības, ko reglamentē privāttiesības.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915C19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 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2B003D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590F88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599F75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EB3220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76330487"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B19766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21. panta 1.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ADF87E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Polišu noteikumi un prēmiju lielumi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C6CD3B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Iespēja pieprasīt dzīvības apdrošināšanā regulārus ziņojumus par to, kāda metode tiek izmantota prēmiju un tehnisko rezervju apjoma aprēķināšanai nolūkā pārbaudīt, vai ievēroti </w:t>
            </w:r>
            <w:proofErr w:type="spellStart"/>
            <w:r w:rsidRPr="00203060">
              <w:rPr>
                <w:rFonts w:ascii="Times New Roman" w:eastAsia="Times New Roman" w:hAnsi="Times New Roman" w:cs="Times New Roman"/>
                <w:color w:val="000000"/>
                <w:sz w:val="20"/>
                <w:szCs w:val="20"/>
                <w:lang w:val="lv-LV"/>
              </w:rPr>
              <w:t>aktuārprincipi</w:t>
            </w:r>
            <w:proofErr w:type="spellEnd"/>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6034C4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216F3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791309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8027FB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2EADF1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77DF52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r>
      <w:tr w:rsidR="00E81189" w:rsidRPr="00203060" w14:paraId="4E49B5A3"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E4198B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21. panta 3.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58B9CA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Polišu noteikumi un prēmiju lielumi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804E6F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noteikt, ka sabiedrībām, kas vēlas iegūt vai ir ieguvušas licenci sniegtā atbalsta darbībām, tiek pārbaudīti to personāla un aprīkojuma avoti</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F1E669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216F3C"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C52207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216F3C"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5B47A3B" w14:textId="77777777" w:rsidR="00366D9B" w:rsidRPr="00203060" w:rsidRDefault="006628F1" w:rsidP="00216F3C">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likums</w:t>
            </w:r>
            <w:r w:rsidR="00216F3C" w:rsidRPr="00203060">
              <w:rPr>
                <w:rFonts w:ascii="Times New Roman" w:eastAsia="Times New Roman" w:hAnsi="Times New Roman" w:cs="Times New Roman"/>
                <w:color w:val="000000"/>
                <w:sz w:val="20"/>
                <w:szCs w:val="20"/>
                <w:lang w:val="lv-LV"/>
              </w:rPr>
              <w:t xml:space="preserve"> 22. panta trešā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17C1ECCC" w14:textId="6B9E405E" w:rsidR="00366D9B" w:rsidRPr="00654A53"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654A53">
              <w:rPr>
                <w:rFonts w:ascii="Times New Roman" w:eastAsia="Times New Roman" w:hAnsi="Times New Roman" w:cs="Times New Roman"/>
                <w:color w:val="000000"/>
                <w:sz w:val="20"/>
                <w:szCs w:val="20"/>
              </w:rPr>
              <w:t> </w:t>
            </w:r>
            <w:r w:rsidR="00654A53" w:rsidRPr="00654A53">
              <w:rPr>
                <w:rFonts w:ascii="Times New Roman" w:eastAsia="Times New Roman" w:hAnsi="Times New Roman" w:cs="Times New Roman"/>
                <w:color w:val="000000"/>
                <w:sz w:val="20"/>
                <w:szCs w:val="20"/>
                <w:lang w:val="lv-LV"/>
              </w:rPr>
              <w:t>Apdrošināšanas sabiedrība, kura vēlas saņemt apdrošināšanas licenci palīdzības apdrošināšanai, iesniedz Latvijas Bankai informāciju par savā rīcībā esošajiem līdzekļiem un noslēgtajiem līgumiem, kas nodrošina palīdzības sniegšanu apdrošinātajam atbilstoši saistībām, kuras tā uzņēmusies šajā apdrošināšanas veidā.</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5A60CE7" w14:textId="42342A78"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00216F3C" w:rsidRPr="00203060">
              <w:rPr>
                <w:rFonts w:ascii="Times New Roman" w:eastAsia="Times New Roman" w:hAnsi="Times New Roman" w:cs="Times New Roman"/>
                <w:color w:val="000000"/>
                <w:sz w:val="20"/>
                <w:szCs w:val="20"/>
              </w:rPr>
              <w:t xml:space="preserve">The insurance company wishing to obtain a </w:t>
            </w:r>
            <w:proofErr w:type="spellStart"/>
            <w:r w:rsidR="00216F3C" w:rsidRPr="00203060">
              <w:rPr>
                <w:rFonts w:ascii="Times New Roman" w:eastAsia="Times New Roman" w:hAnsi="Times New Roman" w:cs="Times New Roman"/>
                <w:color w:val="000000"/>
                <w:sz w:val="20"/>
                <w:szCs w:val="20"/>
              </w:rPr>
              <w:t>licence</w:t>
            </w:r>
            <w:proofErr w:type="spellEnd"/>
            <w:r w:rsidR="00216F3C" w:rsidRPr="00203060">
              <w:rPr>
                <w:rFonts w:ascii="Times New Roman" w:eastAsia="Times New Roman" w:hAnsi="Times New Roman" w:cs="Times New Roman"/>
                <w:color w:val="000000"/>
                <w:sz w:val="20"/>
                <w:szCs w:val="20"/>
              </w:rPr>
              <w:t xml:space="preserve"> for assistance insurance shall submit information to </w:t>
            </w:r>
            <w:r w:rsidR="00654A53">
              <w:rPr>
                <w:rFonts w:ascii="Times New Roman" w:eastAsia="Times New Roman" w:hAnsi="Times New Roman" w:cs="Times New Roman"/>
                <w:color w:val="000000"/>
                <w:sz w:val="20"/>
                <w:szCs w:val="20"/>
              </w:rPr>
              <w:t>Latvijas Banka</w:t>
            </w:r>
            <w:r w:rsidR="00216F3C" w:rsidRPr="00203060">
              <w:rPr>
                <w:rFonts w:ascii="Times New Roman" w:eastAsia="Times New Roman" w:hAnsi="Times New Roman" w:cs="Times New Roman"/>
                <w:color w:val="000000"/>
                <w:sz w:val="20"/>
                <w:szCs w:val="20"/>
              </w:rPr>
              <w:t xml:space="preserve"> about the funds available at its disposal and about concluded contracts, which provide for the provision of assistance to the insured under the obligations assumed by it in this class of insurance.</w:t>
            </w:r>
          </w:p>
        </w:tc>
      </w:tr>
      <w:tr w:rsidR="00E81189" w:rsidRPr="00841FB1" w14:paraId="4E5A847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CC9FF2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21. panta 4.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C4DC225"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Polišu noteikumi un prēmiju lielumi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E1DFCF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likt apstiprināt statūtus un dibināšanas dokumentus, un citus dokumentus, kuri vajadzīgi normālai uzraudzībai</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F7DEBB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216F3C"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CC7B10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216F3C" w:rsidRPr="00203060">
              <w:rPr>
                <w:rFonts w:ascii="Times New Roman" w:eastAsia="Times New Roman" w:hAnsi="Times New Roman" w:cs="Times New Roman"/>
                <w:color w:val="000000"/>
                <w:sz w:val="20"/>
                <w:szCs w:val="20"/>
                <w:lang w:val="lv-LV"/>
              </w:rPr>
              <w:t>R</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3E03211" w14:textId="731386F8" w:rsidR="00366D9B" w:rsidRPr="00203060" w:rsidRDefault="006628F1"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Finanšu un kapitāla tirgus komisijas </w:t>
            </w:r>
            <w:r w:rsidR="005B5981" w:rsidRPr="005B5981">
              <w:rPr>
                <w:rFonts w:ascii="Times New Roman" w:eastAsia="Times New Roman" w:hAnsi="Times New Roman" w:cs="Times New Roman"/>
                <w:color w:val="000000"/>
                <w:sz w:val="20"/>
                <w:szCs w:val="20"/>
                <w:lang w:val="lv-LV"/>
              </w:rPr>
              <w:t>29.09.2020</w:t>
            </w:r>
            <w:r w:rsidRPr="00203060">
              <w:rPr>
                <w:rFonts w:ascii="Times New Roman" w:eastAsia="Times New Roman" w:hAnsi="Times New Roman" w:cs="Times New Roman"/>
                <w:color w:val="000000"/>
                <w:sz w:val="20"/>
                <w:szCs w:val="20"/>
                <w:lang w:val="lv-LV"/>
              </w:rPr>
              <w:t xml:space="preserve">. normatīvie noteikumi Nr. </w:t>
            </w:r>
            <w:r w:rsidR="005B5981">
              <w:rPr>
                <w:rFonts w:ascii="Times New Roman" w:eastAsia="Times New Roman" w:hAnsi="Times New Roman" w:cs="Times New Roman"/>
                <w:color w:val="000000"/>
                <w:sz w:val="20"/>
                <w:szCs w:val="20"/>
                <w:lang w:val="lv-LV"/>
              </w:rPr>
              <w:t>179</w:t>
            </w:r>
            <w:r w:rsidRPr="00203060">
              <w:rPr>
                <w:rFonts w:ascii="Times New Roman" w:eastAsia="Times New Roman" w:hAnsi="Times New Roman" w:cs="Times New Roman"/>
                <w:color w:val="000000"/>
                <w:sz w:val="20"/>
                <w:szCs w:val="20"/>
                <w:lang w:val="lv-LV"/>
              </w:rPr>
              <w:t xml:space="preserve"> "</w:t>
            </w:r>
            <w:r w:rsidR="005B5981" w:rsidRPr="005B5981">
              <w:rPr>
                <w:rFonts w:ascii="Times New Roman" w:eastAsia="Times New Roman" w:hAnsi="Times New Roman" w:cs="Times New Roman"/>
                <w:color w:val="000000"/>
                <w:sz w:val="20"/>
                <w:szCs w:val="20"/>
                <w:lang w:val="lv-LV"/>
              </w:rPr>
              <w:t xml:space="preserve">Kārtība, kādā iesniedzama informācija un dokumenti apdrošināšanas vai pārapdrošināšanas licenču, atsevišķu apdrošinātāju vai </w:t>
            </w:r>
            <w:proofErr w:type="spellStart"/>
            <w:r w:rsidR="005B5981" w:rsidRPr="005B5981">
              <w:rPr>
                <w:rFonts w:ascii="Times New Roman" w:eastAsia="Times New Roman" w:hAnsi="Times New Roman" w:cs="Times New Roman"/>
                <w:color w:val="000000"/>
                <w:sz w:val="20"/>
                <w:szCs w:val="20"/>
                <w:lang w:val="lv-LV"/>
              </w:rPr>
              <w:t>pārapdrošinātāju</w:t>
            </w:r>
            <w:proofErr w:type="spellEnd"/>
            <w:r w:rsidR="005B5981" w:rsidRPr="005B5981">
              <w:rPr>
                <w:rFonts w:ascii="Times New Roman" w:eastAsia="Times New Roman" w:hAnsi="Times New Roman" w:cs="Times New Roman"/>
                <w:color w:val="000000"/>
                <w:sz w:val="20"/>
                <w:szCs w:val="20"/>
                <w:lang w:val="lv-LV"/>
              </w:rPr>
              <w:t xml:space="preserve"> darbību reglamentējošo atļauju un </w:t>
            </w:r>
            <w:r w:rsidR="005B5981" w:rsidRPr="005B5981">
              <w:rPr>
                <w:rFonts w:ascii="Times New Roman" w:eastAsia="Times New Roman" w:hAnsi="Times New Roman" w:cs="Times New Roman"/>
                <w:color w:val="000000"/>
                <w:sz w:val="20"/>
                <w:szCs w:val="20"/>
                <w:lang w:val="lv-LV"/>
              </w:rPr>
              <w:lastRenderedPageBreak/>
              <w:t>saskaņojumu saņemšanai un informācijas un paziņojumu sniegšanai</w:t>
            </w:r>
            <w:r w:rsidRPr="00203060">
              <w:rPr>
                <w:rFonts w:ascii="Times New Roman" w:eastAsia="Times New Roman" w:hAnsi="Times New Roman" w:cs="Times New Roman"/>
                <w:color w:val="000000"/>
                <w:sz w:val="20"/>
                <w:szCs w:val="20"/>
                <w:lang w:val="lv-LV"/>
              </w:rPr>
              <w:t>"</w:t>
            </w:r>
            <w:r w:rsidR="00216F3C" w:rsidRPr="00203060">
              <w:rPr>
                <w:rFonts w:ascii="Times New Roman" w:eastAsia="Times New Roman" w:hAnsi="Times New Roman" w:cs="Times New Roman"/>
                <w:color w:val="000000"/>
                <w:sz w:val="20"/>
                <w:szCs w:val="20"/>
                <w:lang w:val="lv-LV"/>
              </w:rPr>
              <w:t xml:space="preserve"> </w:t>
            </w:r>
            <w:r w:rsidR="005B5981">
              <w:rPr>
                <w:rFonts w:ascii="Times New Roman" w:eastAsia="Times New Roman" w:hAnsi="Times New Roman" w:cs="Times New Roman"/>
                <w:color w:val="000000"/>
                <w:sz w:val="20"/>
                <w:szCs w:val="20"/>
                <w:lang w:val="lv-LV"/>
              </w:rPr>
              <w:t>6</w:t>
            </w:r>
            <w:r w:rsidR="00216F3C" w:rsidRPr="00203060">
              <w:rPr>
                <w:rFonts w:ascii="Times New Roman" w:eastAsia="Times New Roman" w:hAnsi="Times New Roman" w:cs="Times New Roman"/>
                <w:color w:val="000000"/>
                <w:sz w:val="20"/>
                <w:szCs w:val="20"/>
                <w:lang w:val="lv-LV"/>
              </w:rPr>
              <w:t xml:space="preserve">.1. un </w:t>
            </w:r>
            <w:r w:rsidR="005B5981">
              <w:rPr>
                <w:rFonts w:ascii="Times New Roman" w:eastAsia="Times New Roman" w:hAnsi="Times New Roman" w:cs="Times New Roman"/>
                <w:color w:val="000000"/>
                <w:sz w:val="20"/>
                <w:szCs w:val="20"/>
                <w:lang w:val="lv-LV"/>
              </w:rPr>
              <w:t>6</w:t>
            </w:r>
            <w:r w:rsidR="00216F3C" w:rsidRPr="00203060">
              <w:rPr>
                <w:rFonts w:ascii="Times New Roman" w:eastAsia="Times New Roman" w:hAnsi="Times New Roman" w:cs="Times New Roman"/>
                <w:color w:val="000000"/>
                <w:sz w:val="20"/>
                <w:szCs w:val="20"/>
                <w:lang w:val="lv-LV"/>
              </w:rPr>
              <w:t>.2. apakšpunkts</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5D299FD" w14:textId="46EF198C" w:rsidR="005B5981" w:rsidRPr="005B5981" w:rsidRDefault="00366D9B" w:rsidP="005B5981">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 </w:t>
            </w:r>
            <w:r w:rsidR="005B5981">
              <w:rPr>
                <w:rFonts w:ascii="Times New Roman" w:eastAsia="Times New Roman" w:hAnsi="Times New Roman" w:cs="Times New Roman"/>
                <w:color w:val="000000"/>
                <w:sz w:val="20"/>
                <w:szCs w:val="20"/>
                <w:lang w:val="lv-LV"/>
              </w:rPr>
              <w:t>6</w:t>
            </w:r>
            <w:r w:rsidR="00216F3C" w:rsidRPr="00203060">
              <w:rPr>
                <w:rFonts w:ascii="Times New Roman" w:eastAsia="Times New Roman" w:hAnsi="Times New Roman" w:cs="Times New Roman"/>
                <w:color w:val="000000"/>
                <w:sz w:val="20"/>
                <w:szCs w:val="20"/>
                <w:lang w:val="lv-LV"/>
              </w:rPr>
              <w:t xml:space="preserve">. </w:t>
            </w:r>
            <w:r w:rsidR="005B5981" w:rsidRPr="005B5981">
              <w:rPr>
                <w:rFonts w:ascii="Times New Roman" w:eastAsia="Times New Roman" w:hAnsi="Times New Roman" w:cs="Times New Roman"/>
                <w:color w:val="000000"/>
                <w:sz w:val="20"/>
                <w:szCs w:val="20"/>
                <w:lang w:val="lv-LV"/>
              </w:rPr>
              <w:t xml:space="preserve">Lai </w:t>
            </w:r>
            <w:r w:rsidR="005B5981">
              <w:rPr>
                <w:rFonts w:ascii="Times New Roman" w:eastAsia="Times New Roman" w:hAnsi="Times New Roman" w:cs="Times New Roman"/>
                <w:color w:val="000000"/>
                <w:sz w:val="20"/>
                <w:szCs w:val="20"/>
                <w:lang w:val="lv-LV"/>
              </w:rPr>
              <w:t>Latvijas Banka</w:t>
            </w:r>
            <w:r w:rsidR="005B5981" w:rsidRPr="005B5981">
              <w:rPr>
                <w:rFonts w:ascii="Times New Roman" w:eastAsia="Times New Roman" w:hAnsi="Times New Roman" w:cs="Times New Roman"/>
                <w:color w:val="000000"/>
                <w:sz w:val="20"/>
                <w:szCs w:val="20"/>
                <w:lang w:val="lv-LV"/>
              </w:rPr>
              <w:t xml:space="preserve"> izvērtētu atbilstoši Apdrošināšanas un pārapdrošināšanas likuma 22. panta pirmajai daļai un 26. panta pirmajai daļai iesniegtos dokumentus apdrošināšanas vai pārapdrošināšanas licences saņemšanai, apdrošināšanas vai pārapdrošināšanas sabiedrība papildus iesniedz </w:t>
            </w:r>
            <w:r w:rsidR="005B5981">
              <w:rPr>
                <w:rFonts w:ascii="Times New Roman" w:eastAsia="Times New Roman" w:hAnsi="Times New Roman" w:cs="Times New Roman"/>
                <w:color w:val="000000"/>
                <w:sz w:val="20"/>
                <w:szCs w:val="20"/>
                <w:lang w:val="lv-LV"/>
              </w:rPr>
              <w:t>Latvijas Bankai</w:t>
            </w:r>
            <w:r w:rsidR="005B5981" w:rsidRPr="005B5981">
              <w:rPr>
                <w:rFonts w:ascii="Times New Roman" w:eastAsia="Times New Roman" w:hAnsi="Times New Roman" w:cs="Times New Roman"/>
                <w:color w:val="000000"/>
                <w:sz w:val="20"/>
                <w:szCs w:val="20"/>
                <w:lang w:val="lv-LV"/>
              </w:rPr>
              <w:t xml:space="preserve"> šādu informāciju un dokumentus:</w:t>
            </w:r>
          </w:p>
          <w:p w14:paraId="2B6A8076" w14:textId="77777777" w:rsidR="005B5981" w:rsidRPr="005B5981" w:rsidRDefault="005B5981" w:rsidP="005B5981">
            <w:pPr>
              <w:spacing w:before="120" w:after="0" w:line="240" w:lineRule="auto"/>
              <w:jc w:val="both"/>
              <w:rPr>
                <w:rFonts w:ascii="Times New Roman" w:eastAsia="Times New Roman" w:hAnsi="Times New Roman" w:cs="Times New Roman"/>
                <w:color w:val="000000"/>
                <w:sz w:val="20"/>
                <w:szCs w:val="20"/>
                <w:lang w:val="lv-LV"/>
              </w:rPr>
            </w:pPr>
          </w:p>
          <w:p w14:paraId="2FCF0AF5" w14:textId="77777777" w:rsidR="005B5981" w:rsidRPr="005B5981" w:rsidRDefault="005B5981" w:rsidP="005B5981">
            <w:pPr>
              <w:spacing w:before="120" w:after="0" w:line="240" w:lineRule="auto"/>
              <w:jc w:val="both"/>
              <w:rPr>
                <w:rFonts w:ascii="Times New Roman" w:eastAsia="Times New Roman" w:hAnsi="Times New Roman" w:cs="Times New Roman"/>
                <w:color w:val="000000"/>
                <w:sz w:val="20"/>
                <w:szCs w:val="20"/>
                <w:lang w:val="lv-LV"/>
              </w:rPr>
            </w:pPr>
            <w:r w:rsidRPr="005B5981">
              <w:rPr>
                <w:rFonts w:ascii="Times New Roman" w:eastAsia="Times New Roman" w:hAnsi="Times New Roman" w:cs="Times New Roman"/>
                <w:color w:val="000000"/>
                <w:sz w:val="20"/>
                <w:szCs w:val="20"/>
                <w:lang w:val="lv-LV"/>
              </w:rPr>
              <w:t>6.1. apdrošināšanas vai pārapdrošināšanas sabiedrības pilnvarotas personas parakstītu Komisijai adresētu iesniegumu par licences izsniegšanu vienam vai vairākiem apdrošināšanas vai pārapdrošināšanas veidiem, kurā uzskaitīti tam pievienotie dokumenti;</w:t>
            </w:r>
          </w:p>
          <w:p w14:paraId="323D8180" w14:textId="2D1B6CB5" w:rsidR="00366D9B" w:rsidRPr="00203060" w:rsidRDefault="005B5981" w:rsidP="005B5981">
            <w:pPr>
              <w:spacing w:before="120" w:after="0" w:line="240" w:lineRule="auto"/>
              <w:jc w:val="both"/>
              <w:rPr>
                <w:rFonts w:ascii="Times New Roman" w:eastAsia="Times New Roman" w:hAnsi="Times New Roman" w:cs="Times New Roman"/>
                <w:color w:val="000000"/>
                <w:sz w:val="20"/>
                <w:szCs w:val="20"/>
                <w:lang w:val="lv-LV"/>
              </w:rPr>
            </w:pPr>
            <w:r w:rsidRPr="005B5981">
              <w:rPr>
                <w:rFonts w:ascii="Times New Roman" w:eastAsia="Times New Roman" w:hAnsi="Times New Roman" w:cs="Times New Roman"/>
                <w:color w:val="000000"/>
                <w:sz w:val="20"/>
                <w:szCs w:val="20"/>
                <w:lang w:val="lv-LV"/>
              </w:rPr>
              <w:t>6.2. apdrošināšanas sabiedrības dibināšanas līguma (lēmuma) norakstu;</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C9DD753" w14:textId="77777777" w:rsidR="00366D9B" w:rsidRPr="004F08FA"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4F08FA">
              <w:rPr>
                <w:rFonts w:ascii="Times New Roman" w:eastAsia="Times New Roman" w:hAnsi="Times New Roman" w:cs="Times New Roman"/>
                <w:color w:val="000000"/>
                <w:sz w:val="20"/>
                <w:szCs w:val="20"/>
                <w:lang w:val="lv-LV"/>
              </w:rPr>
              <w:lastRenderedPageBreak/>
              <w:t> </w:t>
            </w:r>
          </w:p>
        </w:tc>
      </w:tr>
      <w:tr w:rsidR="00E81189" w:rsidRPr="004F08FA" w14:paraId="7859A639"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1987FB5"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51. panta 2. punkta trešā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267F84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Ziņojums par maksātspēju un finanšu stāvokli: saturs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9ABA39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atbrīvot pārejas laikposmā (pār)apdrošināšanas sabiedrības no prasības atsevišķi atklāt informāciju par kapitāla palielinājumu vai sabiedrības konkrēto parametru izmantošanas ietekmi, ja to izmantošanu pieprasa uzraudzības iestāde.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8B0A6B6" w14:textId="77777777" w:rsidR="00366D9B" w:rsidRPr="00203060" w:rsidRDefault="00366D9B" w:rsidP="00673DB2">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841FB1">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BF8648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334F1F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133A50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54E4FD7" w14:textId="77777777" w:rsidR="00366D9B" w:rsidRPr="004F08FA"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4F08FA">
              <w:rPr>
                <w:rFonts w:ascii="Times New Roman" w:eastAsia="Times New Roman" w:hAnsi="Times New Roman" w:cs="Times New Roman"/>
                <w:color w:val="000000"/>
                <w:sz w:val="20"/>
                <w:szCs w:val="20"/>
                <w:lang w:val="lv-LV"/>
              </w:rPr>
              <w:t> </w:t>
            </w:r>
          </w:p>
        </w:tc>
      </w:tr>
      <w:tr w:rsidR="00E81189" w:rsidRPr="00203060" w14:paraId="5EC3B3F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24ABE9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57. panta 1.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87F41B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Iegāde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508B13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Ja dalībvalstis piemēro vienas trešdaļas robežvērtību, lai paziņotu uzraudzības iestādēm par iegādi saskaņā ar Direktīvu 2004/109/EK, iespēja turpināt piemērot šo robežvērtību, nevis 30 % robežvērtību.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98288F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FCDD96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71A248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28F1" w:rsidRPr="00203060">
              <w:rPr>
                <w:rFonts w:ascii="Times New Roman" w:eastAsia="Times New Roman" w:hAnsi="Times New Roman" w:cs="Times New Roman"/>
                <w:color w:val="000000"/>
                <w:sz w:val="20"/>
                <w:szCs w:val="20"/>
                <w:lang w:val="lv-LV"/>
              </w:rPr>
              <w:t>Apdrošināšanas un pārapdrošināšanas likums</w:t>
            </w:r>
            <w:r w:rsidR="00D31875" w:rsidRPr="00203060">
              <w:rPr>
                <w:rFonts w:ascii="Times New Roman" w:eastAsia="Times New Roman" w:hAnsi="Times New Roman" w:cs="Times New Roman"/>
                <w:color w:val="000000"/>
                <w:sz w:val="20"/>
                <w:szCs w:val="20"/>
                <w:lang w:val="lv-LV"/>
              </w:rPr>
              <w:t xml:space="preserve"> 76. panta otrā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0F910C8" w14:textId="342A6CDF"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 xml:space="preserve">Ja persona vēlas palielināt savu būtisko līdzdalību, sasniedzot vai pārsniedzot 20, 33 vai 50 procentus no apdrošināšanas vai pārapdrošināšanas sabiedrības pamatkapitāla vai balsstiesīgo akciju vai daļu skaita, vai ja apdrošināšanas vai pārapdrošināšanas sabiedrība kļūst par šīs personas meitas sabiedrību, attiecīgā persona par to </w:t>
            </w:r>
            <w:r w:rsidR="00D31875" w:rsidRPr="00203060">
              <w:rPr>
                <w:rFonts w:ascii="Times New Roman" w:eastAsia="Times New Roman" w:hAnsi="Times New Roman" w:cs="Times New Roman"/>
                <w:color w:val="000000"/>
                <w:sz w:val="20"/>
                <w:szCs w:val="20"/>
                <w:lang w:val="lv-LV"/>
              </w:rPr>
              <w:lastRenderedPageBreak/>
              <w:t xml:space="preserve">iepriekš </w:t>
            </w:r>
            <w:proofErr w:type="spellStart"/>
            <w:r w:rsidR="00D31875" w:rsidRPr="00203060">
              <w:rPr>
                <w:rFonts w:ascii="Times New Roman" w:eastAsia="Times New Roman" w:hAnsi="Times New Roman" w:cs="Times New Roman"/>
                <w:color w:val="000000"/>
                <w:sz w:val="20"/>
                <w:szCs w:val="20"/>
                <w:lang w:val="lv-LV"/>
              </w:rPr>
              <w:t>rakstveidā</w:t>
            </w:r>
            <w:proofErr w:type="spellEnd"/>
            <w:r w:rsidR="00D31875" w:rsidRPr="00203060">
              <w:rPr>
                <w:rFonts w:ascii="Times New Roman" w:eastAsia="Times New Roman" w:hAnsi="Times New Roman" w:cs="Times New Roman"/>
                <w:color w:val="000000"/>
                <w:sz w:val="20"/>
                <w:szCs w:val="20"/>
                <w:lang w:val="lv-LV"/>
              </w:rPr>
              <w:t xml:space="preserve"> paziņo </w:t>
            </w:r>
            <w:r w:rsidR="005B5981">
              <w:rPr>
                <w:rFonts w:ascii="Times New Roman" w:eastAsia="Times New Roman" w:hAnsi="Times New Roman" w:cs="Times New Roman"/>
                <w:color w:val="000000"/>
                <w:sz w:val="20"/>
                <w:szCs w:val="20"/>
                <w:lang w:val="lv-LV"/>
              </w:rPr>
              <w:t>Latvijas Bankai</w:t>
            </w:r>
            <w:r w:rsidR="00D31875" w:rsidRPr="00203060">
              <w:rPr>
                <w:rFonts w:ascii="Times New Roman" w:eastAsia="Times New Roman" w:hAnsi="Times New Roman" w:cs="Times New Roman"/>
                <w:color w:val="000000"/>
                <w:sz w:val="20"/>
                <w:szCs w:val="20"/>
                <w:lang w:val="lv-LV"/>
              </w:rPr>
              <w:t>.</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E05C783" w14:textId="67DC2553"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lastRenderedPageBreak/>
              <w:t> </w:t>
            </w:r>
            <w:r w:rsidR="00D31875" w:rsidRPr="00203060">
              <w:rPr>
                <w:rFonts w:ascii="Times New Roman" w:eastAsia="Times New Roman" w:hAnsi="Times New Roman" w:cs="Times New Roman"/>
                <w:color w:val="000000"/>
                <w:sz w:val="20"/>
                <w:szCs w:val="20"/>
              </w:rPr>
              <w:t xml:space="preserve">If a person wishes to increase its qualifying holding up to or exceeding 20, 33 or 50 per cent of the share capital or of the shares carrying voting rights of an insurance or reinsurance company, or if the insurance or reinsurance company becomes a subsidiary of that person, that person shall notify </w:t>
            </w:r>
            <w:r w:rsidR="005B5981">
              <w:rPr>
                <w:rFonts w:ascii="Times New Roman" w:eastAsia="Times New Roman" w:hAnsi="Times New Roman" w:cs="Times New Roman"/>
                <w:color w:val="000000"/>
                <w:sz w:val="20"/>
                <w:szCs w:val="20"/>
              </w:rPr>
              <w:t xml:space="preserve">Latvijas Banka </w:t>
            </w:r>
            <w:r w:rsidR="00D31875" w:rsidRPr="00203060">
              <w:rPr>
                <w:rFonts w:ascii="Times New Roman" w:eastAsia="Times New Roman" w:hAnsi="Times New Roman" w:cs="Times New Roman"/>
                <w:color w:val="000000"/>
                <w:sz w:val="20"/>
                <w:szCs w:val="20"/>
              </w:rPr>
              <w:lastRenderedPageBreak/>
              <w:t>of that in writing in advance.</w:t>
            </w:r>
          </w:p>
        </w:tc>
      </w:tr>
      <w:tr w:rsidR="00E81189" w:rsidRPr="00203060" w14:paraId="4B58E658"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4DD1B7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57. panta 2.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172CE2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Iegāde</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C5AF9DF"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Ja dalībvalstis piemēro vienas trešdaļas robežvērtību, lai paziņotu uzraudzības iestādēm par pārdošanu saskaņā ar Direktīvu 2004/109/EK, iespēja turpināt piemērot šo robežvērtību, nevis 30 % robežvērtību.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9309BB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8D3315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9195F1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28F1" w:rsidRPr="00203060">
              <w:rPr>
                <w:rFonts w:ascii="Times New Roman" w:eastAsia="Times New Roman" w:hAnsi="Times New Roman" w:cs="Times New Roman"/>
                <w:color w:val="000000"/>
                <w:sz w:val="20"/>
                <w:szCs w:val="20"/>
                <w:lang w:val="lv-LV"/>
              </w:rPr>
              <w:t>Apdrošināšanas un pārapdrošināšanas likums</w:t>
            </w:r>
            <w:r w:rsidR="00D31875" w:rsidRPr="00203060">
              <w:rPr>
                <w:rFonts w:ascii="Times New Roman" w:eastAsia="Times New Roman" w:hAnsi="Times New Roman" w:cs="Times New Roman"/>
                <w:color w:val="000000"/>
                <w:sz w:val="20"/>
                <w:szCs w:val="20"/>
                <w:lang w:val="lv-LV"/>
              </w:rPr>
              <w:t xml:space="preserve"> 78. panta otrā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D6249A0" w14:textId="10F8141D"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 xml:space="preserve">Ja persona vēlas samazināt savu būtisko līdzdalību zem 20, 33 vai 50 procentiem no apdrošināšanas vai pārapdrošināšanas sabiedrības pamatkapitāla vai balsstiesīgo akciju vai daļu skaita vai apdrošināšanas vai pārapdrošināšanas sabiedrība pārstāj būt šīs personas meitas sabiedrība, tā par šādu lēmumu iepriekš rakstveidā paziņo, iesniedzot iesniegumu </w:t>
            </w:r>
            <w:r w:rsidR="005B5981">
              <w:rPr>
                <w:rFonts w:ascii="Times New Roman" w:eastAsia="Times New Roman" w:hAnsi="Times New Roman" w:cs="Times New Roman"/>
                <w:color w:val="000000"/>
                <w:sz w:val="20"/>
                <w:szCs w:val="20"/>
                <w:lang w:val="lv-LV"/>
              </w:rPr>
              <w:t>Latvijas Bankai</w:t>
            </w:r>
            <w:r w:rsidR="00D31875" w:rsidRPr="00203060">
              <w:rPr>
                <w:rFonts w:ascii="Times New Roman" w:eastAsia="Times New Roman" w:hAnsi="Times New Roman" w:cs="Times New Roman"/>
                <w:color w:val="000000"/>
                <w:sz w:val="20"/>
                <w:szCs w:val="20"/>
                <w:lang w:val="lv-LV"/>
              </w:rPr>
              <w:t>.</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EAF6F98" w14:textId="61E16D80"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rPr>
              <w:t xml:space="preserve">If the person wishes to reduce its qualifying holding below 20, 33 or 50 per cent of the share capital or of the shares carrying voting rights of the insurance or reinsurance company, or the insurance or reinsurance company ceases to be the subsidiary company of that person, it shall notify of such a decision in writing in advance, by submitting an application to </w:t>
            </w:r>
            <w:r w:rsidR="005B5981">
              <w:rPr>
                <w:rFonts w:ascii="Times New Roman" w:eastAsia="Times New Roman" w:hAnsi="Times New Roman" w:cs="Times New Roman"/>
                <w:color w:val="000000"/>
                <w:sz w:val="20"/>
                <w:szCs w:val="20"/>
              </w:rPr>
              <w:t>Latvijas Banka</w:t>
            </w:r>
            <w:r w:rsidR="00D31875" w:rsidRPr="00203060">
              <w:rPr>
                <w:rFonts w:ascii="Times New Roman" w:eastAsia="Times New Roman" w:hAnsi="Times New Roman" w:cs="Times New Roman"/>
                <w:color w:val="000000"/>
                <w:sz w:val="20"/>
                <w:szCs w:val="20"/>
              </w:rPr>
              <w:t>.</w:t>
            </w:r>
          </w:p>
        </w:tc>
      </w:tr>
      <w:tr w:rsidR="00E81189" w:rsidRPr="00203060" w14:paraId="7255402B"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C89ACC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73. panta 2.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8B68DA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Dzīvības un nedzīvības apdrošināšanas darbības veikšana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E6562C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turpmāk minēto:</w:t>
            </w:r>
          </w:p>
          <w:tbl>
            <w:tblPr>
              <w:tblW w:w="5000" w:type="pct"/>
              <w:tblCellSpacing w:w="0" w:type="dxa"/>
              <w:tblLayout w:type="fixed"/>
              <w:tblCellMar>
                <w:left w:w="0" w:type="dxa"/>
                <w:right w:w="0" w:type="dxa"/>
              </w:tblCellMar>
              <w:tblLook w:val="04A0" w:firstRow="1" w:lastRow="0" w:firstColumn="1" w:lastColumn="0" w:noHBand="0" w:noVBand="1"/>
            </w:tblPr>
            <w:tblGrid>
              <w:gridCol w:w="147"/>
              <w:gridCol w:w="2113"/>
            </w:tblGrid>
            <w:tr w:rsidR="00D31875" w:rsidRPr="00841FB1" w14:paraId="11C4B173" w14:textId="77777777" w:rsidTr="00E81189">
              <w:trPr>
                <w:tblCellSpacing w:w="0" w:type="dxa"/>
              </w:trPr>
              <w:tc>
                <w:tcPr>
                  <w:tcW w:w="147" w:type="dxa"/>
                  <w:hideMark/>
                </w:tcPr>
                <w:p w14:paraId="228BA36B" w14:textId="77777777" w:rsidR="00366D9B" w:rsidRPr="00203060" w:rsidRDefault="00366D9B" w:rsidP="00366D9B">
                  <w:pPr>
                    <w:spacing w:before="120" w:after="0" w:line="240" w:lineRule="auto"/>
                    <w:jc w:val="both"/>
                    <w:rPr>
                      <w:rFonts w:ascii="Times New Roman" w:eastAsia="Times New Roman" w:hAnsi="Times New Roman" w:cs="Times New Roman"/>
                      <w:sz w:val="20"/>
                      <w:szCs w:val="20"/>
                      <w:lang w:val="lv-LV"/>
                    </w:rPr>
                  </w:pPr>
                  <w:r w:rsidRPr="00203060">
                    <w:rPr>
                      <w:rFonts w:ascii="Times New Roman" w:eastAsia="Times New Roman" w:hAnsi="Times New Roman" w:cs="Times New Roman"/>
                      <w:sz w:val="20"/>
                      <w:szCs w:val="20"/>
                      <w:lang w:val="lv-LV"/>
                    </w:rPr>
                    <w:t>i)</w:t>
                  </w:r>
                </w:p>
              </w:tc>
              <w:tc>
                <w:tcPr>
                  <w:tcW w:w="2119" w:type="dxa"/>
                  <w:hideMark/>
                </w:tcPr>
                <w:p w14:paraId="62091703" w14:textId="77777777" w:rsidR="00366D9B" w:rsidRPr="00203060" w:rsidRDefault="00366D9B" w:rsidP="00366D9B">
                  <w:pPr>
                    <w:spacing w:before="120" w:after="0" w:line="240" w:lineRule="auto"/>
                    <w:jc w:val="both"/>
                    <w:rPr>
                      <w:rFonts w:ascii="Times New Roman" w:eastAsia="Times New Roman" w:hAnsi="Times New Roman" w:cs="Times New Roman"/>
                      <w:sz w:val="20"/>
                      <w:szCs w:val="20"/>
                      <w:lang w:val="lv-LV"/>
                    </w:rPr>
                  </w:pPr>
                  <w:r w:rsidRPr="00203060">
                    <w:rPr>
                      <w:rFonts w:ascii="Times New Roman" w:eastAsia="Times New Roman" w:hAnsi="Times New Roman" w:cs="Times New Roman"/>
                      <w:sz w:val="20"/>
                      <w:szCs w:val="20"/>
                      <w:lang w:val="lv-LV"/>
                    </w:rPr>
                    <w:t>dzīvības apdrošināšanas sabiedrībām iegūt licenci nedzīvības apdrošināšanai nelaimes gadījumu un slimības riskiem;</w:t>
                  </w:r>
                </w:p>
              </w:tc>
            </w:tr>
          </w:tbl>
          <w:p w14:paraId="41D836B5" w14:textId="77777777" w:rsidR="00366D9B" w:rsidRPr="00203060" w:rsidRDefault="00366D9B" w:rsidP="00366D9B">
            <w:pPr>
              <w:spacing w:after="0" w:line="240" w:lineRule="auto"/>
              <w:rPr>
                <w:rFonts w:ascii="Times New Roman" w:eastAsia="Times New Roman" w:hAnsi="Times New Roman" w:cs="Times New Roman"/>
                <w:vanish/>
                <w:color w:val="000000"/>
                <w:sz w:val="20"/>
                <w:szCs w:val="20"/>
                <w:lang w:val="lv-LV"/>
              </w:rPr>
            </w:pPr>
          </w:p>
          <w:tbl>
            <w:tblPr>
              <w:tblW w:w="5000" w:type="pct"/>
              <w:tblCellSpacing w:w="0" w:type="dxa"/>
              <w:tblLayout w:type="fixed"/>
              <w:tblCellMar>
                <w:left w:w="0" w:type="dxa"/>
                <w:right w:w="0" w:type="dxa"/>
              </w:tblCellMar>
              <w:tblLook w:val="04A0" w:firstRow="1" w:lastRow="0" w:firstColumn="1" w:lastColumn="0" w:noHBand="0" w:noVBand="1"/>
            </w:tblPr>
            <w:tblGrid>
              <w:gridCol w:w="213"/>
              <w:gridCol w:w="2047"/>
            </w:tblGrid>
            <w:tr w:rsidR="00D31875" w:rsidRPr="00841FB1" w14:paraId="4FFD01DD" w14:textId="77777777" w:rsidTr="00E81189">
              <w:trPr>
                <w:tblCellSpacing w:w="0" w:type="dxa"/>
              </w:trPr>
              <w:tc>
                <w:tcPr>
                  <w:tcW w:w="214" w:type="dxa"/>
                  <w:hideMark/>
                </w:tcPr>
                <w:p w14:paraId="1EB7A4DC" w14:textId="77777777" w:rsidR="00366D9B" w:rsidRPr="00203060" w:rsidRDefault="00366D9B" w:rsidP="00366D9B">
                  <w:pPr>
                    <w:spacing w:before="120" w:after="0" w:line="240" w:lineRule="auto"/>
                    <w:jc w:val="both"/>
                    <w:rPr>
                      <w:rFonts w:ascii="Times New Roman" w:eastAsia="Times New Roman" w:hAnsi="Times New Roman" w:cs="Times New Roman"/>
                      <w:sz w:val="20"/>
                      <w:szCs w:val="20"/>
                      <w:lang w:val="lv-LV"/>
                    </w:rPr>
                  </w:pPr>
                  <w:r w:rsidRPr="00203060">
                    <w:rPr>
                      <w:rFonts w:ascii="Times New Roman" w:eastAsia="Times New Roman" w:hAnsi="Times New Roman" w:cs="Times New Roman"/>
                      <w:sz w:val="20"/>
                      <w:szCs w:val="20"/>
                      <w:lang w:val="lv-LV"/>
                    </w:rPr>
                    <w:t>ii)</w:t>
                  </w:r>
                </w:p>
              </w:tc>
              <w:tc>
                <w:tcPr>
                  <w:tcW w:w="2052" w:type="dxa"/>
                  <w:hideMark/>
                </w:tcPr>
                <w:p w14:paraId="063C3D01" w14:textId="77777777" w:rsidR="00366D9B" w:rsidRPr="00203060" w:rsidRDefault="00366D9B" w:rsidP="00366D9B">
                  <w:pPr>
                    <w:spacing w:before="120" w:after="0" w:line="240" w:lineRule="auto"/>
                    <w:jc w:val="both"/>
                    <w:rPr>
                      <w:rFonts w:ascii="Times New Roman" w:eastAsia="Times New Roman" w:hAnsi="Times New Roman" w:cs="Times New Roman"/>
                      <w:sz w:val="20"/>
                      <w:szCs w:val="20"/>
                      <w:lang w:val="lv-LV"/>
                    </w:rPr>
                  </w:pPr>
                  <w:r w:rsidRPr="00203060">
                    <w:rPr>
                      <w:rFonts w:ascii="Times New Roman" w:eastAsia="Times New Roman" w:hAnsi="Times New Roman" w:cs="Times New Roman"/>
                      <w:sz w:val="20"/>
                      <w:szCs w:val="20"/>
                      <w:lang w:val="lv-LV"/>
                    </w:rPr>
                    <w:t>nedzīvības apdrošināšanas sabiedrībām, kurām piešķirta licence apdrošināšanai tikai nelaimes gadījumu un slimības riskiem, iegūt licenci dzīvības apdrošināšanas veikšanai.</w:t>
                  </w:r>
                </w:p>
              </w:tc>
            </w:tr>
          </w:tbl>
          <w:p w14:paraId="383D6576" w14:textId="77777777" w:rsidR="00366D9B" w:rsidRPr="00203060" w:rsidRDefault="00366D9B" w:rsidP="00366D9B">
            <w:pPr>
              <w:spacing w:after="0" w:line="240" w:lineRule="auto"/>
              <w:rPr>
                <w:rFonts w:ascii="Times New Roman" w:eastAsia="Times New Roman" w:hAnsi="Times New Roman" w:cs="Times New Roman"/>
                <w:color w:val="000000"/>
                <w:sz w:val="20"/>
                <w:szCs w:val="20"/>
                <w:lang w:val="lv-LV"/>
              </w:rPr>
            </w:pP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66A221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0AB2F2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 xml:space="preserve">L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23D316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28F1" w:rsidRPr="00203060">
              <w:rPr>
                <w:rFonts w:ascii="Times New Roman" w:eastAsia="Times New Roman" w:hAnsi="Times New Roman" w:cs="Times New Roman"/>
                <w:color w:val="000000"/>
                <w:sz w:val="20"/>
                <w:szCs w:val="20"/>
                <w:lang w:val="lv-LV"/>
              </w:rPr>
              <w:t xml:space="preserve">Apdrošināšanas un pārapdrošināšanas likums </w:t>
            </w:r>
            <w:r w:rsidR="00D31875" w:rsidRPr="00203060">
              <w:rPr>
                <w:rFonts w:ascii="Times New Roman" w:eastAsia="Times New Roman" w:hAnsi="Times New Roman" w:cs="Times New Roman"/>
                <w:color w:val="000000"/>
                <w:sz w:val="20"/>
                <w:szCs w:val="20"/>
                <w:lang w:val="lv-LV"/>
              </w:rPr>
              <w:t>16. panta otrā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109E1444" w14:textId="77777777" w:rsidR="00D31875" w:rsidRPr="00203060" w:rsidRDefault="00366D9B" w:rsidP="00D31875">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31875" w:rsidRPr="00203060">
              <w:rPr>
                <w:rFonts w:ascii="Times New Roman" w:eastAsia="Times New Roman" w:hAnsi="Times New Roman" w:cs="Times New Roman"/>
                <w:color w:val="000000"/>
                <w:sz w:val="20"/>
                <w:szCs w:val="20"/>
                <w:lang w:val="lv-LV"/>
              </w:rPr>
              <w:t>Šā panta pirmajā daļā noteiktais neierobežo apdrošināšanas sabiedrību, kas:</w:t>
            </w:r>
          </w:p>
          <w:p w14:paraId="1B7C3D3C" w14:textId="77777777" w:rsidR="00D31875" w:rsidRPr="00203060" w:rsidRDefault="00D31875" w:rsidP="00D31875">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 saņēmusi licenci dzīvības apdrošināšanai, prasīt un saņemt licenci nelaimes gadījumu un veselības apdrošināšanai;</w:t>
            </w:r>
          </w:p>
          <w:p w14:paraId="0845FA0C" w14:textId="77777777" w:rsidR="00366D9B" w:rsidRPr="00203060" w:rsidRDefault="00D31875" w:rsidP="00D31875">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 saņēmusi licenci nelaimes gadījumu un veselības apdrošināšanai, prasīt un saņemt licenci dzīvības apdrošināšanai.</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F964A44" w14:textId="77777777" w:rsidR="00974451" w:rsidRPr="00203060" w:rsidRDefault="00366D9B" w:rsidP="00974451">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00974451" w:rsidRPr="00203060">
              <w:rPr>
                <w:rFonts w:ascii="Times New Roman" w:eastAsia="Times New Roman" w:hAnsi="Times New Roman" w:cs="Times New Roman"/>
                <w:color w:val="000000"/>
                <w:sz w:val="20"/>
                <w:szCs w:val="20"/>
              </w:rPr>
              <w:t>The provision laid down in Paragraph one hereof shall not limit an insurance company which:</w:t>
            </w:r>
          </w:p>
          <w:p w14:paraId="43ABFD7A" w14:textId="77777777" w:rsidR="00974451" w:rsidRPr="00203060" w:rsidRDefault="00974451" w:rsidP="00974451">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(1) has obtained the </w:t>
            </w:r>
            <w:proofErr w:type="spellStart"/>
            <w:r w:rsidRPr="00203060">
              <w:rPr>
                <w:rFonts w:ascii="Times New Roman" w:eastAsia="Times New Roman" w:hAnsi="Times New Roman" w:cs="Times New Roman"/>
                <w:color w:val="000000"/>
                <w:sz w:val="20"/>
                <w:szCs w:val="20"/>
              </w:rPr>
              <w:t>licence</w:t>
            </w:r>
            <w:proofErr w:type="spellEnd"/>
            <w:r w:rsidRPr="00203060">
              <w:rPr>
                <w:rFonts w:ascii="Times New Roman" w:eastAsia="Times New Roman" w:hAnsi="Times New Roman" w:cs="Times New Roman"/>
                <w:color w:val="000000"/>
                <w:sz w:val="20"/>
                <w:szCs w:val="20"/>
              </w:rPr>
              <w:t xml:space="preserve"> for pursuing life insurance to request and obtain the </w:t>
            </w:r>
            <w:proofErr w:type="spellStart"/>
            <w:r w:rsidRPr="00203060">
              <w:rPr>
                <w:rFonts w:ascii="Times New Roman" w:eastAsia="Times New Roman" w:hAnsi="Times New Roman" w:cs="Times New Roman"/>
                <w:color w:val="000000"/>
                <w:sz w:val="20"/>
                <w:szCs w:val="20"/>
              </w:rPr>
              <w:t>licence</w:t>
            </w:r>
            <w:proofErr w:type="spellEnd"/>
            <w:r w:rsidRPr="00203060">
              <w:rPr>
                <w:rFonts w:ascii="Times New Roman" w:eastAsia="Times New Roman" w:hAnsi="Times New Roman" w:cs="Times New Roman"/>
                <w:color w:val="000000"/>
                <w:sz w:val="20"/>
                <w:szCs w:val="20"/>
              </w:rPr>
              <w:t xml:space="preserve"> for pursuing accident and health insurance;</w:t>
            </w:r>
          </w:p>
          <w:p w14:paraId="38280504" w14:textId="77777777" w:rsidR="00366D9B" w:rsidRPr="00203060" w:rsidRDefault="00974451" w:rsidP="00974451">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2) has obtained the </w:t>
            </w:r>
            <w:proofErr w:type="spellStart"/>
            <w:r w:rsidRPr="00203060">
              <w:rPr>
                <w:rFonts w:ascii="Times New Roman" w:eastAsia="Times New Roman" w:hAnsi="Times New Roman" w:cs="Times New Roman"/>
                <w:color w:val="000000"/>
                <w:sz w:val="20"/>
                <w:szCs w:val="20"/>
              </w:rPr>
              <w:t>licence</w:t>
            </w:r>
            <w:proofErr w:type="spellEnd"/>
            <w:r w:rsidRPr="00203060">
              <w:rPr>
                <w:rFonts w:ascii="Times New Roman" w:eastAsia="Times New Roman" w:hAnsi="Times New Roman" w:cs="Times New Roman"/>
                <w:color w:val="000000"/>
                <w:sz w:val="20"/>
                <w:szCs w:val="20"/>
              </w:rPr>
              <w:t xml:space="preserve"> for pursuing accident and health insurance to request and obtain the </w:t>
            </w:r>
            <w:proofErr w:type="spellStart"/>
            <w:r w:rsidRPr="00203060">
              <w:rPr>
                <w:rFonts w:ascii="Times New Roman" w:eastAsia="Times New Roman" w:hAnsi="Times New Roman" w:cs="Times New Roman"/>
                <w:color w:val="000000"/>
                <w:sz w:val="20"/>
                <w:szCs w:val="20"/>
              </w:rPr>
              <w:t>licence</w:t>
            </w:r>
            <w:proofErr w:type="spellEnd"/>
            <w:r w:rsidRPr="00203060">
              <w:rPr>
                <w:rFonts w:ascii="Times New Roman" w:eastAsia="Times New Roman" w:hAnsi="Times New Roman" w:cs="Times New Roman"/>
                <w:color w:val="000000"/>
                <w:sz w:val="20"/>
                <w:szCs w:val="20"/>
              </w:rPr>
              <w:t xml:space="preserve"> for pursuing life insurance.</w:t>
            </w:r>
          </w:p>
        </w:tc>
      </w:tr>
      <w:tr w:rsidR="00E81189" w:rsidRPr="00203060" w14:paraId="13A2B3D1"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4B8BAA0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73. panta 3. punkta pirmais teikums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806CAD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Dzīvības un nedzīvības apdrošināšanas darbības veikšana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7A0CDC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Iespēja atļaut noteikt, ka 73. panta 2. punktā minētajām sabiedrībām visā to darbībā jāievēro grāmatvedības noteikumi, kas attiecas uz </w:t>
            </w:r>
            <w:r w:rsidRPr="00203060">
              <w:rPr>
                <w:rFonts w:ascii="Times New Roman" w:eastAsia="Times New Roman" w:hAnsi="Times New Roman" w:cs="Times New Roman"/>
                <w:color w:val="000000"/>
                <w:sz w:val="20"/>
                <w:szCs w:val="20"/>
                <w:lang w:val="lv-LV"/>
              </w:rPr>
              <w:lastRenderedPageBreak/>
              <w:t>dzīvības apdrošināšanas sabiedrībām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7F03618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 </w:t>
            </w:r>
            <w:r w:rsidR="00974451"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FC132C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1C6327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B8A08B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97C610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710E7BA3"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3D918D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73. panta 3. punkta otrais teikums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A9AC7A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Dzīvības un nedzīvības apdrošināšanas darbības veikšana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EE8FE9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likvidācijas procedūrā noteikumus, kas attiecas uz dzīvības apdrošināšanas darbību, piemērot sabiedrību veiktai nelaimes gadījumu un slimības apdrošināšanas darbībai saskaņā ar 73. panta 2. punktu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B7BF34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974451"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D30870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9B976D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1B1087F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43C1C1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5CB172F5"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3AA21E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73. panta 5.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0E2DD1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Dzīvības un nedzīvības apdrošināšanas darbības veikšana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A490DE7"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pieprasīt noteiktā termiņā pārtraukt vienlaicīgi veikt dzīvības un nedzīvības apdrošināšanas darbības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FA7407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974451"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E61F8F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F99EC3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F0889F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5A1D69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0FAFACC4"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E940BA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77.d panta 1.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08EE52C"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Attiecīgu </w:t>
            </w:r>
            <w:proofErr w:type="spellStart"/>
            <w:r w:rsidRPr="00203060">
              <w:rPr>
                <w:rFonts w:ascii="Times New Roman" w:eastAsia="Times New Roman" w:hAnsi="Times New Roman" w:cs="Times New Roman"/>
                <w:color w:val="000000"/>
                <w:sz w:val="20"/>
                <w:szCs w:val="20"/>
                <w:lang w:val="lv-LV"/>
              </w:rPr>
              <w:t>bezriska</w:t>
            </w:r>
            <w:proofErr w:type="spellEnd"/>
            <w:r w:rsidRPr="00203060">
              <w:rPr>
                <w:rFonts w:ascii="Times New Roman" w:eastAsia="Times New Roman" w:hAnsi="Times New Roman" w:cs="Times New Roman"/>
                <w:color w:val="000000"/>
                <w:sz w:val="20"/>
                <w:szCs w:val="20"/>
                <w:lang w:val="lv-LV"/>
              </w:rPr>
              <w:t xml:space="preserve"> procentu likmju </w:t>
            </w:r>
            <w:proofErr w:type="spellStart"/>
            <w:r w:rsidRPr="00203060">
              <w:rPr>
                <w:rFonts w:ascii="Times New Roman" w:eastAsia="Times New Roman" w:hAnsi="Times New Roman" w:cs="Times New Roman"/>
                <w:color w:val="000000"/>
                <w:sz w:val="20"/>
                <w:szCs w:val="20"/>
                <w:lang w:val="lv-LV"/>
              </w:rPr>
              <w:t>termiņstruktūras</w:t>
            </w:r>
            <w:proofErr w:type="spellEnd"/>
            <w:r w:rsidRPr="00203060">
              <w:rPr>
                <w:rFonts w:ascii="Times New Roman" w:eastAsia="Times New Roman" w:hAnsi="Times New Roman" w:cs="Times New Roman"/>
                <w:color w:val="000000"/>
                <w:sz w:val="20"/>
                <w:szCs w:val="20"/>
                <w:lang w:val="lv-LV"/>
              </w:rPr>
              <w:t xml:space="preserve"> svārstīguma pielāgojums [korekcija]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4FA9FF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Iespēja atļaut pieprasīt iepriekšēju uzraudzības iestādes apstiprinājumu, lai piemērotu svārstīguma korekciju </w:t>
            </w:r>
            <w:proofErr w:type="spellStart"/>
            <w:r w:rsidRPr="00203060">
              <w:rPr>
                <w:rFonts w:ascii="Times New Roman" w:eastAsia="Times New Roman" w:hAnsi="Times New Roman" w:cs="Times New Roman"/>
                <w:color w:val="000000"/>
                <w:sz w:val="20"/>
                <w:szCs w:val="20"/>
                <w:lang w:val="lv-LV"/>
              </w:rPr>
              <w:t>bezriska</w:t>
            </w:r>
            <w:proofErr w:type="spellEnd"/>
            <w:r w:rsidRPr="00203060">
              <w:rPr>
                <w:rFonts w:ascii="Times New Roman" w:eastAsia="Times New Roman" w:hAnsi="Times New Roman" w:cs="Times New Roman"/>
                <w:color w:val="000000"/>
                <w:sz w:val="20"/>
                <w:szCs w:val="20"/>
                <w:lang w:val="lv-LV"/>
              </w:rPr>
              <w:t xml:space="preserve"> procentu likmju </w:t>
            </w:r>
            <w:proofErr w:type="spellStart"/>
            <w:r w:rsidRPr="00203060">
              <w:rPr>
                <w:rFonts w:ascii="Times New Roman" w:eastAsia="Times New Roman" w:hAnsi="Times New Roman" w:cs="Times New Roman"/>
                <w:color w:val="000000"/>
                <w:sz w:val="20"/>
                <w:szCs w:val="20"/>
                <w:lang w:val="lv-LV"/>
              </w:rPr>
              <w:t>termiņstruktūrai</w:t>
            </w:r>
            <w:proofErr w:type="spellEnd"/>
            <w:r w:rsidRPr="00203060">
              <w:rPr>
                <w:rFonts w:ascii="Times New Roman" w:eastAsia="Times New Roman" w:hAnsi="Times New Roman" w:cs="Times New Roman"/>
                <w:color w:val="000000"/>
                <w:sz w:val="20"/>
                <w:szCs w:val="20"/>
                <w:lang w:val="lv-LV"/>
              </w:rPr>
              <w:t xml:space="preserve"> nolūkā aprēķināt visprecīzāko novērtējumu, kas minēts 77. panta 2. punktā</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DD80F3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4F08FA">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4CD73B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8DC5A0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8762A1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83977A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3B400F52"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1839B0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148. panta 2.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0DFC58C"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Piederības dalībvalsts sniegts paziņojums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3AA497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prasīt, lai nedzīvības apdrošināšanas sabiedrības, kas apdrošina sauszemes mehānisko transportlīdzekļu īpašnieku civiltiesiskās atbildības riskus, izmantojot pakalpojumu sniegšanas brīvību, iesniedz konkrētu informāciju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6D0A67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583C55"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D8E9CB6" w14:textId="77777777" w:rsidR="00366D9B" w:rsidRPr="00203060" w:rsidRDefault="00583C55"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 L</w:t>
            </w:r>
            <w:r w:rsidR="00366D9B"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31ED38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28F1" w:rsidRPr="00203060">
              <w:rPr>
                <w:rFonts w:ascii="Times New Roman" w:eastAsia="Times New Roman" w:hAnsi="Times New Roman" w:cs="Times New Roman"/>
                <w:color w:val="000000"/>
                <w:sz w:val="20"/>
                <w:szCs w:val="20"/>
                <w:lang w:val="lv-LV"/>
              </w:rPr>
              <w:t>Apdrošināšanas un pārapdrošināšanas likums</w:t>
            </w:r>
            <w:r w:rsidR="00583C55" w:rsidRPr="00203060">
              <w:rPr>
                <w:rFonts w:ascii="Times New Roman" w:eastAsia="Times New Roman" w:hAnsi="Times New Roman" w:cs="Times New Roman"/>
                <w:color w:val="000000"/>
                <w:sz w:val="20"/>
                <w:szCs w:val="20"/>
                <w:lang w:val="lv-LV"/>
              </w:rPr>
              <w:t xml:space="preserve"> 157. panta trešā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0A59A9E" w14:textId="77777777" w:rsidR="00583C55" w:rsidRPr="00203060" w:rsidRDefault="00366D9B" w:rsidP="00583C55">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583C55" w:rsidRPr="00203060">
              <w:rPr>
                <w:rFonts w:ascii="Times New Roman" w:eastAsia="Times New Roman" w:hAnsi="Times New Roman" w:cs="Times New Roman"/>
                <w:color w:val="000000"/>
                <w:sz w:val="20"/>
                <w:szCs w:val="20"/>
                <w:lang w:val="lv-LV"/>
              </w:rPr>
              <w:t>Ja apdrošināšanas sabiedrība plāno veikt transportlīdzekļu īpašnieku civiltiesiskās atbildības obligāto apdrošināšanu, tā iesniegumā papildus ietver:</w:t>
            </w:r>
          </w:p>
          <w:p w14:paraId="0C295833" w14:textId="77777777" w:rsidR="00583C55" w:rsidRPr="00203060" w:rsidRDefault="00583C55" w:rsidP="00583C55">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 informāciju par apdrošināšanas sabiedrības pārstāvi, kurš pilnvarots pieņemt lēmumus par apdrošināšanas atlīdzību izmaksu, un viņa adresi dalībvalstī;</w:t>
            </w:r>
          </w:p>
          <w:p w14:paraId="292943DE" w14:textId="77777777" w:rsidR="00583C55" w:rsidRPr="00203060" w:rsidRDefault="00583C55" w:rsidP="00583C55">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2) ziņas par šā likuma 159.pantā noteikto apdrošināšanas sabiedrības pārstāvi un viņa adresi dalībvalstī;</w:t>
            </w:r>
          </w:p>
          <w:p w14:paraId="2F1D5CFD" w14:textId="77777777" w:rsidR="00366D9B" w:rsidRPr="00203060" w:rsidRDefault="00583C55" w:rsidP="00583C55">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3) apliecinājumu, ka apdrošināšanas sabiedrība ir dalībvalsts transportlīdzekļu biroja vai tam analogas organizācijas un attiecīgā garantijas fonda dalībniece.</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4851860" w14:textId="77777777" w:rsidR="00583C55" w:rsidRPr="00203060" w:rsidRDefault="00366D9B" w:rsidP="00583C55">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lastRenderedPageBreak/>
              <w:t> </w:t>
            </w:r>
            <w:r w:rsidR="00583C55" w:rsidRPr="00203060">
              <w:rPr>
                <w:rFonts w:ascii="Times New Roman" w:eastAsia="Times New Roman" w:hAnsi="Times New Roman" w:cs="Times New Roman"/>
                <w:color w:val="000000"/>
                <w:sz w:val="20"/>
                <w:szCs w:val="20"/>
              </w:rPr>
              <w:t>If the insurance company intends to pursue motor vehicle owner compulsory third party insurance, it shall additionally specify in the application:</w:t>
            </w:r>
          </w:p>
          <w:p w14:paraId="5104D2C5" w14:textId="77777777" w:rsidR="00583C55" w:rsidRPr="00203060" w:rsidRDefault="00583C55" w:rsidP="00583C55">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1) the information about the representative of the insurance company </w:t>
            </w:r>
            <w:proofErr w:type="spellStart"/>
            <w:r w:rsidRPr="00203060">
              <w:rPr>
                <w:rFonts w:ascii="Times New Roman" w:eastAsia="Times New Roman" w:hAnsi="Times New Roman" w:cs="Times New Roman"/>
                <w:color w:val="000000"/>
                <w:sz w:val="20"/>
                <w:szCs w:val="20"/>
              </w:rPr>
              <w:t>authorised</w:t>
            </w:r>
            <w:proofErr w:type="spellEnd"/>
            <w:r w:rsidRPr="00203060">
              <w:rPr>
                <w:rFonts w:ascii="Times New Roman" w:eastAsia="Times New Roman" w:hAnsi="Times New Roman" w:cs="Times New Roman"/>
                <w:color w:val="000000"/>
                <w:sz w:val="20"/>
                <w:szCs w:val="20"/>
              </w:rPr>
              <w:t xml:space="preserve"> to adopt decisions to disburse insurance indemnities, and the address thereof in the Member State;</w:t>
            </w:r>
          </w:p>
          <w:p w14:paraId="4116BCBD" w14:textId="77777777" w:rsidR="00583C55" w:rsidRPr="00203060" w:rsidRDefault="00583C55" w:rsidP="00583C55">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lastRenderedPageBreak/>
              <w:t>2) particulars of the representative of the insurance company set out in Section 159 of this Law and the address thereof in the Member State;</w:t>
            </w:r>
          </w:p>
          <w:p w14:paraId="20536B17" w14:textId="77777777" w:rsidR="00366D9B" w:rsidRPr="00203060" w:rsidRDefault="00583C55" w:rsidP="00583C55">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3) confirmation that the insurance company is a member of the Vehicle Bureau or an analogous </w:t>
            </w:r>
            <w:proofErr w:type="spellStart"/>
            <w:r w:rsidRPr="00203060">
              <w:rPr>
                <w:rFonts w:ascii="Times New Roman" w:eastAsia="Times New Roman" w:hAnsi="Times New Roman" w:cs="Times New Roman"/>
                <w:color w:val="000000"/>
                <w:sz w:val="20"/>
                <w:szCs w:val="20"/>
              </w:rPr>
              <w:t>organisation</w:t>
            </w:r>
            <w:proofErr w:type="spellEnd"/>
            <w:r w:rsidRPr="00203060">
              <w:rPr>
                <w:rFonts w:ascii="Times New Roman" w:eastAsia="Times New Roman" w:hAnsi="Times New Roman" w:cs="Times New Roman"/>
                <w:color w:val="000000"/>
                <w:sz w:val="20"/>
                <w:szCs w:val="20"/>
              </w:rPr>
              <w:t xml:space="preserve"> in the Member State and the member of the relevant guarantee fund.</w:t>
            </w:r>
          </w:p>
        </w:tc>
      </w:tr>
      <w:tr w:rsidR="00E81189" w:rsidRPr="00203060" w14:paraId="7D59FB3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3989EF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150. panta 3.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11681C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Sauszemes mehānisko transportlīdzekļu īpašnieku obligātā civiltiesiskā atbildība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77E982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uzņēmējai dalībvalstij pieprasīt apdrošināšanas sabiedrībām, kas sniedz pakalpojumus, ievērot noteikumus attiecībā uz apdrošināšanu pret paaugstinātiem riskiem, ja šādi noteikumi attiecas uz nedzīvības apdrošināšanas sabiedrībām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E9FBB4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F45B9"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0DF711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702A6A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BC0DF1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13C321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045D4700"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008221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152. panta 4.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30F892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Pārstāvis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60E09CC"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apstiprināt atlīdzības prasību administrēšanas pārstāvi, kas iecelts saskaņā ar Direktīvas 2000/26/EK 4. pantu, kā pārstāvi saskaņā ar 152. panta 1. punktu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39A89B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F45B9"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4AA0EFB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F45B9"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B1923F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28F1" w:rsidRPr="00203060">
              <w:rPr>
                <w:rFonts w:ascii="Times New Roman" w:eastAsia="Times New Roman" w:hAnsi="Times New Roman" w:cs="Times New Roman"/>
                <w:color w:val="000000"/>
                <w:sz w:val="20"/>
                <w:szCs w:val="20"/>
                <w:lang w:val="lv-LV"/>
              </w:rPr>
              <w:t>Apdrošināšanas un pārapdrošināšanas likums</w:t>
            </w:r>
            <w:r w:rsidR="00EF45B9" w:rsidRPr="00203060">
              <w:rPr>
                <w:rFonts w:ascii="Times New Roman" w:eastAsia="Times New Roman" w:hAnsi="Times New Roman" w:cs="Times New Roman"/>
                <w:color w:val="000000"/>
                <w:sz w:val="20"/>
                <w:szCs w:val="20"/>
                <w:lang w:val="lv-LV"/>
              </w:rPr>
              <w:t xml:space="preserve"> 159 ceturtā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E855E1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F45B9" w:rsidRPr="00203060">
              <w:rPr>
                <w:rFonts w:ascii="Times New Roman" w:eastAsia="Times New Roman" w:hAnsi="Times New Roman" w:cs="Times New Roman"/>
                <w:color w:val="000000"/>
                <w:sz w:val="20"/>
                <w:szCs w:val="20"/>
                <w:lang w:val="lv-LV"/>
              </w:rPr>
              <w:t>Ja dalībvalsts nedzīvības apdrošināšanas sabiedrība nav iecēlusi savu pārstāvi, uzskatāms, ka šā panta pirmajā daļā minētā pārstāvja pienākumus pilda atlīdzības prasību administrēšanas pārstāvis, kurš iecelts saskaņā ar dalībvalsts sauszemes transportlīdzekļu īpašnieku civiltiesiskās atbildības obligātās apdrošināšanas jomu regulējošiem normatīvajiem aktiem.</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D77B4B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00EF45B9" w:rsidRPr="00203060">
              <w:rPr>
                <w:rFonts w:ascii="Times New Roman" w:eastAsia="Times New Roman" w:hAnsi="Times New Roman" w:cs="Times New Roman"/>
                <w:color w:val="000000"/>
                <w:sz w:val="20"/>
                <w:szCs w:val="20"/>
              </w:rPr>
              <w:t>Where the Member State non-life insurance company has not appointed a representative, it shall be considered that the duties of the representative shall be performed by the representative of the administration of claims appointed under the laws and regulations regulating the motor vehicle third party compulsory liability insurance.</w:t>
            </w:r>
          </w:p>
        </w:tc>
      </w:tr>
      <w:tr w:rsidR="00E81189" w:rsidRPr="00203060" w14:paraId="1715038A"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9796F0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163. panta 3.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2A5BAA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Filiāles darbības plāns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AF5B72F"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pieprasīt apdrošināšanas sabiedrībām iesniegt regulārus ziņojumus par tehnisko bāzi, kuru izmanto prēmiju un tehnisko rezervju aprēķināšanai attiecībā uz dzīvības apdrošināšanu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F817A3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53A586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A5F8CF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EAFB62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5EAADA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2007A8C0"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C35822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169. panta 2.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BCDD9E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Nedzīvības un dzīvības apdrošināšanas uzņēmējdarbības nodalīšana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32DF37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jauktām filiālēm veikt dzīvības un nedzīvības apdrošināšanas darbības, ja vien katrai darbībai ir atsevišķa vadība</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4E2406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6CD61E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0325E8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761E32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154DF4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5145EA9A"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0E1996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169. panta 3.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9C7D5F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Nedzīvības un dzīvības apdrošināšanas uzņēmējdarbības nodalīšana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268701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attiecībā uz filiālēm, kuras 73. panta 5. punkta pirmajā daļā minētajā laikā dalībvalstī veic vienīgi dzīvības apdrošināšanu, bet kuru galvenais birojs, kas atrodas ārpus Kopienas, vienlaicīgi veic dzīvības un nedzīvības apdrošināšanas darbības, un pēc tam šajā dalībvalstī vēlas veikt nedzīvības apdrošināšanas darījumus.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BA1433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49CE13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1799A7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12838C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F17DB5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5AC34590"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245E71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179. panta 4.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EBF52B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Saistīti pienākumi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CD43B6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prasīt izdot paziņojumu, ka apdrošināšanas līgums atbilst īpašiem obligātās nedzīvības apdrošināšanas noteikumiem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4F6B20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717D24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7EB395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604DF3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23F3CB1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36E3F558"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0508A1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181. panta 1.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CCE79F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Nedzīvības apdrošināšana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829918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pieprasīt vienreizējus ziņojumus par apdrošināšanas noteikumiem un citiem dokumentiem, lai pārbaudītu to atbilstību valsts noteikumiem par apdrošināšanas līgumiem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DC0ED0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D52824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15CE25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36409D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2FD91AC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715FB715"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247F04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181. panta 2. punkta pirmā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CD9E6A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Nedzīvības apdrošināšana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E726F1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prasīt paziņot uzraudzības iestādei vispārīgos un īpašos obligātās apdrošināšanas noteikumus pirms to izmantošanas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71D41F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87779F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A8DDFA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FC9DFF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EA2A9F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2BE7C60E"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FFF83C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182. panta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86E8F4F"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Dzīvības apdrošināšana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47C777C"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pieprasīt regulārus ziņojumus par to, kādas metodes tiek izmantotas prēmiju un tehnisko rezervju aprēķināšanai, lai pārbaudītu, vai ir ievēroti aktuāra principi</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60082D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CA89E8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BD6061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6CB3AB6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3C306C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0C2EFB02"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5A5BEA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184. panta 2.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29110D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Papildu informācija gadījumā, ja nedzīvības apdrošināšanu piedāvā, izmantojot tiesības veikt uzņēmējdarbību vai pakalpojumu sniegšanas brīvību</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424117FF"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prasīt, lai apdrošināšanas līgumā vai citā dokumentā, kas piedāvā apdrošināšanas segumu, būtu norādīts nedzīvības apdrošināšanas sabiedrības pārstāvja vārds un adrese</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6427B8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4F891D5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A36864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8C9B05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C802C4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7B71EFD0"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160282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185. panta 7.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0F17BB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Informācija apdrošinājuma ņēmējiem</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B241EF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prasīt sniegt papildu ziņas, lai nodrošinātu, ka apdrošinājuma ņēmēji apzinās būtiskos dzīvības apdrošināšanas saistību elementus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3C5600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507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6017BA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1F2903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19344D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79C4515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539DAC0E"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D0A042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186. panta 2.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44E6DA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Līguma anulēšanas laikposms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FD0F0C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nepiemērot anulēšanas termiņu apdrošinājuma ņēmējiem īpašos gadījumos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7DB14DE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F1B17"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6070B7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F1B17"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7506918" w14:textId="26C2EFD0" w:rsidR="00366D9B" w:rsidRPr="00203060" w:rsidRDefault="005B5981" w:rsidP="00366D9B">
            <w:pPr>
              <w:spacing w:before="120" w:after="0" w:line="240" w:lineRule="auto"/>
              <w:jc w:val="both"/>
              <w:rPr>
                <w:rFonts w:ascii="Times New Roman" w:eastAsia="Times New Roman" w:hAnsi="Times New Roman" w:cs="Times New Roman"/>
                <w:color w:val="000000"/>
                <w:sz w:val="20"/>
                <w:szCs w:val="20"/>
                <w:lang w:val="lv-LV"/>
              </w:rPr>
            </w:pPr>
            <w:r>
              <w:rPr>
                <w:rFonts w:ascii="Times New Roman" w:eastAsia="Times New Roman" w:hAnsi="Times New Roman" w:cs="Times New Roman"/>
                <w:color w:val="000000"/>
                <w:sz w:val="20"/>
                <w:szCs w:val="20"/>
                <w:lang w:val="lv-LV"/>
              </w:rPr>
              <w:t>Apdrošināšanas līguma likuma</w:t>
            </w:r>
            <w:r w:rsidR="00DF1B17" w:rsidRPr="00203060">
              <w:rPr>
                <w:rFonts w:ascii="Times New Roman" w:eastAsia="Times New Roman" w:hAnsi="Times New Roman" w:cs="Times New Roman"/>
                <w:color w:val="000000"/>
                <w:sz w:val="20"/>
                <w:szCs w:val="20"/>
                <w:lang w:val="lv-LV"/>
              </w:rPr>
              <w:t xml:space="preserve"> </w:t>
            </w:r>
            <w:r>
              <w:rPr>
                <w:rFonts w:ascii="Times New Roman" w:eastAsia="Times New Roman" w:hAnsi="Times New Roman" w:cs="Times New Roman"/>
                <w:color w:val="000000"/>
                <w:sz w:val="20"/>
                <w:szCs w:val="20"/>
                <w:lang w:val="lv-LV"/>
              </w:rPr>
              <w:t>36</w:t>
            </w:r>
            <w:r w:rsidR="00DF1B17" w:rsidRPr="00203060">
              <w:rPr>
                <w:rFonts w:ascii="Times New Roman" w:eastAsia="Times New Roman" w:hAnsi="Times New Roman" w:cs="Times New Roman"/>
                <w:color w:val="000000"/>
                <w:sz w:val="20"/>
                <w:szCs w:val="20"/>
                <w:lang w:val="lv-LV"/>
              </w:rPr>
              <w:t xml:space="preserve">. panta </w:t>
            </w:r>
            <w:r>
              <w:rPr>
                <w:rFonts w:ascii="Times New Roman" w:eastAsia="Times New Roman" w:hAnsi="Times New Roman" w:cs="Times New Roman"/>
                <w:color w:val="000000"/>
                <w:sz w:val="20"/>
                <w:szCs w:val="20"/>
                <w:lang w:val="lv-LV"/>
              </w:rPr>
              <w:t>piektā</w:t>
            </w:r>
            <w:r w:rsidR="00DF1B17" w:rsidRPr="00203060">
              <w:rPr>
                <w:rFonts w:ascii="Times New Roman" w:eastAsia="Times New Roman" w:hAnsi="Times New Roman" w:cs="Times New Roman"/>
                <w:color w:val="000000"/>
                <w:sz w:val="20"/>
                <w:szCs w:val="20"/>
                <w:lang w:val="lv-LV"/>
              </w:rPr>
              <w:t xml:space="preserve">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2DC776A" w14:textId="0D7C4E4A" w:rsidR="00366D9B" w:rsidRPr="00203060" w:rsidRDefault="00366D9B" w:rsidP="00DF1B17">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F1B17" w:rsidRPr="00203060">
              <w:rPr>
                <w:rFonts w:ascii="Times New Roman" w:eastAsia="Times New Roman" w:hAnsi="Times New Roman" w:cs="Times New Roman"/>
                <w:color w:val="000000"/>
                <w:sz w:val="20"/>
                <w:szCs w:val="20"/>
                <w:lang w:val="lv-LV"/>
              </w:rPr>
              <w:t xml:space="preserve">Šā panta </w:t>
            </w:r>
            <w:r w:rsidR="005B5981">
              <w:rPr>
                <w:rFonts w:ascii="Times New Roman" w:eastAsia="Times New Roman" w:hAnsi="Times New Roman" w:cs="Times New Roman"/>
                <w:color w:val="000000"/>
                <w:sz w:val="20"/>
                <w:szCs w:val="20"/>
                <w:lang w:val="lv-LV"/>
              </w:rPr>
              <w:t>ceturtās</w:t>
            </w:r>
            <w:r w:rsidR="00DF1B17" w:rsidRPr="00203060">
              <w:rPr>
                <w:rFonts w:ascii="Times New Roman" w:eastAsia="Times New Roman" w:hAnsi="Times New Roman" w:cs="Times New Roman"/>
                <w:color w:val="000000"/>
                <w:sz w:val="20"/>
                <w:szCs w:val="20"/>
                <w:lang w:val="lv-LV"/>
              </w:rPr>
              <w:t xml:space="preserve"> daļas noteikumi </w:t>
            </w:r>
            <w:r w:rsidR="005B5981" w:rsidRPr="005B5981">
              <w:rPr>
                <w:rFonts w:ascii="Times New Roman" w:eastAsia="Times New Roman" w:hAnsi="Times New Roman" w:cs="Times New Roman"/>
                <w:color w:val="000000"/>
                <w:sz w:val="20"/>
                <w:szCs w:val="20"/>
                <w:lang w:val="lv-LV"/>
              </w:rPr>
              <w:t>neattiecas uz dzīvības apdrošināšanas līgumiem ar līdzekļu uzkrāšanu, ja apdrošināšanas periods ir īsāks par sešiem mēnešiem</w:t>
            </w:r>
            <w:r w:rsidR="00DF1B17" w:rsidRPr="00203060">
              <w:rPr>
                <w:rFonts w:ascii="Times New Roman" w:eastAsia="Times New Roman" w:hAnsi="Times New Roman" w:cs="Times New Roman"/>
                <w:color w:val="000000"/>
                <w:sz w:val="20"/>
                <w:szCs w:val="20"/>
                <w:lang w:val="lv-LV"/>
              </w:rPr>
              <w:t>.</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EDDF219" w14:textId="215DDE0E"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005B5981" w:rsidRPr="005B5981">
              <w:rPr>
                <w:rFonts w:ascii="Times New Roman" w:eastAsia="Times New Roman" w:hAnsi="Times New Roman" w:cs="Times New Roman"/>
                <w:color w:val="000000"/>
                <w:sz w:val="20"/>
                <w:szCs w:val="20"/>
              </w:rPr>
              <w:t>The provisions of Paragraph four of this Section shall not apply to life insurance contracts with accumulation of funds if insurance period is shorter than six months</w:t>
            </w:r>
            <w:r w:rsidR="00DF1B17" w:rsidRPr="00203060">
              <w:rPr>
                <w:rFonts w:ascii="Times New Roman" w:eastAsia="Times New Roman" w:hAnsi="Times New Roman" w:cs="Times New Roman"/>
                <w:color w:val="000000"/>
                <w:sz w:val="20"/>
                <w:szCs w:val="20"/>
              </w:rPr>
              <w:t>.</w:t>
            </w:r>
          </w:p>
        </w:tc>
      </w:tr>
      <w:tr w:rsidR="00E81189" w:rsidRPr="00203060" w14:paraId="420DDA8D"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2DE826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189. pants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0D3DAA2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Līdzdalība valsts garantiju sistēmās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1B5298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Iespēja atļaut prasīt, lai nedzīvības apdrošināšanas sabiedrības obligāti </w:t>
            </w:r>
            <w:r w:rsidRPr="00203060">
              <w:rPr>
                <w:rFonts w:ascii="Times New Roman" w:eastAsia="Times New Roman" w:hAnsi="Times New Roman" w:cs="Times New Roman"/>
                <w:color w:val="000000"/>
                <w:sz w:val="20"/>
                <w:szCs w:val="20"/>
                <w:lang w:val="lv-LV"/>
              </w:rPr>
              <w:lastRenderedPageBreak/>
              <w:t>piedalītos uzņēmējas dalībvalsts garantiju sistēmās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E0702F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 </w:t>
            </w:r>
            <w:r w:rsidR="00DF1B17"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E08F52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F1B17"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8B0A62A" w14:textId="77777777" w:rsidR="00366D9B" w:rsidRPr="00203060" w:rsidRDefault="006628F1" w:rsidP="00DF1B17">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Apdrošināšanas un pārapdrošināšanas </w:t>
            </w:r>
            <w:r w:rsidRPr="00203060">
              <w:rPr>
                <w:rFonts w:ascii="Times New Roman" w:eastAsia="Times New Roman" w:hAnsi="Times New Roman" w:cs="Times New Roman"/>
                <w:color w:val="000000"/>
                <w:sz w:val="20"/>
                <w:szCs w:val="20"/>
                <w:lang w:val="lv-LV"/>
              </w:rPr>
              <w:lastRenderedPageBreak/>
              <w:t>likums</w:t>
            </w:r>
            <w:r w:rsidR="00DF1B17" w:rsidRPr="00203060">
              <w:rPr>
                <w:rFonts w:ascii="Times New Roman" w:eastAsia="Times New Roman" w:hAnsi="Times New Roman" w:cs="Times New Roman"/>
                <w:color w:val="000000"/>
                <w:sz w:val="20"/>
                <w:szCs w:val="20"/>
                <w:lang w:val="lv-LV"/>
              </w:rPr>
              <w:t xml:space="preserve"> 287. panta pirmā, ceturtā un piektā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BE3756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 </w:t>
            </w:r>
            <w:r w:rsidR="00DF1B17" w:rsidRPr="00203060">
              <w:rPr>
                <w:rFonts w:ascii="Times New Roman" w:eastAsia="Times New Roman" w:hAnsi="Times New Roman" w:cs="Times New Roman"/>
                <w:color w:val="000000"/>
                <w:sz w:val="20"/>
                <w:szCs w:val="20"/>
                <w:lang w:val="lv-LV"/>
              </w:rPr>
              <w:t xml:space="preserve">(1) Apdrošināto aizsardzības fondu veido </w:t>
            </w:r>
            <w:r w:rsidR="00DF1B17" w:rsidRPr="00203060">
              <w:rPr>
                <w:rFonts w:ascii="Times New Roman" w:eastAsia="Times New Roman" w:hAnsi="Times New Roman" w:cs="Times New Roman"/>
                <w:color w:val="000000"/>
                <w:sz w:val="20"/>
                <w:szCs w:val="20"/>
                <w:lang w:val="lv-LV"/>
              </w:rPr>
              <w:lastRenderedPageBreak/>
              <w:t>fonda dalībnieku atskaitījumi 0,1 procenta apmērā no to bruto apdrošināšanas prēmiju kopsummas, kuras saņemtas no fiziskajām personām par šā likuma 19.panta pirmās daļas 1., 2., 3., 8., 9., 10., 13. un 18.punktā un otrās daļas 1., 2., 4., 5., 6. un 7.punktā minētajiem apdrošināšanas veidiem.</w:t>
            </w:r>
          </w:p>
          <w:p w14:paraId="301C73BF" w14:textId="77777777" w:rsidR="00DF1B17" w:rsidRPr="00203060" w:rsidRDefault="00DF1B17" w:rsidP="00DF1B17">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(4) Šā panta pirmās daļas noteikumi nav saistoši dalībvalsts vai </w:t>
            </w:r>
            <w:proofErr w:type="spellStart"/>
            <w:r w:rsidRPr="00203060">
              <w:rPr>
                <w:rFonts w:ascii="Times New Roman" w:eastAsia="Times New Roman" w:hAnsi="Times New Roman" w:cs="Times New Roman"/>
                <w:color w:val="000000"/>
                <w:sz w:val="20"/>
                <w:szCs w:val="20"/>
                <w:lang w:val="lv-LV"/>
              </w:rPr>
              <w:t>nedalībvalsts</w:t>
            </w:r>
            <w:proofErr w:type="spellEnd"/>
            <w:r w:rsidRPr="00203060">
              <w:rPr>
                <w:rFonts w:ascii="Times New Roman" w:eastAsia="Times New Roman" w:hAnsi="Times New Roman" w:cs="Times New Roman"/>
                <w:color w:val="000000"/>
                <w:sz w:val="20"/>
                <w:szCs w:val="20"/>
                <w:lang w:val="lv-LV"/>
              </w:rPr>
              <w:t xml:space="preserve"> apdrošinātāju filiālēm, ja šo valstu normatīvie akti paredz apdrošināto aizsardzību to filiālēs ārvalstīs (arī Latvijas Republikā) un aptver visus šajā likumā paredzētos gadījumus, turklāt garantētā apdrošināšanas atlīdzība nav mazāka par šajā likumā noteikto.</w:t>
            </w:r>
          </w:p>
          <w:p w14:paraId="4E91331D" w14:textId="77777777" w:rsidR="00DF1B17" w:rsidRPr="00203060" w:rsidRDefault="00DF1B17" w:rsidP="00DF1B17">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(5) Šā panta pirmās daļas noteikumi nav saistoši dalībvalsts apdrošinātājam, ja dalībvalsts apdrošinātāja mītnes valsts normatīvie akti paredz apdrošināto aizsardzību ārvalstīs (arī Latvijas Republikā), kurās tas sniedz apdrošināšanas pakalpojumus, ievērojot pakalpojumu sniegšanas brīvības principu, un aptver visus šajā likumā paredzētos gadījumus, turklāt garantētā </w:t>
            </w:r>
            <w:r w:rsidRPr="00203060">
              <w:rPr>
                <w:rFonts w:ascii="Times New Roman" w:eastAsia="Times New Roman" w:hAnsi="Times New Roman" w:cs="Times New Roman"/>
                <w:color w:val="000000"/>
                <w:sz w:val="20"/>
                <w:szCs w:val="20"/>
                <w:lang w:val="lv-LV"/>
              </w:rPr>
              <w:lastRenderedPageBreak/>
              <w:t>apdrošināšanas atlīdzība nav mazāka par šajā likumā noteikto.</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362B96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lastRenderedPageBreak/>
              <w:t> </w:t>
            </w:r>
            <w:r w:rsidR="00DF1B17" w:rsidRPr="00203060">
              <w:rPr>
                <w:rFonts w:ascii="Times New Roman" w:eastAsia="Times New Roman" w:hAnsi="Times New Roman" w:cs="Times New Roman"/>
                <w:color w:val="000000"/>
                <w:sz w:val="20"/>
                <w:szCs w:val="20"/>
              </w:rPr>
              <w:t xml:space="preserve">(1) The funds of the Protection Fund for the </w:t>
            </w:r>
            <w:r w:rsidR="00DF1B17" w:rsidRPr="00203060">
              <w:rPr>
                <w:rFonts w:ascii="Times New Roman" w:eastAsia="Times New Roman" w:hAnsi="Times New Roman" w:cs="Times New Roman"/>
                <w:color w:val="000000"/>
                <w:sz w:val="20"/>
                <w:szCs w:val="20"/>
              </w:rPr>
              <w:lastRenderedPageBreak/>
              <w:t>Insured shall be made up from the contributions of the members thereof in the amount of 0.1 per cent of the sum total of their gross insurance premiums received from natural persons for the classes of insurance referred to in Section 19, Paragraph one, Clauses 1, 2, 3, 8, 9, 10, 13 and 18 and Paragraph two, Clauses 1, 2, 4, 5, 6 and 7 of this Law.</w:t>
            </w:r>
          </w:p>
          <w:p w14:paraId="6D6E698B" w14:textId="77777777" w:rsidR="00DF1B17" w:rsidRPr="00203060" w:rsidRDefault="00DF1B17" w:rsidP="00DF1B17">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(4) The provisions of Paragraph one hereof shall not be binding on the branches of Member State or non-Member State insurers, if the laws and regulations of these countries provide for the protection of the insured in the branches thereof abroad (as well as in the Republic of Latvia) and cover all the cases provided for in this Law, and the guaranteed insurance indemnity is not lower than that provided for in this Law.</w:t>
            </w:r>
          </w:p>
          <w:p w14:paraId="3FD3F940" w14:textId="77777777" w:rsidR="00DF1B17" w:rsidRPr="00203060" w:rsidRDefault="00DF1B17" w:rsidP="00DF1B17">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(5) The provisions of Paragraph one hereof shall not be binding on the Member State insurer if the laws and regulations of the home country of the Member State insurer provide for the protection of the insured in foreign countries (as well as in the </w:t>
            </w:r>
            <w:r w:rsidRPr="00203060">
              <w:rPr>
                <w:rFonts w:ascii="Times New Roman" w:eastAsia="Times New Roman" w:hAnsi="Times New Roman" w:cs="Times New Roman"/>
                <w:color w:val="000000"/>
                <w:sz w:val="20"/>
                <w:szCs w:val="20"/>
              </w:rPr>
              <w:lastRenderedPageBreak/>
              <w:t>Republic of Latvia), in which it provides insurance services under the freedom to provide services principle and cover all the cases provided for in this Law, and the guaranteed insurance indemnity is not lower than that provided for in this Law.</w:t>
            </w:r>
          </w:p>
        </w:tc>
      </w:tr>
      <w:tr w:rsidR="00E81189" w:rsidRPr="00203060" w14:paraId="308954B2"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88625F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197. panta pirmā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D6A7CC5"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Darbības, kas līdzīgas palīdzības sniegšanai tūristiem</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94172D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sniegt palīdzību personām, kas nonākušas grūtībās apstākļos, kuri nav minēti 2. panta 2. punktā</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EDED9A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DF1B17"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6509CB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3D9898B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227202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208A40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17A3CFDB"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F82F45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198. panta 2. punkta c) apakšpunkts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DE3EED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Šīs iedaļas piemērošanas joma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C4D998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prasības attiecībā uz juridisko izdevumu apdrošināšanu nepiemērot juridisko izdevumu apdrošināšanai, ko veic apdrošinātājs palīdzības apdrošināšanā, īpašos apstākļos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8077C2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021C64"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233A3A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021C64"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21A7803" w14:textId="77777777" w:rsidR="00366D9B" w:rsidRPr="00203060" w:rsidRDefault="006628F1" w:rsidP="00021C64">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likums</w:t>
            </w:r>
            <w:r w:rsidR="00021C64" w:rsidRPr="00203060">
              <w:rPr>
                <w:rFonts w:ascii="Times New Roman" w:eastAsia="Times New Roman" w:hAnsi="Times New Roman" w:cs="Times New Roman"/>
                <w:color w:val="000000"/>
                <w:sz w:val="20"/>
                <w:szCs w:val="20"/>
                <w:lang w:val="lv-LV"/>
              </w:rPr>
              <w:t xml:space="preserve"> 191. panta otrās daļas 3. punkts "b" apakšpunkts</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C7B0154" w14:textId="77777777" w:rsidR="00021C64" w:rsidRPr="00203060" w:rsidRDefault="00366D9B" w:rsidP="00021C64">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021C64" w:rsidRPr="00203060">
              <w:rPr>
                <w:rFonts w:ascii="Times New Roman" w:eastAsia="Times New Roman" w:hAnsi="Times New Roman" w:cs="Times New Roman"/>
                <w:color w:val="000000"/>
                <w:sz w:val="20"/>
                <w:szCs w:val="20"/>
                <w:lang w:val="lv-LV"/>
              </w:rPr>
              <w:t>3) juridisko izdevumu apdrošināšanu, kuru veic apdrošinātājs palīdzības apdrošināšanā, kas atbilst šādiem nosacījumiem:</w:t>
            </w:r>
          </w:p>
          <w:p w14:paraId="05EEBF1F" w14:textId="77777777" w:rsidR="00366D9B" w:rsidRPr="00203060" w:rsidRDefault="00021C64" w:rsidP="00021C64">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b) darbība ir daļa no līguma, kas attiecas tikai uz palīdzību, ko sniedz personām, kurām rodas grūtības ceļojuma laikā, esot prom no savām mājām vai no savas pastāvīgās dzīvesvietas.</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326C64E" w14:textId="77777777" w:rsidR="00021C64" w:rsidRPr="00203060" w:rsidRDefault="00366D9B" w:rsidP="00021C64">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00021C64" w:rsidRPr="00203060">
              <w:rPr>
                <w:rFonts w:ascii="Times New Roman" w:eastAsia="Times New Roman" w:hAnsi="Times New Roman" w:cs="Times New Roman"/>
                <w:color w:val="000000"/>
                <w:sz w:val="20"/>
                <w:szCs w:val="20"/>
              </w:rPr>
              <w:t>3) legal expenses insurance carried out by the insurer within the scope of assistance insurance, which meets the following conditions:</w:t>
            </w:r>
          </w:p>
          <w:p w14:paraId="71926118" w14:textId="77777777" w:rsidR="00366D9B" w:rsidRPr="00203060" w:rsidRDefault="00021C64" w:rsidP="00021C64">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b) the activity is part of the agreement relating only to assistance provided to persons who have encountered difficulties while travelling, while away from their homes or from their permanent places of residence.</w:t>
            </w:r>
          </w:p>
        </w:tc>
      </w:tr>
      <w:tr w:rsidR="00E81189" w:rsidRPr="00203060" w14:paraId="06EF5953"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0269BB09"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199. pants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D38FDC5"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Atsevišķi līgumi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E6C3C9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pieprasīt attiecīgajā līgumā skaidri precizēt juridisko izdevumu prēmijas apmēru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95C7AE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16EAF"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BE34C2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16EAF"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9EE41E6" w14:textId="77777777" w:rsidR="00366D9B" w:rsidRPr="00203060" w:rsidRDefault="00AC5C9C"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likums</w:t>
            </w:r>
            <w:r w:rsidR="00E16EAF" w:rsidRPr="00203060">
              <w:rPr>
                <w:rFonts w:ascii="Times New Roman" w:eastAsia="Times New Roman" w:hAnsi="Times New Roman" w:cs="Times New Roman"/>
                <w:color w:val="000000"/>
                <w:sz w:val="20"/>
                <w:szCs w:val="20"/>
                <w:lang w:val="lv-LV"/>
              </w:rPr>
              <w:t xml:space="preserve"> </w:t>
            </w:r>
            <w:r w:rsidR="000E6B98" w:rsidRPr="00203060">
              <w:rPr>
                <w:rFonts w:ascii="Times New Roman" w:eastAsia="Times New Roman" w:hAnsi="Times New Roman" w:cs="Times New Roman"/>
                <w:color w:val="000000"/>
                <w:sz w:val="20"/>
                <w:szCs w:val="20"/>
                <w:lang w:val="lv-LV"/>
              </w:rPr>
              <w:t>193. panta pirmās daļas 1. punkts.</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462EF72" w14:textId="77777777" w:rsidR="000E6B98" w:rsidRPr="00203060" w:rsidRDefault="00366D9B" w:rsidP="000E6B98">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0E6B98" w:rsidRPr="00203060">
              <w:rPr>
                <w:rFonts w:ascii="Times New Roman" w:eastAsia="Times New Roman" w:hAnsi="Times New Roman" w:cs="Times New Roman"/>
                <w:color w:val="000000"/>
                <w:sz w:val="20"/>
                <w:szCs w:val="20"/>
                <w:lang w:val="lv-LV"/>
              </w:rPr>
              <w:t>Apdrošinot juridiskos izdevumus, apdrošināšanas līgumā paredz:</w:t>
            </w:r>
          </w:p>
          <w:p w14:paraId="5288A88D" w14:textId="77777777" w:rsidR="00366D9B" w:rsidRPr="00203060" w:rsidRDefault="000E6B98" w:rsidP="000E6B98">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1) apdrošinātā riska un apdrošināšanas prēmijas atsevišķu atspoguļošanu, ja apdrošinātājs juridisko izdevumu apdrošināšanas risku apdrošina kopā ar </w:t>
            </w:r>
            <w:r w:rsidRPr="00203060">
              <w:rPr>
                <w:rFonts w:ascii="Times New Roman" w:eastAsia="Times New Roman" w:hAnsi="Times New Roman" w:cs="Times New Roman"/>
                <w:color w:val="000000"/>
                <w:sz w:val="20"/>
                <w:szCs w:val="20"/>
                <w:lang w:val="lv-LV"/>
              </w:rPr>
              <w:lastRenderedPageBreak/>
              <w:t>kādu citu apdrošināšanas risku;</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FB715A4" w14:textId="77777777" w:rsidR="000E6B98" w:rsidRPr="00203060" w:rsidRDefault="00366D9B" w:rsidP="000E6B98">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lastRenderedPageBreak/>
              <w:t> </w:t>
            </w:r>
            <w:r w:rsidR="000E6B98" w:rsidRPr="00203060">
              <w:rPr>
                <w:rFonts w:ascii="Times New Roman" w:eastAsia="Times New Roman" w:hAnsi="Times New Roman" w:cs="Times New Roman"/>
                <w:color w:val="000000"/>
                <w:sz w:val="20"/>
                <w:szCs w:val="20"/>
              </w:rPr>
              <w:t>In insuring legal expenses, the insurance contract shall provide for the following:</w:t>
            </w:r>
          </w:p>
          <w:p w14:paraId="0DC62E6A" w14:textId="77777777" w:rsidR="00366D9B" w:rsidRPr="00203060" w:rsidRDefault="000E6B98" w:rsidP="000E6B98">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1) separate presentation of the insured risk and insurance premiums if the insurer insures the risk of legal expenses insurance </w:t>
            </w:r>
            <w:r w:rsidRPr="00203060">
              <w:rPr>
                <w:rFonts w:ascii="Times New Roman" w:eastAsia="Times New Roman" w:hAnsi="Times New Roman" w:cs="Times New Roman"/>
                <w:color w:val="000000"/>
                <w:sz w:val="20"/>
                <w:szCs w:val="20"/>
              </w:rPr>
              <w:lastRenderedPageBreak/>
              <w:t>along with another insurance risk;</w:t>
            </w:r>
          </w:p>
        </w:tc>
      </w:tr>
      <w:tr w:rsidR="00E81189" w:rsidRPr="00203060" w14:paraId="6002A53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7427D3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200. panta 1. punkta pirmā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CC9E24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Prasību pārvaldība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7FA5B9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izvēlēties vienu no trim metodēm prasību pārvaldībai</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A997B1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0E6B98"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D14E2A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547CF5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EEA697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1DCD5C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0A16C541"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089DC7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200. panta 3.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3DCA49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Prasību pārvaldība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2A408E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attiecināt aizliegumu vienlaikus veikt tādu pašu vai līdzīgu darbību citā saistītā apdrošināšanas sabiedrībā juridisko izdevumu apdrošināšanas sabiedrības pārvaldes, vadības vai uzraudzības struktūru locekļiem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9F5848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0E6B98"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6AE9A18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1FE7AA1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1575F92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9E4D04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7A5E65D4"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269A0E7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202. panta 1.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F2948AF"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Izņēmums advokāta brīvai izvēlei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DD66BE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atbrīvojumu no noteikuma par tiesībām brīvi izvēlēties advokātu juridisko izdevumu apdrošināšanā ar dažiem nosacījumiem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5F5EFA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47D4"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6F7D42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47D4"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C939B82" w14:textId="77777777" w:rsidR="00366D9B" w:rsidRPr="00203060" w:rsidRDefault="00AC5C9C"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likums</w:t>
            </w:r>
            <w:r w:rsidR="006647D4" w:rsidRPr="00203060">
              <w:rPr>
                <w:rFonts w:ascii="Times New Roman" w:eastAsia="Times New Roman" w:hAnsi="Times New Roman" w:cs="Times New Roman"/>
                <w:color w:val="000000"/>
                <w:sz w:val="20"/>
                <w:szCs w:val="20"/>
                <w:lang w:val="lv-LV"/>
              </w:rPr>
              <w:t xml:space="preserve"> 193. panta trešā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5C1D046" w14:textId="77777777" w:rsidR="006647D4" w:rsidRPr="00203060" w:rsidRDefault="00366D9B" w:rsidP="006647D4">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47D4" w:rsidRPr="00203060">
              <w:rPr>
                <w:rFonts w:ascii="Times New Roman" w:eastAsia="Times New Roman" w:hAnsi="Times New Roman" w:cs="Times New Roman"/>
                <w:color w:val="000000"/>
                <w:sz w:val="20"/>
                <w:szCs w:val="20"/>
                <w:lang w:val="lv-LV"/>
              </w:rPr>
              <w:t>Šā panta pirmās daļas 2.punkts netiek piemērots, ja:</w:t>
            </w:r>
          </w:p>
          <w:p w14:paraId="375FE59F" w14:textId="77777777" w:rsidR="006647D4" w:rsidRPr="00203060" w:rsidRDefault="006647D4" w:rsidP="006647D4">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 apdrošināšana tiek attiecināta tikai uz gadījumiem, kas saistīti ar autotransporta izmantošanu Latvijas Republikas teritorijā;</w:t>
            </w:r>
          </w:p>
          <w:p w14:paraId="74F8D695" w14:textId="77777777" w:rsidR="00366D9B" w:rsidRPr="00203060" w:rsidRDefault="006647D4" w:rsidP="006647D4">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 apdrošināšana tiek attiecināta uz palīdzības sniegšanu nelaimes vai bojājumu gadījumā, kurā iesaistīts autotransports.</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94CF975" w14:textId="77777777" w:rsidR="006647D4" w:rsidRPr="00203060" w:rsidRDefault="00366D9B" w:rsidP="006647D4">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006647D4" w:rsidRPr="00203060">
              <w:rPr>
                <w:rFonts w:ascii="Times New Roman" w:eastAsia="Times New Roman" w:hAnsi="Times New Roman" w:cs="Times New Roman"/>
                <w:color w:val="000000"/>
                <w:sz w:val="20"/>
                <w:szCs w:val="20"/>
              </w:rPr>
              <w:t>Paragraph one, Clause 2 hereof shall not apply if:</w:t>
            </w:r>
          </w:p>
          <w:p w14:paraId="690AC38F" w14:textId="77777777" w:rsidR="006647D4" w:rsidRPr="00203060" w:rsidRDefault="006647D4" w:rsidP="006647D4">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1) insurance applies only in cases related to the use of motor vehicles in the territory of the Republic of Latvia;</w:t>
            </w:r>
          </w:p>
          <w:p w14:paraId="5CFD3EC8" w14:textId="77777777" w:rsidR="00366D9B" w:rsidRPr="00203060" w:rsidRDefault="006647D4" w:rsidP="006647D4">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2) insurance applies to the provision of assistance in the event of accidents or damage in which a motor vehicle has been involved.</w:t>
            </w:r>
          </w:p>
        </w:tc>
      </w:tr>
      <w:tr w:rsidR="00E81189" w:rsidRPr="00203060" w14:paraId="55441F4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2757AC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206. panta 1.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FF46C2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Veselības apdrošināšana kā alternatīva sociālajai nodrošināšanai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EE4F22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Iespēja atļaut noteikt prasību, ka: a) veselības apdrošināšanas līgumiem jābūt saskaņā ar īpašām tiesību normām, lai aizsargātu sabiedrības intereses slimības apdrošināšanas nozarē; un b) slimības apdrošināšanas vispārējie un īpašie </w:t>
            </w:r>
            <w:r w:rsidRPr="00203060">
              <w:rPr>
                <w:rFonts w:ascii="Times New Roman" w:eastAsia="Times New Roman" w:hAnsi="Times New Roman" w:cs="Times New Roman"/>
                <w:color w:val="000000"/>
                <w:sz w:val="20"/>
                <w:szCs w:val="20"/>
                <w:lang w:val="lv-LV"/>
              </w:rPr>
              <w:lastRenderedPageBreak/>
              <w:t>nosacījumi jādara zināmi uzraudzības iestādēm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02B671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 </w:t>
            </w:r>
            <w:r w:rsidR="007044B6"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2C1DABE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959782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862DD2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3CA5C5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13EB048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1720705"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206. panta 2. punkta pirmā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E84252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Veselības apdrošināšana kā alternatīva sociālajai nodrošināšanai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E9331C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prasīt, lai alternatīva veselības apdrošināšanas sistēma darbotos uz līdzīgas tehniskās bāzes kā dzīvības apdrošināšana, ievērojot īpašus nosacījumus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FEA421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44B6"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8F6442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AA2215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18E5691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3FD351A"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6A28A79F"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A1A9AD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207. pants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9B23EF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Obligātā apdrošināšana pret negadījumiem darbā</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626209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noteikt prasību, lai sabiedrības, kas piedāvā obligāto apdrošināšanu pret negadījumiem darbā, pildītu uzņēmējas dalībvalsts īpašos tiesību aktu noteikumus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FBCDD5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7044B6"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B83BA4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78D284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D4E1AE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86A1EB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288CEE8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4B35C7F"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216. panta 1. punkta pirmā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5FF056E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Galējais mātesuzņēmums valsts līmenī</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242521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uzraudzības rīcības brīvību piemērot grupas uzraudzību galējam mātesuzņēmumam valsts līmenī</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554912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44575B"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851599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44575B"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3E7AAB5" w14:textId="77777777" w:rsidR="00366D9B" w:rsidRPr="00203060" w:rsidRDefault="00AC5C9C" w:rsidP="0044575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likums</w:t>
            </w:r>
            <w:r w:rsidR="0044575B" w:rsidRPr="00203060">
              <w:rPr>
                <w:rFonts w:ascii="Times New Roman" w:eastAsia="Times New Roman" w:hAnsi="Times New Roman" w:cs="Times New Roman"/>
                <w:color w:val="000000"/>
                <w:sz w:val="20"/>
                <w:szCs w:val="20"/>
                <w:lang w:val="lv-LV"/>
              </w:rPr>
              <w:t xml:space="preserve"> 201. panta pirmā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98CD77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44575B" w:rsidRPr="00203060">
              <w:rPr>
                <w:rFonts w:ascii="Times New Roman" w:eastAsia="Times New Roman" w:hAnsi="Times New Roman" w:cs="Times New Roman"/>
                <w:color w:val="000000"/>
                <w:sz w:val="20"/>
                <w:szCs w:val="20"/>
                <w:lang w:val="lv-LV"/>
              </w:rPr>
              <w:t xml:space="preserve">201.pants. (1) Ja šā likuma 197.panta otrās daļas 1. un 2.punktā minētās apdrošināšanas vai pārapdrošināšanas dalības sabiedrības vai dalībvalstī reģistrētas apdrošināšanas pārvaldītājsabiedrības vai jauktas finanšu pārvaldītājsabiedrības šā likuma 200.pantā norādītā galējā mātes sabiedrība atrodas citā dalībvalstī, Komisija, konsultējusies ar grupas uzraudzības iestādi un minēto galējo mātes sabiedrību citā dalībvalstī, ES Regulā Nr. 2015/35 noteiktajos apstākļos ir tiesīga pieņemt lēmumu par grupas uzraudzības attiecināšanu uz Latvijas Republikā reģistrētu apdrošināšanas vai </w:t>
            </w:r>
            <w:r w:rsidR="0044575B" w:rsidRPr="00203060">
              <w:rPr>
                <w:rFonts w:ascii="Times New Roman" w:eastAsia="Times New Roman" w:hAnsi="Times New Roman" w:cs="Times New Roman"/>
                <w:color w:val="000000"/>
                <w:sz w:val="20"/>
                <w:szCs w:val="20"/>
                <w:lang w:val="lv-LV"/>
              </w:rPr>
              <w:lastRenderedPageBreak/>
              <w:t>pārapdrošināšanas galējo mātes sabiedrību vai apdrošināšanas pārvaldītājsabiedrību, vai jauktu finanšu pārvaldītājsabiedrību.</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3B32D7C8" w14:textId="654BA608" w:rsidR="00366D9B" w:rsidRPr="00203060" w:rsidRDefault="00366D9B" w:rsidP="00E81189">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lastRenderedPageBreak/>
              <w:t> </w:t>
            </w:r>
            <w:r w:rsidR="00E81189" w:rsidRPr="00203060">
              <w:rPr>
                <w:rFonts w:ascii="Times New Roman" w:eastAsia="Times New Roman" w:hAnsi="Times New Roman" w:cs="Times New Roman"/>
                <w:color w:val="000000"/>
                <w:sz w:val="20"/>
                <w:szCs w:val="20"/>
              </w:rPr>
              <w:t xml:space="preserve">Section 201. (1) If the ultimate parent company set out in Section 200 of this Law of a participating insurance or reinsurance company or an insurance holding company or a mixed financial holding company registered in a Member State referred to in Section 197, Paragraph one, Clauses 1 and 2 of this Law is situated in another Member State, </w:t>
            </w:r>
            <w:r w:rsidR="009F755F">
              <w:rPr>
                <w:rFonts w:ascii="Times New Roman" w:eastAsia="Times New Roman" w:hAnsi="Times New Roman" w:cs="Times New Roman"/>
                <w:color w:val="000000"/>
                <w:sz w:val="20"/>
                <w:szCs w:val="20"/>
              </w:rPr>
              <w:t>Latvijas Banka</w:t>
            </w:r>
            <w:r w:rsidR="00E81189" w:rsidRPr="00203060">
              <w:rPr>
                <w:rFonts w:ascii="Times New Roman" w:eastAsia="Times New Roman" w:hAnsi="Times New Roman" w:cs="Times New Roman"/>
                <w:color w:val="000000"/>
                <w:sz w:val="20"/>
                <w:szCs w:val="20"/>
              </w:rPr>
              <w:t xml:space="preserve">, having consulted the group supervisory authority and the said ultimate parent company, within the circumstances set out in EU Regulation No. 2015/35, may adopt the decision to extend group supervision to the ultimate insurance or </w:t>
            </w:r>
            <w:r w:rsidR="00E81189" w:rsidRPr="00203060">
              <w:rPr>
                <w:rFonts w:ascii="Times New Roman" w:eastAsia="Times New Roman" w:hAnsi="Times New Roman" w:cs="Times New Roman"/>
                <w:color w:val="000000"/>
                <w:sz w:val="20"/>
                <w:szCs w:val="20"/>
              </w:rPr>
              <w:lastRenderedPageBreak/>
              <w:t>reinsurance parent company or insurance holding company or mixed financial holding company registered in the Republic of Latvia.</w:t>
            </w:r>
          </w:p>
        </w:tc>
      </w:tr>
      <w:tr w:rsidR="00E81189" w:rsidRPr="00841FB1" w14:paraId="2B409F53"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41A8310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225. panta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C6C930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saistītās sabiedrības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C5279EC"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pieprasīt, ņemot vērā maksātspējas kapitāla prasību un izmantojamo pašu kapitālu attiecībā uz saistītajām sabiedrībām, kuru galvenais birojs atrodas citā dalībvalstī, kā noteikts minētajā dalībvalstī, lai aprēķinātu grupas maksātspēju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231C13B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28F1"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72C800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6628F1" w:rsidRPr="00203060">
              <w:rPr>
                <w:rFonts w:ascii="Times New Roman" w:eastAsia="Times New Roman" w:hAnsi="Times New Roman" w:cs="Times New Roman"/>
                <w:color w:val="000000"/>
                <w:sz w:val="20"/>
                <w:szCs w:val="20"/>
                <w:lang w:val="lv-LV"/>
              </w:rPr>
              <w:t>R</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137BF97" w14:textId="77777777" w:rsidR="00AC5C9C" w:rsidRPr="00203060" w:rsidRDefault="00AC5C9C" w:rsidP="00AC5C9C">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Finanšu un kapitāla tirgus komisijas 2015.08.12. normatīvie noteikumi Nr. 131 </w:t>
            </w:r>
          </w:p>
          <w:p w14:paraId="62BDEF27" w14:textId="0AA3EFDC" w:rsidR="00366D9B" w:rsidRPr="00203060" w:rsidRDefault="00AC5C9C" w:rsidP="00AC5C9C">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"Apdrošināšanas vai pārapdrošināšanas sabiedrības grupas maksātspējas aprēķina normatīvie noteikumi" </w:t>
            </w:r>
            <w:r w:rsidR="00E636ED">
              <w:rPr>
                <w:rFonts w:ascii="Times New Roman" w:eastAsia="Times New Roman" w:hAnsi="Times New Roman" w:cs="Times New Roman"/>
                <w:color w:val="000000"/>
                <w:sz w:val="20"/>
                <w:szCs w:val="20"/>
                <w:lang w:val="lv-LV"/>
              </w:rPr>
              <w:t>33</w:t>
            </w:r>
            <w:r w:rsidRPr="00203060">
              <w:rPr>
                <w:rFonts w:ascii="Times New Roman" w:eastAsia="Times New Roman" w:hAnsi="Times New Roman" w:cs="Times New Roman"/>
                <w:color w:val="000000"/>
                <w:sz w:val="20"/>
                <w:szCs w:val="20"/>
                <w:lang w:val="lv-LV"/>
              </w:rPr>
              <w:t>. punkts</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B8C8934" w14:textId="6A0CC82F" w:rsidR="00366D9B" w:rsidRPr="00203060" w:rsidRDefault="00E636ED" w:rsidP="00366D9B">
            <w:pPr>
              <w:spacing w:before="120" w:after="0" w:line="240" w:lineRule="auto"/>
              <w:jc w:val="both"/>
              <w:rPr>
                <w:rFonts w:ascii="Times New Roman" w:eastAsia="Times New Roman" w:hAnsi="Times New Roman" w:cs="Times New Roman"/>
                <w:color w:val="000000"/>
                <w:sz w:val="20"/>
                <w:szCs w:val="20"/>
                <w:lang w:val="lv-LV"/>
              </w:rPr>
            </w:pPr>
            <w:r w:rsidRPr="00E636ED">
              <w:rPr>
                <w:rFonts w:ascii="Times New Roman" w:eastAsia="Times New Roman" w:hAnsi="Times New Roman" w:cs="Times New Roman"/>
                <w:color w:val="000000"/>
                <w:sz w:val="20"/>
                <w:szCs w:val="20"/>
                <w:lang w:val="lv-LV"/>
              </w:rPr>
              <w:t>33. Ja apdrošināšanas vai pārapdrošināšanas saistītās sabiedrības galvenais birojs atrodas citā dalībvalstī nekā dalības sabiedrības, kam tiek aprēķināta grupas maksātspēja, galvenais birojs, aprēķinā attiecībā uz saistīto sabiedrību ņem vērā maksātspējas kapitāla prasību un izmantojamo pašu kapitālu, kas aprēķināts atbilstoši saistītās sabiedrības mītnes valstī noteiktajām prasībām.</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9786828" w14:textId="77777777" w:rsidR="00366D9B" w:rsidRPr="004F08FA"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4F08FA">
              <w:rPr>
                <w:rFonts w:ascii="Times New Roman" w:eastAsia="Times New Roman" w:hAnsi="Times New Roman" w:cs="Times New Roman"/>
                <w:color w:val="000000"/>
                <w:sz w:val="20"/>
                <w:szCs w:val="20"/>
                <w:lang w:val="lv-LV"/>
              </w:rPr>
              <w:t> </w:t>
            </w:r>
          </w:p>
        </w:tc>
      </w:tr>
      <w:tr w:rsidR="00E81189" w:rsidRPr="00841FB1" w14:paraId="6521E106"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692CEFF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227. panta 1.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7BFFCFF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Saistītas trešo valstu apdrošināšanas un pārapdrošināšanas sabiedrības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1FDB329F"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pieprasīt, ņemot vērā attiecīgās trešās valsts noteikto maksātspējas kapitāla prasību un atbilstošo pašu kapitālu attiecībā uz saistītajām sabiedrībām, kuru galvenais birojs atrodas līdzvērtīgā trešās valsts maksātspējas režīmā</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3731AE3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AC5C9C"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7F64802" w14:textId="77777777" w:rsidR="00366D9B" w:rsidRPr="00203060" w:rsidRDefault="00AC5C9C"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R</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E353325" w14:textId="77777777" w:rsidR="00AC5C9C" w:rsidRPr="00203060" w:rsidRDefault="00366D9B" w:rsidP="00AC5C9C">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AC5C9C" w:rsidRPr="00203060">
              <w:rPr>
                <w:rFonts w:ascii="Times New Roman" w:eastAsia="Times New Roman" w:hAnsi="Times New Roman" w:cs="Times New Roman"/>
                <w:color w:val="000000"/>
                <w:sz w:val="20"/>
                <w:szCs w:val="20"/>
                <w:lang w:val="lv-LV"/>
              </w:rPr>
              <w:t xml:space="preserve">Finanšu un kapitāla tirgus komisijas 2015.08.12. normatīvie noteikumi Nr. 131 </w:t>
            </w:r>
          </w:p>
          <w:p w14:paraId="29F7D1AF" w14:textId="74C8B01E" w:rsidR="00366D9B" w:rsidRPr="00203060" w:rsidRDefault="00AC5C9C" w:rsidP="00AC5C9C">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"Apdrošināšanas vai pārapdrošināšanas sabiedrības grupas maksātspējas aprēķina normatīvie noteikumi" </w:t>
            </w:r>
            <w:r w:rsidR="00E636ED">
              <w:rPr>
                <w:rFonts w:ascii="Times New Roman" w:eastAsia="Times New Roman" w:hAnsi="Times New Roman" w:cs="Times New Roman"/>
                <w:color w:val="000000"/>
                <w:sz w:val="20"/>
                <w:szCs w:val="20"/>
                <w:lang w:val="lv-LV"/>
              </w:rPr>
              <w:t>39</w:t>
            </w:r>
            <w:r w:rsidRPr="00203060">
              <w:rPr>
                <w:rFonts w:ascii="Times New Roman" w:eastAsia="Times New Roman" w:hAnsi="Times New Roman" w:cs="Times New Roman"/>
                <w:color w:val="000000"/>
                <w:sz w:val="20"/>
                <w:szCs w:val="20"/>
                <w:lang w:val="lv-LV"/>
              </w:rPr>
              <w:t>. punkts</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2333E5BE" w14:textId="7628B2EE" w:rsidR="00366D9B" w:rsidRPr="00203060" w:rsidRDefault="00E636ED" w:rsidP="00366D9B">
            <w:pPr>
              <w:spacing w:before="120" w:after="0" w:line="240" w:lineRule="auto"/>
              <w:jc w:val="both"/>
              <w:rPr>
                <w:rFonts w:ascii="Times New Roman" w:eastAsia="Times New Roman" w:hAnsi="Times New Roman" w:cs="Times New Roman"/>
                <w:color w:val="000000"/>
                <w:sz w:val="20"/>
                <w:szCs w:val="20"/>
                <w:lang w:val="lv-LV"/>
              </w:rPr>
            </w:pPr>
            <w:r w:rsidRPr="00E636ED">
              <w:rPr>
                <w:rFonts w:ascii="Times New Roman" w:eastAsia="Times New Roman" w:hAnsi="Times New Roman" w:cs="Times New Roman"/>
                <w:color w:val="000000"/>
                <w:sz w:val="20"/>
                <w:szCs w:val="20"/>
                <w:lang w:val="lv-LV"/>
              </w:rPr>
              <w:t>39. Ja ārvalsts, kurā atrodas saistītās sabiedrības galvenais birojs, pieprasa tās licencēšanu un nosaka tai uzraudzības režīmu, kas tiek uzskatīts par līdzvērtīgu </w:t>
            </w:r>
            <w:hyperlink r:id="rId7" w:tgtFrame="_blank" w:history="1">
              <w:r w:rsidRPr="00E636ED">
                <w:rPr>
                  <w:rFonts w:ascii="Times New Roman" w:eastAsia="Times New Roman" w:hAnsi="Times New Roman" w:cs="Times New Roman"/>
                  <w:color w:val="000000"/>
                  <w:lang w:val="lv-LV"/>
                </w:rPr>
                <w:t>Apdrošināšanas un pārapdrošināšanas likumā</w:t>
              </w:r>
            </w:hyperlink>
            <w:r w:rsidRPr="00E636ED">
              <w:rPr>
                <w:rFonts w:ascii="Times New Roman" w:eastAsia="Times New Roman" w:hAnsi="Times New Roman" w:cs="Times New Roman"/>
                <w:color w:val="000000"/>
                <w:sz w:val="20"/>
                <w:szCs w:val="20"/>
                <w:lang w:val="lv-LV"/>
              </w:rPr>
              <w:t> noteiktajam, grupas maksātspējas aprēķinā iekļauj saistītās sabiedrības maksātspējas kapitāla prasību un minētās prasības izpildei paredzēto atbilstošo pašu kapitālu, kas noteikts atbilstoši attiecīgās ārvalsts prasībām.</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9016239" w14:textId="77777777" w:rsidR="00366D9B" w:rsidRPr="004F08FA"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4F08FA">
              <w:rPr>
                <w:rFonts w:ascii="Times New Roman" w:eastAsia="Times New Roman" w:hAnsi="Times New Roman" w:cs="Times New Roman"/>
                <w:color w:val="000000"/>
                <w:sz w:val="20"/>
                <w:szCs w:val="20"/>
                <w:lang w:val="lv-LV"/>
              </w:rPr>
              <w:t> </w:t>
            </w:r>
          </w:p>
        </w:tc>
      </w:tr>
      <w:tr w:rsidR="00E81189" w:rsidRPr="00203060" w14:paraId="72756C7C"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FC2857C"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275. panta 1.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487CBE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Rīcība ar apdrošināšanas prasībām</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8A5247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izvēlēties starp divām metodēm vai to kombināciju, lai nodrošinātu, ka apdrošināšanas atlīdzības prasībām ir prioritāte, salīdzinot ar citām prasībām pret apdrošināšanas sabiedrību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6273FB9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81D46"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688737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81D46"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0BC2E711" w14:textId="77777777" w:rsidR="00366D9B" w:rsidRPr="00203060" w:rsidRDefault="00AC5C9C"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likums</w:t>
            </w:r>
            <w:r w:rsidR="00E81D46" w:rsidRPr="00203060">
              <w:rPr>
                <w:rFonts w:ascii="Times New Roman" w:eastAsia="Times New Roman" w:hAnsi="Times New Roman" w:cs="Times New Roman"/>
                <w:color w:val="000000"/>
                <w:sz w:val="20"/>
                <w:szCs w:val="20"/>
                <w:lang w:val="lv-LV"/>
              </w:rPr>
              <w:t xml:space="preserve"> 265. pants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F271F30" w14:textId="77777777" w:rsidR="00E81D46" w:rsidRPr="00203060" w:rsidRDefault="00366D9B" w:rsidP="00E81D46">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81D46" w:rsidRPr="00203060">
              <w:rPr>
                <w:rFonts w:ascii="Times New Roman" w:eastAsia="Times New Roman" w:hAnsi="Times New Roman" w:cs="Times New Roman"/>
                <w:color w:val="000000"/>
                <w:sz w:val="20"/>
                <w:szCs w:val="20"/>
                <w:lang w:val="lv-LV"/>
              </w:rPr>
              <w:t>265.pants. Pēc maksātnespējas procesa izdevumu segšanas atlikušie naudas līdzekļi tiek sadalīti apdrošināto un citu kreditoru prasījumu apmierināšanai šādās grupās:</w:t>
            </w:r>
          </w:p>
          <w:p w14:paraId="2AE44E21"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1) apdrošinājuma ņēmēju (apdrošināto) prasījumi par apdrošināšanas atlīdzības izmaksām un citi prasījumi (apdrošināšanas prēmijas) par noslēgtajiem apdrošināšanas līgumiem, Komisijas prasījums, ja apdrošinājuma ņēmējs — fiziskā persona — ir saņēmis apdrošināšanas atlīdzību no Apdrošināto aizsardzības fonda;</w:t>
            </w:r>
          </w:p>
          <w:p w14:paraId="13960BBA"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 kreditoru prasījumi saskaņā ar Maksātnespējas likuma 118.panta otro, trešo un ceturto daļu;</w:t>
            </w:r>
          </w:p>
          <w:p w14:paraId="7E4C99D6"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3) prasījumi par procentu maksājumiem kreditoriem;</w:t>
            </w:r>
          </w:p>
          <w:p w14:paraId="5BB69A94"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4) to kreditoru prasījumi, kuri savus prasījumus pieteikuši pēc noteiktā termiņa;</w:t>
            </w:r>
          </w:p>
          <w:p w14:paraId="07551914"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5) prasījumi par pakārtoto saistību atmaksāšanu;</w:t>
            </w:r>
          </w:p>
          <w:p w14:paraId="66AFCAA9" w14:textId="77777777" w:rsidR="00366D9B" w:rsidRPr="00203060" w:rsidRDefault="00E81D46" w:rsidP="00E81D46">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6) apdrošināšanas sabiedrības akcionāru vai biedru prasījumi proporcionāli akcionāru vai biedru ieguldījumam apdrošināšanas sabiedrības </w:t>
            </w:r>
            <w:r w:rsidRPr="00203060">
              <w:rPr>
                <w:rFonts w:ascii="Times New Roman" w:eastAsia="Times New Roman" w:hAnsi="Times New Roman" w:cs="Times New Roman"/>
                <w:color w:val="000000"/>
                <w:sz w:val="20"/>
                <w:szCs w:val="20"/>
                <w:lang w:val="lv-LV"/>
              </w:rPr>
              <w:lastRenderedPageBreak/>
              <w:t>pamatkapitālā tiek apmierināti pēc visu šajā pantā iepriekš minēto prasījumu apmierināšanas.</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0FEB0A8" w14:textId="77777777" w:rsidR="00E81D46" w:rsidRPr="00203060" w:rsidRDefault="00366D9B" w:rsidP="00E81D46">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lastRenderedPageBreak/>
              <w:t> </w:t>
            </w:r>
            <w:r w:rsidR="00E81D46" w:rsidRPr="00203060">
              <w:rPr>
                <w:rFonts w:ascii="Times New Roman" w:eastAsia="Times New Roman" w:hAnsi="Times New Roman" w:cs="Times New Roman"/>
                <w:color w:val="000000"/>
                <w:sz w:val="20"/>
                <w:szCs w:val="20"/>
              </w:rPr>
              <w:t>After the covering of the expenses of the insolvency proceedings, the remaining cash shall be allocated to settle the claims lodged by secured and other creditors in the following categories:</w:t>
            </w:r>
          </w:p>
          <w:p w14:paraId="45CBC8CA"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1) the claims of policyholders (the insured) for the payment of insurance indemnities in other claims (insurance premiums) for the concluded insurance contracts, the claim of the Commission, if the policyholder (a natural person) has received the insurance indemnity from the Protection Fund for the Insured;</w:t>
            </w:r>
          </w:p>
          <w:p w14:paraId="35E2CA39"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2) claims of creditors under Section 18, Paragraphs two, three and four of the Insolvency Law;</w:t>
            </w:r>
          </w:p>
          <w:p w14:paraId="5874ADAB"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3) claims for interest payments to creditors;</w:t>
            </w:r>
          </w:p>
          <w:p w14:paraId="0F376579"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4) claims of the creditors who have lodged their claims after the prescribed time limit;</w:t>
            </w:r>
          </w:p>
          <w:p w14:paraId="5B3C7918" w14:textId="77777777" w:rsidR="00E81D46" w:rsidRPr="00203060" w:rsidRDefault="00E81D46" w:rsidP="00E81D46">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5) claims for the repayment of the subordinated obligations;</w:t>
            </w:r>
          </w:p>
          <w:p w14:paraId="39FE7904" w14:textId="77777777" w:rsidR="00366D9B" w:rsidRPr="00203060" w:rsidRDefault="00E81D46" w:rsidP="00E81D46">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xml:space="preserve">6) the claims of the shareholders or members of the insurance company pro-rated to the </w:t>
            </w:r>
            <w:r w:rsidRPr="00203060">
              <w:rPr>
                <w:rFonts w:ascii="Times New Roman" w:eastAsia="Times New Roman" w:hAnsi="Times New Roman" w:cs="Times New Roman"/>
                <w:color w:val="000000"/>
                <w:sz w:val="20"/>
                <w:szCs w:val="20"/>
              </w:rPr>
              <w:lastRenderedPageBreak/>
              <w:t>contribution of the shareholders or members into the share capital of the insurance company shall be satisfied after the settlement of all the claims listed above herein.</w:t>
            </w:r>
          </w:p>
        </w:tc>
      </w:tr>
      <w:tr w:rsidR="00E81189" w:rsidRPr="00203060" w14:paraId="22ACB523"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DCFCFA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275. panta 2.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85EF8C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Rīcība ar apdrošināšanas prasībām</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7E7B282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paredzēt, ka pilnīgi visiem izdevumiem, kas rodas likvidācijas procesā, vai kādai to daļai ir prioritāte, salīdzinot ar apdrošināšanas atlīdzības prasībām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55C0915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81D46" w:rsidRPr="00203060">
              <w:rPr>
                <w:rFonts w:ascii="Times New Roman" w:eastAsia="Times New Roman" w:hAnsi="Times New Roman" w:cs="Times New Roman"/>
                <w:color w:val="000000"/>
                <w:sz w:val="20"/>
                <w:szCs w:val="20"/>
                <w:lang w:val="lv-LV"/>
              </w:rPr>
              <w:t>Jā</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5795D9A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81D46" w:rsidRPr="00203060">
              <w:rPr>
                <w:rFonts w:ascii="Times New Roman" w:eastAsia="Times New Roman" w:hAnsi="Times New Roman" w:cs="Times New Roman"/>
                <w:color w:val="000000"/>
                <w:sz w:val="20"/>
                <w:szCs w:val="20"/>
                <w:lang w:val="lv-LV"/>
              </w:rPr>
              <w:t>L</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ACCBED4" w14:textId="77777777" w:rsidR="00366D9B" w:rsidRPr="00203060" w:rsidRDefault="00AC5C9C" w:rsidP="00E81D46">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Apdrošināšanas un pārapdrošināšanas likums</w:t>
            </w:r>
            <w:r w:rsidR="00E81D46" w:rsidRPr="00203060">
              <w:rPr>
                <w:rFonts w:ascii="Times New Roman" w:eastAsia="Times New Roman" w:hAnsi="Times New Roman" w:cs="Times New Roman"/>
                <w:color w:val="000000"/>
                <w:sz w:val="20"/>
                <w:szCs w:val="20"/>
                <w:lang w:val="lv-LV"/>
              </w:rPr>
              <w:t xml:space="preserve"> 266. panta pirmā daļa</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0BC1A3F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81D46" w:rsidRPr="00203060">
              <w:rPr>
                <w:rFonts w:ascii="Times New Roman" w:eastAsia="Times New Roman" w:hAnsi="Times New Roman" w:cs="Times New Roman"/>
                <w:color w:val="000000"/>
                <w:sz w:val="20"/>
                <w:szCs w:val="20"/>
                <w:lang w:val="lv-LV"/>
              </w:rPr>
              <w:t>Prioritārie prasījumi ir apdrošinājuma ņēmēju avansā samaksātās apdrošināšanas prēmijas un šā likuma 265.panta 1., 2. un 3.punktā noteiktie prasījumi.</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EBBB8C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4F08FA">
              <w:rPr>
                <w:rFonts w:ascii="Times New Roman" w:eastAsia="Times New Roman" w:hAnsi="Times New Roman" w:cs="Times New Roman"/>
                <w:color w:val="000000"/>
                <w:sz w:val="20"/>
                <w:szCs w:val="20"/>
                <w:lang w:val="lv-LV"/>
              </w:rPr>
              <w:t> </w:t>
            </w:r>
            <w:r w:rsidR="00E81D46" w:rsidRPr="00203060">
              <w:rPr>
                <w:rFonts w:ascii="Times New Roman" w:eastAsia="Times New Roman" w:hAnsi="Times New Roman" w:cs="Times New Roman"/>
                <w:color w:val="000000"/>
                <w:sz w:val="20"/>
                <w:szCs w:val="20"/>
              </w:rPr>
              <w:t>Preferential claims are insurance premiums paid by policyholders in advance and the claims specified in Section 265, Clauses 1, 2 and 3 of this Law.</w:t>
            </w:r>
          </w:p>
        </w:tc>
      </w:tr>
      <w:tr w:rsidR="00E81189" w:rsidRPr="00203060" w14:paraId="7F496831"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56ADC97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276. panta 2.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6415EA1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Īpašais reģistrs</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7C144E0"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pieprasīt, ka apdrošināšanas sabiedrībām, kas sedz dzīvības apdrošināšanu un nelaimes gadījumu un slimības riskus, jāuztur vienots reģistrs</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C7C0FC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E81D46"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0E762D4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6B4749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33E945E8"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172B9D9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74F1B48E"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3E2F24C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277. pants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31A38FD6"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Regresa prasība garantiju sistēmā</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AD1C38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paredzēt, ka 275. panta 1. punktu nepiemēro apdrošināšanas kreditoru prasībām, ja to tiesības pārņem valsts garantiju sistēma</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C471A7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356498"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ECFFE69"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2C5FC32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0CFAF06"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A7A67E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1579AA6D"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7A89408"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279. panta 2. punkta otrā daļa</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943FF3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Licences anulēšana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60A230F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noteikt, ka dažas darbības likvidācijas procesā veic ar piederības dalībvalsts uzraudzības iestādes piekrišanu un tās uzraudzībā</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493CC9E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356498"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C1B2EF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79E47C9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D8D5B3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42F03DA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5BE391DB"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78BD603"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304. panta 1.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4A9E16B1"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Uz ilgumu balstīts kapitāla vērtspapīru riska </w:t>
            </w:r>
            <w:proofErr w:type="spellStart"/>
            <w:r w:rsidRPr="00203060">
              <w:rPr>
                <w:rFonts w:ascii="Times New Roman" w:eastAsia="Times New Roman" w:hAnsi="Times New Roman" w:cs="Times New Roman"/>
                <w:color w:val="000000"/>
                <w:sz w:val="20"/>
                <w:szCs w:val="20"/>
                <w:lang w:val="lv-LV"/>
              </w:rPr>
              <w:t>apakšmodulis</w:t>
            </w:r>
            <w:proofErr w:type="spellEnd"/>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DD969D4"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xml:space="preserve">Iespēja atļaut dzīvības apdrošināšanas sabiedrībām piemērot uz ilgumu balstītu kapitāla vērtspapīru riska </w:t>
            </w:r>
            <w:proofErr w:type="spellStart"/>
            <w:r w:rsidRPr="00203060">
              <w:rPr>
                <w:rFonts w:ascii="Times New Roman" w:eastAsia="Times New Roman" w:hAnsi="Times New Roman" w:cs="Times New Roman"/>
                <w:color w:val="000000"/>
                <w:sz w:val="20"/>
                <w:szCs w:val="20"/>
                <w:lang w:val="lv-LV"/>
              </w:rPr>
              <w:t>apakšmoduli</w:t>
            </w:r>
            <w:proofErr w:type="spellEnd"/>
            <w:r w:rsidRPr="00203060">
              <w:rPr>
                <w:rFonts w:ascii="Times New Roman" w:eastAsia="Times New Roman" w:hAnsi="Times New Roman" w:cs="Times New Roman"/>
                <w:color w:val="000000"/>
                <w:sz w:val="20"/>
                <w:szCs w:val="20"/>
                <w:lang w:val="lv-LV"/>
              </w:rPr>
              <w:t xml:space="preserve"> ar dažiem nosacījumiem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8BDC89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AC5C9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73C4921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572511E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442DE3A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2F8351B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1E50CFC3"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445F625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lastRenderedPageBreak/>
              <w:t>305. panta 1.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A4D6187"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Atkāpes un ierobežojošu pasākumu atcelšana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25A3466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piešķirt atbrīvojumus nedzīvības apdrošināšanas sabiedrībām, kurām ir noteikts maksimālais ienākums no prēmijām un kuras 1975. gada 31. janvārī neatbilda maksātspējas prasībām, no prasības izveidot minimālo garantiju fondu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3D1509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356498"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00C680D"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470075FE"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7BB5EBF"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6A2EBE8B"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5109C8BE"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1D3F2995"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308.b panta 15.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1B2B0662"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Pārejas pasākumi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5CA09B7E"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līdz 2019. gada 31. decembrim turpināt piemērot normatīvos un administratīvos aktus, kas pieņemti, lai nodrošinātu atbilstību Direktīvas 2002/83/EK 1. līdz 19. pantam, 27. līdz 30. pantam, 32. līdz 35. pantam un 37. līdz 67. pantam</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187A0BF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AC5C9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1D29B862"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4933D2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7F9EBC50"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07AB4885"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r w:rsidR="00E81189" w:rsidRPr="00203060" w14:paraId="4BC1D62A" w14:textId="77777777" w:rsidTr="006628F1">
        <w:trPr>
          <w:tblCellSpacing w:w="0" w:type="dxa"/>
        </w:trPr>
        <w:tc>
          <w:tcPr>
            <w:tcW w:w="498" w:type="pct"/>
            <w:tcBorders>
              <w:top w:val="single" w:sz="6" w:space="0" w:color="000000"/>
              <w:left w:val="single" w:sz="6" w:space="0" w:color="000000"/>
              <w:bottom w:val="single" w:sz="6" w:space="0" w:color="000000"/>
              <w:right w:val="single" w:sz="6" w:space="0" w:color="000000"/>
            </w:tcBorders>
            <w:shd w:val="clear" w:color="auto" w:fill="FFFFFF"/>
            <w:hideMark/>
          </w:tcPr>
          <w:p w14:paraId="7F67043A"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308.b panta 16. punkts</w:t>
            </w:r>
          </w:p>
        </w:tc>
        <w:tc>
          <w:tcPr>
            <w:tcW w:w="570" w:type="pct"/>
            <w:tcBorders>
              <w:top w:val="single" w:sz="6" w:space="0" w:color="000000"/>
              <w:left w:val="single" w:sz="6" w:space="0" w:color="000000"/>
              <w:bottom w:val="single" w:sz="6" w:space="0" w:color="000000"/>
              <w:right w:val="single" w:sz="6" w:space="0" w:color="000000"/>
            </w:tcBorders>
            <w:shd w:val="clear" w:color="auto" w:fill="FFFFFF"/>
            <w:hideMark/>
          </w:tcPr>
          <w:p w14:paraId="2E1A11CB"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Pārejas pasākumi</w:t>
            </w:r>
          </w:p>
        </w:tc>
        <w:tc>
          <w:tcPr>
            <w:tcW w:w="782" w:type="pct"/>
            <w:tcBorders>
              <w:top w:val="single" w:sz="6" w:space="0" w:color="000000"/>
              <w:left w:val="single" w:sz="6" w:space="0" w:color="000000"/>
              <w:bottom w:val="single" w:sz="6" w:space="0" w:color="000000"/>
              <w:right w:val="single" w:sz="6" w:space="0" w:color="000000"/>
            </w:tcBorders>
            <w:shd w:val="clear" w:color="auto" w:fill="FFFFFF"/>
            <w:hideMark/>
          </w:tcPr>
          <w:p w14:paraId="392961CD" w14:textId="77777777" w:rsidR="00366D9B" w:rsidRPr="00203060" w:rsidRDefault="00366D9B" w:rsidP="00366D9B">
            <w:pPr>
              <w:spacing w:before="60" w:after="60" w:line="240" w:lineRule="auto"/>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Iespēja atļaut paredzēt iespēju galīgajam apdrošināšanas un pārapdrošināšanas mātesuzņēmumam līdz 2022. gada 31. martam pieprasīt grupas daļai piemērojama iekšējā grupas modeļa apstiprināšanu</w:t>
            </w:r>
          </w:p>
        </w:tc>
        <w:tc>
          <w:tcPr>
            <w:tcW w:w="522" w:type="pct"/>
            <w:tcBorders>
              <w:top w:val="single" w:sz="6" w:space="0" w:color="000000"/>
              <w:left w:val="single" w:sz="6" w:space="0" w:color="000000"/>
              <w:bottom w:val="single" w:sz="6" w:space="0" w:color="000000"/>
              <w:right w:val="single" w:sz="6" w:space="0" w:color="000000"/>
            </w:tcBorders>
            <w:shd w:val="clear" w:color="auto" w:fill="FFFFFF"/>
            <w:hideMark/>
          </w:tcPr>
          <w:p w14:paraId="0399D323"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r w:rsidR="00AC5C9C" w:rsidRPr="00203060">
              <w:rPr>
                <w:rFonts w:ascii="Times New Roman" w:eastAsia="Times New Roman" w:hAnsi="Times New Roman" w:cs="Times New Roman"/>
                <w:color w:val="000000"/>
                <w:sz w:val="20"/>
                <w:szCs w:val="20"/>
                <w:lang w:val="lv-LV"/>
              </w:rPr>
              <w:t>Nē</w:t>
            </w:r>
          </w:p>
        </w:tc>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14:paraId="3F459B24"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626" w:type="pct"/>
            <w:tcBorders>
              <w:top w:val="single" w:sz="6" w:space="0" w:color="000000"/>
              <w:left w:val="single" w:sz="6" w:space="0" w:color="000000"/>
              <w:bottom w:val="single" w:sz="6" w:space="0" w:color="000000"/>
              <w:right w:val="single" w:sz="6" w:space="0" w:color="000000"/>
            </w:tcBorders>
            <w:shd w:val="clear" w:color="auto" w:fill="FFFFFF"/>
            <w:hideMark/>
          </w:tcPr>
          <w:p w14:paraId="6C5D7B1C"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72" w:type="pct"/>
            <w:tcBorders>
              <w:top w:val="single" w:sz="6" w:space="0" w:color="000000"/>
              <w:left w:val="single" w:sz="6" w:space="0" w:color="000000"/>
              <w:bottom w:val="single" w:sz="6" w:space="0" w:color="000000"/>
              <w:right w:val="single" w:sz="6" w:space="0" w:color="000000"/>
            </w:tcBorders>
            <w:shd w:val="clear" w:color="auto" w:fill="FFFFFF"/>
            <w:hideMark/>
          </w:tcPr>
          <w:p w14:paraId="5948C281"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lang w:val="lv-LV"/>
              </w:rPr>
              <w:t> </w:t>
            </w:r>
          </w:p>
        </w:tc>
        <w:tc>
          <w:tcPr>
            <w:tcW w:w="748" w:type="pct"/>
            <w:tcBorders>
              <w:top w:val="single" w:sz="6" w:space="0" w:color="000000"/>
              <w:left w:val="single" w:sz="6" w:space="0" w:color="000000"/>
              <w:bottom w:val="single" w:sz="6" w:space="0" w:color="000000"/>
              <w:right w:val="single" w:sz="6" w:space="0" w:color="000000"/>
            </w:tcBorders>
            <w:shd w:val="clear" w:color="auto" w:fill="FFFFFF"/>
            <w:hideMark/>
          </w:tcPr>
          <w:p w14:paraId="575AA6E7" w14:textId="77777777" w:rsidR="00366D9B" w:rsidRPr="00203060" w:rsidRDefault="00366D9B" w:rsidP="00366D9B">
            <w:pPr>
              <w:spacing w:before="120" w:after="0" w:line="240" w:lineRule="auto"/>
              <w:jc w:val="both"/>
              <w:rPr>
                <w:rFonts w:ascii="Times New Roman" w:eastAsia="Times New Roman" w:hAnsi="Times New Roman" w:cs="Times New Roman"/>
                <w:color w:val="000000"/>
                <w:sz w:val="20"/>
                <w:szCs w:val="20"/>
              </w:rPr>
            </w:pPr>
            <w:r w:rsidRPr="00203060">
              <w:rPr>
                <w:rFonts w:ascii="Times New Roman" w:eastAsia="Times New Roman" w:hAnsi="Times New Roman" w:cs="Times New Roman"/>
                <w:color w:val="000000"/>
                <w:sz w:val="20"/>
                <w:szCs w:val="20"/>
              </w:rPr>
              <w:t> </w:t>
            </w:r>
          </w:p>
        </w:tc>
      </w:tr>
    </w:tbl>
    <w:p w14:paraId="6641F8D3" w14:textId="77777777" w:rsidR="00366D9B" w:rsidRPr="00203060" w:rsidRDefault="00E636ED" w:rsidP="00366D9B">
      <w:pPr>
        <w:spacing w:before="240" w:after="60" w:line="240"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pict w14:anchorId="64F00DE4">
          <v:rect id="_x0000_i1025" style="width:181.65pt;height:.75pt" o:hrpct="0" o:hrstd="t" o:hrnoshade="t" o:hr="t" fillcolor="black" stroked="f"/>
        </w:pict>
      </w:r>
    </w:p>
    <w:p w14:paraId="0BF3A241" w14:textId="77777777" w:rsidR="00366D9B" w:rsidRPr="00203060" w:rsidRDefault="00673DB2" w:rsidP="00366D9B">
      <w:pPr>
        <w:shd w:val="clear" w:color="auto" w:fill="FFFFFF"/>
        <w:spacing w:before="60" w:after="60" w:line="240" w:lineRule="auto"/>
        <w:jc w:val="both"/>
        <w:rPr>
          <w:rFonts w:ascii="Times New Roman" w:eastAsia="Times New Roman" w:hAnsi="Times New Roman" w:cs="Times New Roman"/>
          <w:color w:val="000000"/>
          <w:sz w:val="20"/>
          <w:szCs w:val="20"/>
          <w:lang w:val="lv-LV"/>
        </w:rPr>
      </w:pPr>
      <w:r w:rsidRPr="00203060">
        <w:rPr>
          <w:rFonts w:ascii="Times New Roman" w:eastAsia="Times New Roman" w:hAnsi="Times New Roman" w:cs="Times New Roman"/>
          <w:color w:val="000000"/>
          <w:sz w:val="20"/>
          <w:szCs w:val="20"/>
          <w:vertAlign w:val="superscript"/>
          <w:lang w:val="lv-LV"/>
        </w:rPr>
        <w:t>(1)</w:t>
      </w:r>
      <w:r w:rsidR="00366D9B" w:rsidRPr="00203060">
        <w:rPr>
          <w:rFonts w:ascii="Times New Roman" w:eastAsia="Times New Roman" w:hAnsi="Times New Roman" w:cs="Times New Roman"/>
          <w:color w:val="000000"/>
          <w:sz w:val="20"/>
          <w:szCs w:val="20"/>
          <w:lang w:val="lv-LV"/>
        </w:rPr>
        <w:t>  Likuma (L), noteikumu (R), administratīvo noteikumu (A) teksts.</w:t>
      </w:r>
    </w:p>
    <w:p w14:paraId="1CA444CC" w14:textId="77777777" w:rsidR="0052088B" w:rsidRPr="00203060" w:rsidRDefault="0052088B">
      <w:pPr>
        <w:rPr>
          <w:rFonts w:ascii="Times New Roman" w:hAnsi="Times New Roman" w:cs="Times New Roman"/>
          <w:sz w:val="20"/>
          <w:szCs w:val="20"/>
          <w:lang w:val="lv-LV"/>
        </w:rPr>
      </w:pPr>
    </w:p>
    <w:sectPr w:rsidR="0052088B" w:rsidRPr="00203060" w:rsidSect="00366D9B">
      <w:pgSz w:w="15840" w:h="12240" w:orient="landscape"/>
      <w:pgMar w:top="990" w:right="900" w:bottom="11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DDA84" w14:textId="77777777" w:rsidR="000F62B1" w:rsidRDefault="000F62B1" w:rsidP="00216F3C">
      <w:pPr>
        <w:spacing w:after="0" w:line="240" w:lineRule="auto"/>
      </w:pPr>
      <w:r>
        <w:separator/>
      </w:r>
    </w:p>
  </w:endnote>
  <w:endnote w:type="continuationSeparator" w:id="0">
    <w:p w14:paraId="270ACEA3" w14:textId="77777777" w:rsidR="000F62B1" w:rsidRDefault="000F62B1" w:rsidP="002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993CF" w14:textId="77777777" w:rsidR="000F62B1" w:rsidRDefault="000F62B1" w:rsidP="00216F3C">
      <w:pPr>
        <w:spacing w:after="0" w:line="240" w:lineRule="auto"/>
      </w:pPr>
      <w:r>
        <w:separator/>
      </w:r>
    </w:p>
  </w:footnote>
  <w:footnote w:type="continuationSeparator" w:id="0">
    <w:p w14:paraId="5D0EE19D" w14:textId="77777777" w:rsidR="000F62B1" w:rsidRDefault="000F62B1" w:rsidP="00216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9B"/>
    <w:rsid w:val="00021C64"/>
    <w:rsid w:val="000E6B98"/>
    <w:rsid w:val="000F62B1"/>
    <w:rsid w:val="001F6A18"/>
    <w:rsid w:val="00203060"/>
    <w:rsid w:val="00216F3C"/>
    <w:rsid w:val="00265968"/>
    <w:rsid w:val="00356498"/>
    <w:rsid w:val="00366D9B"/>
    <w:rsid w:val="0044575B"/>
    <w:rsid w:val="004A5B28"/>
    <w:rsid w:val="004E07BC"/>
    <w:rsid w:val="004F08FA"/>
    <w:rsid w:val="0052088B"/>
    <w:rsid w:val="00583C55"/>
    <w:rsid w:val="005B5981"/>
    <w:rsid w:val="00654A53"/>
    <w:rsid w:val="006628F1"/>
    <w:rsid w:val="006647D4"/>
    <w:rsid w:val="00673DB2"/>
    <w:rsid w:val="007044B6"/>
    <w:rsid w:val="0070507C"/>
    <w:rsid w:val="00841FB1"/>
    <w:rsid w:val="00903E9C"/>
    <w:rsid w:val="00974451"/>
    <w:rsid w:val="009F755F"/>
    <w:rsid w:val="00A329A9"/>
    <w:rsid w:val="00AC5C9C"/>
    <w:rsid w:val="00BF5B27"/>
    <w:rsid w:val="00D31875"/>
    <w:rsid w:val="00DF1B17"/>
    <w:rsid w:val="00E16EAF"/>
    <w:rsid w:val="00E30ED4"/>
    <w:rsid w:val="00E636ED"/>
    <w:rsid w:val="00E81189"/>
    <w:rsid w:val="00E81D46"/>
    <w:rsid w:val="00E902E1"/>
    <w:rsid w:val="00EF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82371A"/>
  <w15:docId w15:val="{A5135B53-912F-4DE6-9BA8-AFB3AF76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66D9B"/>
  </w:style>
  <w:style w:type="paragraph" w:customStyle="1" w:styleId="Normal1">
    <w:name w:val="Normal1"/>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hdr">
    <w:name w:val="tbl-hdr"/>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6D9B"/>
    <w:rPr>
      <w:color w:val="0000FF"/>
      <w:u w:val="single"/>
    </w:rPr>
  </w:style>
  <w:style w:type="character" w:customStyle="1" w:styleId="super">
    <w:name w:val="super"/>
    <w:basedOn w:val="DefaultParagraphFont"/>
    <w:rsid w:val="00366D9B"/>
  </w:style>
  <w:style w:type="paragraph" w:customStyle="1" w:styleId="tbl-txt">
    <w:name w:val="tbl-txt"/>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366D9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16F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6F3C"/>
    <w:rPr>
      <w:sz w:val="20"/>
      <w:szCs w:val="20"/>
    </w:rPr>
  </w:style>
  <w:style w:type="character" w:styleId="EndnoteReference">
    <w:name w:val="endnote reference"/>
    <w:basedOn w:val="DefaultParagraphFont"/>
    <w:uiPriority w:val="99"/>
    <w:semiHidden/>
    <w:unhideWhenUsed/>
    <w:rsid w:val="00216F3C"/>
    <w:rPr>
      <w:vertAlign w:val="superscript"/>
    </w:rPr>
  </w:style>
  <w:style w:type="paragraph" w:styleId="FootnoteText">
    <w:name w:val="footnote text"/>
    <w:basedOn w:val="Normal"/>
    <w:link w:val="FootnoteTextChar"/>
    <w:uiPriority w:val="99"/>
    <w:semiHidden/>
    <w:unhideWhenUsed/>
    <w:rsid w:val="00216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F3C"/>
    <w:rPr>
      <w:sz w:val="20"/>
      <w:szCs w:val="20"/>
    </w:rPr>
  </w:style>
  <w:style w:type="character" w:styleId="FootnoteReference">
    <w:name w:val="footnote reference"/>
    <w:basedOn w:val="DefaultParagraphFont"/>
    <w:uiPriority w:val="99"/>
    <w:semiHidden/>
    <w:unhideWhenUsed/>
    <w:rsid w:val="00216F3C"/>
    <w:rPr>
      <w:vertAlign w:val="superscript"/>
    </w:rPr>
  </w:style>
  <w:style w:type="paragraph" w:styleId="Header">
    <w:name w:val="header"/>
    <w:basedOn w:val="Normal"/>
    <w:link w:val="HeaderChar"/>
    <w:uiPriority w:val="99"/>
    <w:unhideWhenUsed/>
    <w:rsid w:val="00673D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3DB2"/>
  </w:style>
  <w:style w:type="paragraph" w:styleId="Footer">
    <w:name w:val="footer"/>
    <w:basedOn w:val="Normal"/>
    <w:link w:val="FooterChar"/>
    <w:uiPriority w:val="99"/>
    <w:unhideWhenUsed/>
    <w:rsid w:val="00673D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70084">
      <w:bodyDiv w:val="1"/>
      <w:marLeft w:val="0"/>
      <w:marRight w:val="0"/>
      <w:marTop w:val="0"/>
      <w:marBottom w:val="0"/>
      <w:divBdr>
        <w:top w:val="none" w:sz="0" w:space="0" w:color="auto"/>
        <w:left w:val="none" w:sz="0" w:space="0" w:color="auto"/>
        <w:bottom w:val="none" w:sz="0" w:space="0" w:color="auto"/>
        <w:right w:val="none" w:sz="0" w:space="0" w:color="auto"/>
      </w:divBdr>
    </w:div>
    <w:div w:id="652484944">
      <w:bodyDiv w:val="1"/>
      <w:marLeft w:val="0"/>
      <w:marRight w:val="0"/>
      <w:marTop w:val="0"/>
      <w:marBottom w:val="0"/>
      <w:divBdr>
        <w:top w:val="none" w:sz="0" w:space="0" w:color="auto"/>
        <w:left w:val="none" w:sz="0" w:space="0" w:color="auto"/>
        <w:bottom w:val="none" w:sz="0" w:space="0" w:color="auto"/>
        <w:right w:val="none" w:sz="0" w:space="0" w:color="auto"/>
      </w:divBdr>
    </w:div>
    <w:div w:id="715275486">
      <w:bodyDiv w:val="1"/>
      <w:marLeft w:val="0"/>
      <w:marRight w:val="0"/>
      <w:marTop w:val="0"/>
      <w:marBottom w:val="0"/>
      <w:divBdr>
        <w:top w:val="none" w:sz="0" w:space="0" w:color="auto"/>
        <w:left w:val="none" w:sz="0" w:space="0" w:color="auto"/>
        <w:bottom w:val="none" w:sz="0" w:space="0" w:color="auto"/>
        <w:right w:val="none" w:sz="0" w:space="0" w:color="auto"/>
      </w:divBdr>
    </w:div>
    <w:div w:id="740448254">
      <w:bodyDiv w:val="1"/>
      <w:marLeft w:val="0"/>
      <w:marRight w:val="0"/>
      <w:marTop w:val="0"/>
      <w:marBottom w:val="0"/>
      <w:divBdr>
        <w:top w:val="none" w:sz="0" w:space="0" w:color="auto"/>
        <w:left w:val="none" w:sz="0" w:space="0" w:color="auto"/>
        <w:bottom w:val="none" w:sz="0" w:space="0" w:color="auto"/>
        <w:right w:val="none" w:sz="0" w:space="0" w:color="auto"/>
      </w:divBdr>
    </w:div>
    <w:div w:id="775906267">
      <w:bodyDiv w:val="1"/>
      <w:marLeft w:val="0"/>
      <w:marRight w:val="0"/>
      <w:marTop w:val="0"/>
      <w:marBottom w:val="0"/>
      <w:divBdr>
        <w:top w:val="none" w:sz="0" w:space="0" w:color="auto"/>
        <w:left w:val="none" w:sz="0" w:space="0" w:color="auto"/>
        <w:bottom w:val="none" w:sz="0" w:space="0" w:color="auto"/>
        <w:right w:val="none" w:sz="0" w:space="0" w:color="auto"/>
      </w:divBdr>
    </w:div>
    <w:div w:id="891312298">
      <w:bodyDiv w:val="1"/>
      <w:marLeft w:val="0"/>
      <w:marRight w:val="0"/>
      <w:marTop w:val="0"/>
      <w:marBottom w:val="0"/>
      <w:divBdr>
        <w:top w:val="none" w:sz="0" w:space="0" w:color="auto"/>
        <w:left w:val="none" w:sz="0" w:space="0" w:color="auto"/>
        <w:bottom w:val="none" w:sz="0" w:space="0" w:color="auto"/>
        <w:right w:val="none" w:sz="0" w:space="0" w:color="auto"/>
      </w:divBdr>
    </w:div>
    <w:div w:id="1215509014">
      <w:bodyDiv w:val="1"/>
      <w:marLeft w:val="0"/>
      <w:marRight w:val="0"/>
      <w:marTop w:val="0"/>
      <w:marBottom w:val="0"/>
      <w:divBdr>
        <w:top w:val="none" w:sz="0" w:space="0" w:color="auto"/>
        <w:left w:val="none" w:sz="0" w:space="0" w:color="auto"/>
        <w:bottom w:val="none" w:sz="0" w:space="0" w:color="auto"/>
        <w:right w:val="none" w:sz="0" w:space="0" w:color="auto"/>
      </w:divBdr>
    </w:div>
    <w:div w:id="1221404602">
      <w:bodyDiv w:val="1"/>
      <w:marLeft w:val="0"/>
      <w:marRight w:val="0"/>
      <w:marTop w:val="0"/>
      <w:marBottom w:val="0"/>
      <w:divBdr>
        <w:top w:val="none" w:sz="0" w:space="0" w:color="auto"/>
        <w:left w:val="none" w:sz="0" w:space="0" w:color="auto"/>
        <w:bottom w:val="none" w:sz="0" w:space="0" w:color="auto"/>
        <w:right w:val="none" w:sz="0" w:space="0" w:color="auto"/>
      </w:divBdr>
    </w:div>
    <w:div w:id="1285191184">
      <w:bodyDiv w:val="1"/>
      <w:marLeft w:val="0"/>
      <w:marRight w:val="0"/>
      <w:marTop w:val="0"/>
      <w:marBottom w:val="0"/>
      <w:divBdr>
        <w:top w:val="none" w:sz="0" w:space="0" w:color="auto"/>
        <w:left w:val="none" w:sz="0" w:space="0" w:color="auto"/>
        <w:bottom w:val="none" w:sz="0" w:space="0" w:color="auto"/>
        <w:right w:val="none" w:sz="0" w:space="0" w:color="auto"/>
      </w:divBdr>
    </w:div>
    <w:div w:id="1539466454">
      <w:bodyDiv w:val="1"/>
      <w:marLeft w:val="0"/>
      <w:marRight w:val="0"/>
      <w:marTop w:val="0"/>
      <w:marBottom w:val="0"/>
      <w:divBdr>
        <w:top w:val="none" w:sz="0" w:space="0" w:color="auto"/>
        <w:left w:val="none" w:sz="0" w:space="0" w:color="auto"/>
        <w:bottom w:val="none" w:sz="0" w:space="0" w:color="auto"/>
        <w:right w:val="none" w:sz="0" w:space="0" w:color="auto"/>
      </w:divBdr>
    </w:div>
    <w:div w:id="1793597262">
      <w:bodyDiv w:val="1"/>
      <w:marLeft w:val="0"/>
      <w:marRight w:val="0"/>
      <w:marTop w:val="0"/>
      <w:marBottom w:val="0"/>
      <w:divBdr>
        <w:top w:val="none" w:sz="0" w:space="0" w:color="auto"/>
        <w:left w:val="none" w:sz="0" w:space="0" w:color="auto"/>
        <w:bottom w:val="none" w:sz="0" w:space="0" w:color="auto"/>
        <w:right w:val="none" w:sz="0" w:space="0" w:color="auto"/>
      </w:divBdr>
    </w:div>
    <w:div w:id="21228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likumi.lv/ta/id/274969-apdrosinasanas-un-parapdrosinasanas-liku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7699-14C9-4819-932D-4E5EAB83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18778</Words>
  <Characters>10704</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Lenss</dc:creator>
  <cp:lastModifiedBy>Ināra Gūtmane</cp:lastModifiedBy>
  <cp:revision>3</cp:revision>
  <dcterms:created xsi:type="dcterms:W3CDTF">2024-06-20T06:51:00Z</dcterms:created>
  <dcterms:modified xsi:type="dcterms:W3CDTF">2024-07-10T17:50:00Z</dcterms:modified>
</cp:coreProperties>
</file>