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1A32" w14:textId="74B17F3B" w:rsidR="008B4ADE" w:rsidRPr="00955EA7" w:rsidRDefault="00955EA7" w:rsidP="00955EA7">
      <w:pPr>
        <w:pStyle w:val="NoSpacing"/>
        <w:rPr>
          <w:rFonts w:asciiTheme="majorBidi" w:hAnsiTheme="majorBidi" w:cstheme="majorBidi"/>
          <w:b/>
          <w:bCs/>
          <w:sz w:val="24"/>
          <w:szCs w:val="24"/>
          <w:lang w:eastAsia="lv-LV"/>
        </w:rPr>
      </w:pPr>
      <w:r w:rsidRPr="00955EA7">
        <w:rPr>
          <w:rFonts w:asciiTheme="majorBidi" w:hAnsiTheme="majorBidi" w:cstheme="majorBidi"/>
          <w:b/>
          <w:bCs/>
          <w:sz w:val="24"/>
          <w:szCs w:val="24"/>
          <w:lang w:eastAsia="lv-LV"/>
        </w:rPr>
        <w:t>OBLIGĀTO REZERVJU PIEMĒROŠANAS KONSULTATĪVAIS CEĻVEDIS</w:t>
      </w:r>
    </w:p>
    <w:p w14:paraId="1A5CBCA0" w14:textId="7C81EC87" w:rsidR="008B4ADE" w:rsidRPr="00955EA7" w:rsidRDefault="008B4ADE" w:rsidP="00955EA7">
      <w:pPr>
        <w:pStyle w:val="NoSpacing"/>
        <w:rPr>
          <w:rFonts w:asciiTheme="majorBidi" w:hAnsiTheme="majorBidi" w:cstheme="majorBidi"/>
          <w:sz w:val="24"/>
          <w:szCs w:val="24"/>
          <w:lang w:eastAsia="lv-LV"/>
        </w:rPr>
      </w:pPr>
    </w:p>
    <w:p w14:paraId="72BD1399" w14:textId="77777777" w:rsidR="008B4ADE" w:rsidRPr="00955EA7" w:rsidRDefault="008B4ADE" w:rsidP="00955EA7">
      <w:pPr>
        <w:pStyle w:val="NoSpacing"/>
        <w:jc w:val="both"/>
        <w:rPr>
          <w:rFonts w:asciiTheme="majorBidi" w:hAnsiTheme="majorBidi" w:cstheme="majorBidi"/>
          <w:sz w:val="24"/>
          <w:szCs w:val="24"/>
          <w:lang w:eastAsia="lv-LV"/>
        </w:rPr>
      </w:pPr>
      <w:r w:rsidRPr="00955EA7">
        <w:rPr>
          <w:rFonts w:asciiTheme="majorBidi" w:hAnsiTheme="majorBidi" w:cstheme="majorBidi"/>
          <w:b/>
          <w:bCs/>
          <w:sz w:val="24"/>
          <w:szCs w:val="24"/>
          <w:bdr w:val="none" w:sz="0" w:space="0" w:color="auto" w:frame="1"/>
          <w:lang w:eastAsia="lv-LV"/>
        </w:rPr>
        <w:t>I. Mērķis</w:t>
      </w:r>
    </w:p>
    <w:p w14:paraId="1AF8B2B8" w14:textId="77777777" w:rsidR="00955EA7" w:rsidRDefault="00955EA7" w:rsidP="00955EA7">
      <w:pPr>
        <w:pStyle w:val="NoSpacing"/>
        <w:jc w:val="both"/>
        <w:rPr>
          <w:rFonts w:asciiTheme="majorBidi" w:hAnsiTheme="majorBidi" w:cstheme="majorBidi"/>
          <w:sz w:val="24"/>
          <w:szCs w:val="24"/>
          <w:lang w:eastAsia="lv-LV"/>
        </w:rPr>
      </w:pPr>
    </w:p>
    <w:p w14:paraId="5AA5CDBD" w14:textId="586AF9A9" w:rsidR="008B4ADE" w:rsidRPr="00955EA7" w:rsidRDefault="008B4ADE" w:rsidP="00955EA7">
      <w:pPr>
        <w:pStyle w:val="NoSpacing"/>
        <w:jc w:val="both"/>
        <w:rPr>
          <w:rFonts w:asciiTheme="majorBidi" w:hAnsiTheme="majorBidi" w:cstheme="majorBidi"/>
          <w:sz w:val="24"/>
          <w:szCs w:val="24"/>
          <w:lang w:eastAsia="lv-LV"/>
        </w:rPr>
      </w:pPr>
      <w:r w:rsidRPr="00955EA7">
        <w:rPr>
          <w:rFonts w:asciiTheme="majorBidi" w:hAnsiTheme="majorBidi" w:cstheme="majorBidi"/>
          <w:sz w:val="24"/>
          <w:szCs w:val="24"/>
          <w:lang w:eastAsia="lv-LV"/>
        </w:rPr>
        <w:t>1. Obligāto rezervju piemērošanas konsultatīvā ceļveža (tālāk tekstā – ceļvedis) mērķis ir informēt MFI</w:t>
      </w:r>
      <w:r w:rsidR="000D5D59" w:rsidRPr="00955EA7">
        <w:rPr>
          <w:rFonts w:asciiTheme="majorBidi" w:hAnsiTheme="majorBidi" w:cstheme="majorBidi"/>
          <w:sz w:val="24"/>
          <w:szCs w:val="24"/>
          <w:lang w:eastAsia="lv-LV"/>
        </w:rPr>
        <w:t xml:space="preserve"> un ne-MFI kredītiestādes</w:t>
      </w:r>
      <w:r w:rsidRPr="00955EA7">
        <w:rPr>
          <w:rFonts w:asciiTheme="majorBidi" w:hAnsiTheme="majorBidi" w:cstheme="majorBidi"/>
          <w:sz w:val="24"/>
          <w:szCs w:val="24"/>
          <w:lang w:eastAsia="lv-LV"/>
        </w:rPr>
        <w:t>, uz kurām attiecas rezervju prasības, par obligāto rezervju piemērošanu, aprēķināšanu un rezervju prasību izpildi.</w:t>
      </w:r>
    </w:p>
    <w:p w14:paraId="5AA1B3A5" w14:textId="77777777" w:rsidR="00154939" w:rsidRPr="00955EA7" w:rsidRDefault="00154939" w:rsidP="00955EA7">
      <w:pPr>
        <w:pStyle w:val="NoSpacing"/>
        <w:jc w:val="both"/>
        <w:rPr>
          <w:rFonts w:asciiTheme="majorBidi" w:hAnsiTheme="majorBidi" w:cstheme="majorBidi"/>
          <w:sz w:val="24"/>
          <w:szCs w:val="24"/>
          <w:lang w:eastAsia="lv-LV"/>
        </w:rPr>
      </w:pPr>
    </w:p>
    <w:p w14:paraId="25D2C0ED" w14:textId="77777777" w:rsidR="008B4ADE" w:rsidRPr="00955EA7" w:rsidRDefault="008B4ADE" w:rsidP="00955EA7">
      <w:pPr>
        <w:pStyle w:val="NoSpacing"/>
        <w:jc w:val="both"/>
        <w:rPr>
          <w:rFonts w:asciiTheme="majorBidi" w:hAnsiTheme="majorBidi" w:cstheme="majorBidi"/>
          <w:sz w:val="24"/>
          <w:szCs w:val="24"/>
          <w:lang w:eastAsia="lv-LV"/>
        </w:rPr>
      </w:pPr>
      <w:r w:rsidRPr="00955EA7">
        <w:rPr>
          <w:rFonts w:asciiTheme="majorBidi" w:hAnsiTheme="majorBidi" w:cstheme="majorBidi"/>
          <w:b/>
          <w:bCs/>
          <w:sz w:val="24"/>
          <w:szCs w:val="24"/>
          <w:bdr w:val="none" w:sz="0" w:space="0" w:color="auto" w:frame="1"/>
          <w:lang w:eastAsia="lv-LV"/>
        </w:rPr>
        <w:t>II. Obligāto rezervju piemērošana</w:t>
      </w:r>
    </w:p>
    <w:p w14:paraId="0E1939EF" w14:textId="77777777" w:rsidR="00955EA7" w:rsidRDefault="00955EA7" w:rsidP="00955EA7">
      <w:pPr>
        <w:pStyle w:val="NoSpacing"/>
        <w:jc w:val="both"/>
        <w:rPr>
          <w:rFonts w:asciiTheme="majorBidi" w:hAnsiTheme="majorBidi" w:cstheme="majorBidi"/>
          <w:sz w:val="24"/>
          <w:szCs w:val="24"/>
          <w:lang w:eastAsia="lv-LV"/>
        </w:rPr>
      </w:pPr>
    </w:p>
    <w:p w14:paraId="214001D7" w14:textId="51ED0D04" w:rsidR="008B4ADE" w:rsidRPr="00955EA7" w:rsidRDefault="008B4ADE" w:rsidP="00955EA7">
      <w:pPr>
        <w:pStyle w:val="NoSpacing"/>
        <w:jc w:val="both"/>
        <w:rPr>
          <w:rFonts w:asciiTheme="majorBidi" w:hAnsiTheme="majorBidi" w:cstheme="majorBidi"/>
          <w:sz w:val="24"/>
          <w:szCs w:val="24"/>
          <w:lang w:eastAsia="lv-LV"/>
        </w:rPr>
      </w:pPr>
      <w:r w:rsidRPr="00955EA7">
        <w:rPr>
          <w:rFonts w:asciiTheme="majorBidi" w:hAnsiTheme="majorBidi" w:cstheme="majorBidi"/>
          <w:sz w:val="24"/>
          <w:szCs w:val="24"/>
          <w:lang w:eastAsia="lv-LV"/>
        </w:rPr>
        <w:t>2. Obligātās rezerves piemēro Latvijas Republikā reģistrētām kredītiestādēm, citās valstīs reģistrētu kredītiestāžu filiālēm, kuras reģistrētas Latvijas Republikā, un Latvijas Republikā reģistrētām krājaizdevu sabiedrībām (tālāk tekstā – respondenti). Obligātās rezerves nepiemēro Latvijas Republikā reģistrēto kredītiestāžu filiālēm citās valstīs, kā arī respondentiem, kurus Eiropas Centrālā banka (tālāk tekstā – ECB) atbrīvojusi no rezervju prasību izpildes.</w:t>
      </w:r>
    </w:p>
    <w:p w14:paraId="664FFADC" w14:textId="77777777" w:rsidR="00955EA7" w:rsidRDefault="00955EA7" w:rsidP="00955EA7">
      <w:pPr>
        <w:pStyle w:val="NoSpacing"/>
        <w:jc w:val="both"/>
        <w:rPr>
          <w:rFonts w:asciiTheme="majorBidi" w:hAnsiTheme="majorBidi" w:cstheme="majorBidi"/>
          <w:sz w:val="24"/>
          <w:szCs w:val="24"/>
        </w:rPr>
      </w:pPr>
    </w:p>
    <w:p w14:paraId="2F93625C" w14:textId="65C07C40" w:rsidR="008B4ADE" w:rsidRPr="00955EA7" w:rsidRDefault="008B4ADE" w:rsidP="00955EA7">
      <w:pPr>
        <w:pStyle w:val="NoSpacing"/>
        <w:jc w:val="both"/>
        <w:rPr>
          <w:rFonts w:asciiTheme="majorBidi" w:hAnsiTheme="majorBidi" w:cstheme="majorBidi"/>
          <w:sz w:val="24"/>
          <w:szCs w:val="24"/>
          <w:lang w:val="en-GB"/>
        </w:rPr>
      </w:pPr>
      <w:r w:rsidRPr="00955EA7">
        <w:rPr>
          <w:rFonts w:asciiTheme="majorBidi" w:hAnsiTheme="majorBidi" w:cstheme="majorBidi"/>
          <w:sz w:val="24"/>
          <w:szCs w:val="24"/>
        </w:rPr>
        <w:t>3. ECB publicē to MFI</w:t>
      </w:r>
      <w:r w:rsidR="00C969B6">
        <w:rPr>
          <w:rFonts w:asciiTheme="majorBidi" w:hAnsiTheme="majorBidi" w:cstheme="majorBidi"/>
          <w:sz w:val="24"/>
          <w:szCs w:val="24"/>
        </w:rPr>
        <w:t xml:space="preserve"> </w:t>
      </w:r>
      <w:r w:rsidR="000D5D59" w:rsidRPr="00955EA7">
        <w:rPr>
          <w:rFonts w:asciiTheme="majorBidi" w:hAnsiTheme="majorBidi" w:cstheme="majorBidi"/>
          <w:sz w:val="24"/>
          <w:szCs w:val="24"/>
        </w:rPr>
        <w:t>un ne-MFI kredītiestāžu</w:t>
      </w:r>
      <w:r w:rsidR="0076484B" w:rsidRPr="00955EA7">
        <w:rPr>
          <w:rFonts w:asciiTheme="majorBidi" w:hAnsiTheme="majorBidi" w:cstheme="majorBidi"/>
          <w:sz w:val="24"/>
          <w:szCs w:val="24"/>
        </w:rPr>
        <w:t xml:space="preserve"> </w:t>
      </w:r>
      <w:r w:rsidRPr="00955EA7">
        <w:rPr>
          <w:rFonts w:asciiTheme="majorBidi" w:hAnsiTheme="majorBidi" w:cstheme="majorBidi"/>
          <w:sz w:val="24"/>
          <w:szCs w:val="24"/>
        </w:rPr>
        <w:t xml:space="preserve">sarakstu, uz kurām attiecas rezervju prasības (sk. ECB </w:t>
      </w:r>
      <w:r w:rsidR="00376802" w:rsidRPr="00376802">
        <w:rPr>
          <w:rFonts w:asciiTheme="majorBidi" w:hAnsiTheme="majorBidi" w:cstheme="majorBidi"/>
          <w:sz w:val="24"/>
          <w:szCs w:val="24"/>
        </w:rPr>
        <w:t>tīmekļvietnē</w:t>
      </w:r>
      <w:r w:rsidR="00376802" w:rsidRPr="00376802" w:rsidDel="00376802">
        <w:rPr>
          <w:rFonts w:asciiTheme="majorBidi" w:hAnsiTheme="majorBidi" w:cstheme="majorBidi"/>
          <w:sz w:val="24"/>
          <w:szCs w:val="24"/>
        </w:rPr>
        <w:t xml:space="preserve"> </w:t>
      </w:r>
      <w:hyperlink r:id="rId8" w:history="1">
        <w:r w:rsidRPr="00955EA7">
          <w:rPr>
            <w:rFonts w:asciiTheme="majorBidi" w:hAnsiTheme="majorBidi" w:cstheme="majorBidi"/>
            <w:color w:val="090959"/>
            <w:sz w:val="24"/>
            <w:szCs w:val="24"/>
            <w:u w:val="single"/>
            <w:bdr w:val="none" w:sz="0" w:space="0" w:color="auto" w:frame="1"/>
          </w:rPr>
          <w:t>https://www.ecb.europa.eu/stats/money/mfi/general/html/monthly_list.en.html</w:t>
        </w:r>
      </w:hyperlink>
      <w:r w:rsidR="00D9383B" w:rsidRPr="00955EA7" w:rsidDel="00D9383B">
        <w:rPr>
          <w:rFonts w:asciiTheme="majorBidi" w:hAnsiTheme="majorBidi" w:cstheme="majorBidi"/>
          <w:sz w:val="24"/>
          <w:szCs w:val="24"/>
        </w:rPr>
        <w:t xml:space="preserve"> </w:t>
      </w:r>
      <w:r w:rsidR="00D9383B" w:rsidRPr="00955EA7">
        <w:rPr>
          <w:rFonts w:asciiTheme="majorBidi" w:hAnsiTheme="majorBidi" w:cstheme="majorBidi"/>
          <w:i/>
          <w:iCs/>
          <w:sz w:val="24"/>
          <w:szCs w:val="24"/>
          <w:lang w:val="en-GB"/>
        </w:rPr>
        <w:t>“</w:t>
      </w:r>
      <w:r w:rsidR="00C969B6" w:rsidRPr="00F55FC5">
        <w:rPr>
          <w:rFonts w:asciiTheme="majorBidi" w:hAnsiTheme="majorBidi" w:cstheme="majorBidi"/>
          <w:i/>
          <w:iCs/>
          <w:sz w:val="24"/>
          <w:szCs w:val="24"/>
          <w:lang w:val="en-GB"/>
        </w:rPr>
        <w:t>Credit Institutions (Monetary Financial Institutions and Systemic Investment Firms):</w:t>
      </w:r>
      <w:r w:rsidR="00C969B6">
        <w:rPr>
          <w:rFonts w:asciiTheme="majorBidi" w:hAnsiTheme="majorBidi" w:cstheme="majorBidi"/>
          <w:b/>
          <w:bCs/>
          <w:i/>
          <w:iCs/>
          <w:sz w:val="24"/>
          <w:szCs w:val="24"/>
          <w:lang w:val="en-GB"/>
        </w:rPr>
        <w:t xml:space="preserve"> </w:t>
      </w:r>
      <w:r w:rsidR="00D9383B" w:rsidRPr="00955EA7">
        <w:rPr>
          <w:rFonts w:asciiTheme="majorBidi" w:hAnsiTheme="majorBidi" w:cstheme="majorBidi"/>
          <w:i/>
          <w:iCs/>
          <w:sz w:val="24"/>
          <w:szCs w:val="24"/>
          <w:lang w:val="en-GB"/>
        </w:rPr>
        <w:t>minimum reserve requirement features (monthly data)”</w:t>
      </w:r>
      <w:r w:rsidRPr="00955EA7">
        <w:rPr>
          <w:rFonts w:asciiTheme="majorBidi" w:hAnsiTheme="majorBidi" w:cstheme="majorBidi"/>
          <w:sz w:val="24"/>
          <w:szCs w:val="24"/>
          <w:lang w:val="en-GB"/>
        </w:rPr>
        <w:t>).</w:t>
      </w:r>
    </w:p>
    <w:p w14:paraId="2323C080" w14:textId="2D9CAB7E" w:rsidR="00955EA7" w:rsidRDefault="00955EA7" w:rsidP="00955EA7">
      <w:pPr>
        <w:pStyle w:val="NoSpacing"/>
        <w:rPr>
          <w:rFonts w:asciiTheme="majorBidi" w:hAnsiTheme="majorBidi" w:cstheme="majorBidi"/>
          <w:sz w:val="24"/>
          <w:szCs w:val="24"/>
        </w:rPr>
      </w:pPr>
    </w:p>
    <w:p w14:paraId="44312150" w14:textId="77777777" w:rsidR="008B4ADE" w:rsidRPr="00955EA7" w:rsidRDefault="008B4ADE" w:rsidP="00955EA7">
      <w:pPr>
        <w:pStyle w:val="NoSpacing"/>
        <w:jc w:val="both"/>
        <w:rPr>
          <w:rFonts w:asciiTheme="majorBidi" w:hAnsiTheme="majorBidi" w:cstheme="majorBidi"/>
          <w:b/>
          <w:bCs/>
          <w:sz w:val="24"/>
          <w:szCs w:val="24"/>
          <w:bdr w:val="none" w:sz="0" w:space="0" w:color="auto" w:frame="1"/>
          <w:lang w:eastAsia="lv-LV"/>
        </w:rPr>
      </w:pPr>
      <w:r w:rsidRPr="00955EA7">
        <w:rPr>
          <w:rFonts w:asciiTheme="majorBidi" w:hAnsiTheme="majorBidi" w:cstheme="majorBidi"/>
          <w:b/>
          <w:bCs/>
          <w:sz w:val="24"/>
          <w:szCs w:val="24"/>
          <w:bdr w:val="none" w:sz="0" w:space="0" w:color="auto" w:frame="1"/>
          <w:lang w:eastAsia="lv-LV"/>
        </w:rPr>
        <w:t>III. Obligāto rezervju aprēķināšana</w:t>
      </w:r>
    </w:p>
    <w:p w14:paraId="794311F2" w14:textId="77777777" w:rsidR="00955EA7" w:rsidRDefault="00955EA7" w:rsidP="00955EA7">
      <w:pPr>
        <w:spacing w:after="0" w:line="240" w:lineRule="auto"/>
        <w:jc w:val="both"/>
        <w:rPr>
          <w:rFonts w:asciiTheme="majorBidi" w:eastAsia="Times New Roman" w:hAnsiTheme="majorBidi" w:cstheme="majorBidi"/>
          <w:sz w:val="24"/>
          <w:szCs w:val="24"/>
          <w:lang w:eastAsia="lv-LV"/>
        </w:rPr>
      </w:pPr>
    </w:p>
    <w:p w14:paraId="2BD7D540" w14:textId="27715ABB" w:rsidR="008B4ADE" w:rsidRPr="00955EA7" w:rsidRDefault="008B4ADE" w:rsidP="00955EA7">
      <w:pPr>
        <w:spacing w:after="0" w:line="240" w:lineRule="auto"/>
        <w:jc w:val="both"/>
        <w:rPr>
          <w:rFonts w:asciiTheme="majorBidi" w:eastAsia="Times New Roman" w:hAnsiTheme="majorBidi" w:cstheme="majorBidi"/>
          <w:sz w:val="24"/>
          <w:szCs w:val="24"/>
          <w:lang w:eastAsia="lv-LV"/>
        </w:rPr>
      </w:pPr>
      <w:r w:rsidRPr="00955EA7">
        <w:rPr>
          <w:rFonts w:asciiTheme="majorBidi" w:eastAsia="Times New Roman" w:hAnsiTheme="majorBidi" w:cstheme="majorBidi"/>
          <w:sz w:val="24"/>
          <w:szCs w:val="24"/>
          <w:lang w:eastAsia="lv-LV"/>
        </w:rPr>
        <w:t>4. Rezervju prasību aprēķināšanu, rezervju rādītājus un to piemērošanu rezervju prasību aprēķināšanai nosaka ECB 20</w:t>
      </w:r>
      <w:r w:rsidR="00104296" w:rsidRPr="00955EA7">
        <w:rPr>
          <w:rFonts w:asciiTheme="majorBidi" w:eastAsia="Times New Roman" w:hAnsiTheme="majorBidi" w:cstheme="majorBidi"/>
          <w:sz w:val="24"/>
          <w:szCs w:val="24"/>
          <w:lang w:eastAsia="lv-LV"/>
        </w:rPr>
        <w:t>21</w:t>
      </w:r>
      <w:r w:rsidRPr="00955EA7">
        <w:rPr>
          <w:rFonts w:asciiTheme="majorBidi" w:eastAsia="Times New Roman" w:hAnsiTheme="majorBidi" w:cstheme="majorBidi"/>
          <w:sz w:val="24"/>
          <w:szCs w:val="24"/>
          <w:lang w:eastAsia="lv-LV"/>
        </w:rPr>
        <w:t xml:space="preserve">. gada </w:t>
      </w:r>
      <w:r w:rsidR="00104296" w:rsidRPr="00955EA7">
        <w:rPr>
          <w:rFonts w:asciiTheme="majorBidi" w:eastAsia="Times New Roman" w:hAnsiTheme="majorBidi" w:cstheme="majorBidi"/>
          <w:sz w:val="24"/>
          <w:szCs w:val="24"/>
          <w:lang w:eastAsia="lv-LV"/>
        </w:rPr>
        <w:t>22</w:t>
      </w:r>
      <w:r w:rsidRPr="00955EA7">
        <w:rPr>
          <w:rFonts w:asciiTheme="majorBidi" w:eastAsia="Times New Roman" w:hAnsiTheme="majorBidi" w:cstheme="majorBidi"/>
          <w:sz w:val="24"/>
          <w:szCs w:val="24"/>
          <w:lang w:eastAsia="lv-LV"/>
        </w:rPr>
        <w:t>. </w:t>
      </w:r>
      <w:r w:rsidR="00104296" w:rsidRPr="00955EA7">
        <w:rPr>
          <w:rFonts w:asciiTheme="majorBidi" w:eastAsia="Times New Roman" w:hAnsiTheme="majorBidi" w:cstheme="majorBidi"/>
          <w:sz w:val="24"/>
          <w:szCs w:val="24"/>
          <w:lang w:eastAsia="lv-LV"/>
        </w:rPr>
        <w:t xml:space="preserve">janvāra </w:t>
      </w:r>
      <w:r w:rsidRPr="00955EA7">
        <w:rPr>
          <w:rFonts w:asciiTheme="majorBidi" w:eastAsia="Times New Roman" w:hAnsiTheme="majorBidi" w:cstheme="majorBidi"/>
          <w:sz w:val="24"/>
          <w:szCs w:val="24"/>
          <w:lang w:eastAsia="lv-LV"/>
        </w:rPr>
        <w:t>Regula Nr. </w:t>
      </w:r>
      <w:r w:rsidR="00104296" w:rsidRPr="00955EA7">
        <w:rPr>
          <w:rFonts w:asciiTheme="majorBidi" w:eastAsia="Times New Roman" w:hAnsiTheme="majorBidi" w:cstheme="majorBidi"/>
          <w:sz w:val="24"/>
          <w:szCs w:val="24"/>
          <w:lang w:eastAsia="lv-LV"/>
        </w:rPr>
        <w:t>2021</w:t>
      </w:r>
      <w:r w:rsidRPr="00955EA7">
        <w:rPr>
          <w:rFonts w:asciiTheme="majorBidi" w:eastAsia="Times New Roman" w:hAnsiTheme="majorBidi" w:cstheme="majorBidi"/>
          <w:sz w:val="24"/>
          <w:szCs w:val="24"/>
          <w:lang w:eastAsia="lv-LV"/>
        </w:rPr>
        <w:t>/</w:t>
      </w:r>
      <w:r w:rsidR="00104296" w:rsidRPr="00955EA7">
        <w:rPr>
          <w:rFonts w:asciiTheme="majorBidi" w:eastAsia="Times New Roman" w:hAnsiTheme="majorBidi" w:cstheme="majorBidi"/>
          <w:sz w:val="24"/>
          <w:szCs w:val="24"/>
          <w:lang w:eastAsia="lv-LV"/>
        </w:rPr>
        <w:t>378</w:t>
      </w:r>
      <w:r w:rsidRPr="00955EA7">
        <w:rPr>
          <w:rFonts w:asciiTheme="majorBidi" w:eastAsia="Times New Roman" w:hAnsiTheme="majorBidi" w:cstheme="majorBidi"/>
          <w:sz w:val="24"/>
          <w:szCs w:val="24"/>
          <w:lang w:eastAsia="lv-LV"/>
        </w:rPr>
        <w:t xml:space="preserve"> par obligāto rezervju piemērošanu </w:t>
      </w:r>
      <w:r w:rsidR="00F21638" w:rsidRPr="00B775D2">
        <w:rPr>
          <w:rFonts w:asciiTheme="majorBidi" w:eastAsia="Times New Roman" w:hAnsiTheme="majorBidi" w:cstheme="majorBidi"/>
          <w:sz w:val="24"/>
          <w:szCs w:val="24"/>
          <w:lang w:eastAsia="lv-LV"/>
        </w:rPr>
        <w:t xml:space="preserve">(pārstrādāta redakcija) (ECB/2021/1) </w:t>
      </w:r>
      <w:r w:rsidRPr="00955EA7">
        <w:rPr>
          <w:rFonts w:asciiTheme="majorBidi" w:eastAsia="Times New Roman" w:hAnsiTheme="majorBidi" w:cstheme="majorBidi"/>
          <w:sz w:val="24"/>
          <w:szCs w:val="24"/>
          <w:lang w:eastAsia="lv-LV"/>
        </w:rPr>
        <w:t>un tās turpmākie grozījumi (tālāk tekstā – Regula Nr. </w:t>
      </w:r>
      <w:r w:rsidR="00104296" w:rsidRPr="00955EA7">
        <w:rPr>
          <w:rFonts w:asciiTheme="majorBidi" w:eastAsia="Times New Roman" w:hAnsiTheme="majorBidi" w:cstheme="majorBidi"/>
          <w:sz w:val="24"/>
          <w:szCs w:val="24"/>
          <w:lang w:eastAsia="lv-LV"/>
        </w:rPr>
        <w:t>2021</w:t>
      </w:r>
      <w:r w:rsidRPr="00955EA7">
        <w:rPr>
          <w:rFonts w:asciiTheme="majorBidi" w:eastAsia="Times New Roman" w:hAnsiTheme="majorBidi" w:cstheme="majorBidi"/>
          <w:sz w:val="24"/>
          <w:szCs w:val="24"/>
          <w:lang w:eastAsia="lv-LV"/>
        </w:rPr>
        <w:t>/</w:t>
      </w:r>
      <w:r w:rsidR="00104296" w:rsidRPr="00955EA7">
        <w:rPr>
          <w:rFonts w:asciiTheme="majorBidi" w:eastAsia="Times New Roman" w:hAnsiTheme="majorBidi" w:cstheme="majorBidi"/>
          <w:sz w:val="24"/>
          <w:szCs w:val="24"/>
          <w:lang w:eastAsia="lv-LV"/>
        </w:rPr>
        <w:t>378</w:t>
      </w:r>
      <w:r w:rsidRPr="00955EA7">
        <w:rPr>
          <w:rFonts w:asciiTheme="majorBidi" w:eastAsia="Times New Roman" w:hAnsiTheme="majorBidi" w:cstheme="majorBidi"/>
          <w:sz w:val="24"/>
          <w:szCs w:val="24"/>
          <w:lang w:eastAsia="lv-LV"/>
        </w:rPr>
        <w:t xml:space="preserve">; sk. </w:t>
      </w:r>
      <w:r w:rsidR="00104296" w:rsidRPr="00955EA7">
        <w:rPr>
          <w:rFonts w:asciiTheme="majorBidi" w:eastAsia="Times New Roman" w:hAnsiTheme="majorBidi" w:cstheme="majorBidi"/>
          <w:sz w:val="24"/>
          <w:szCs w:val="24"/>
          <w:lang w:eastAsia="lv-LV"/>
        </w:rPr>
        <w:t xml:space="preserve">Eiropas Savienības </w:t>
      </w:r>
      <w:r w:rsidR="003F72D2" w:rsidRPr="00955EA7">
        <w:rPr>
          <w:rFonts w:asciiTheme="majorBidi" w:eastAsia="Times New Roman" w:hAnsiTheme="majorBidi" w:cstheme="majorBidi"/>
          <w:sz w:val="24"/>
          <w:szCs w:val="24"/>
          <w:lang w:eastAsia="lv-LV"/>
        </w:rPr>
        <w:t xml:space="preserve">tiesību elektroniskajā datubāzē </w:t>
      </w:r>
      <w:hyperlink r:id="rId9" w:history="1">
        <w:r w:rsidR="00104296" w:rsidRPr="00955EA7">
          <w:rPr>
            <w:rStyle w:val="Hyperlink"/>
            <w:rFonts w:asciiTheme="majorBidi" w:hAnsiTheme="majorBidi" w:cstheme="majorBidi"/>
            <w:sz w:val="24"/>
            <w:szCs w:val="24"/>
          </w:rPr>
          <w:t>EUR-</w:t>
        </w:r>
        <w:proofErr w:type="spellStart"/>
        <w:r w:rsidR="00104296" w:rsidRPr="00955EA7">
          <w:rPr>
            <w:rStyle w:val="Hyperlink"/>
            <w:rFonts w:asciiTheme="majorBidi" w:hAnsiTheme="majorBidi" w:cstheme="majorBidi"/>
            <w:sz w:val="24"/>
            <w:szCs w:val="24"/>
          </w:rPr>
          <w:t>Lex</w:t>
        </w:r>
        <w:proofErr w:type="spellEnd"/>
        <w:r w:rsidR="00104296" w:rsidRPr="00955EA7">
          <w:rPr>
            <w:rStyle w:val="Hyperlink"/>
            <w:rFonts w:asciiTheme="majorBidi" w:hAnsiTheme="majorBidi" w:cstheme="majorBidi"/>
            <w:sz w:val="24"/>
            <w:szCs w:val="24"/>
          </w:rPr>
          <w:t xml:space="preserve"> - 32021R0378 - EN - EUR-</w:t>
        </w:r>
        <w:proofErr w:type="spellStart"/>
        <w:r w:rsidR="00104296" w:rsidRPr="00955EA7">
          <w:rPr>
            <w:rStyle w:val="Hyperlink"/>
            <w:rFonts w:asciiTheme="majorBidi" w:hAnsiTheme="majorBidi" w:cstheme="majorBidi"/>
            <w:sz w:val="24"/>
            <w:szCs w:val="24"/>
          </w:rPr>
          <w:t>Lex</w:t>
        </w:r>
        <w:proofErr w:type="spellEnd"/>
        <w:r w:rsidR="00104296" w:rsidRPr="00955EA7">
          <w:rPr>
            <w:rStyle w:val="Hyperlink"/>
            <w:rFonts w:asciiTheme="majorBidi" w:hAnsiTheme="majorBidi" w:cstheme="majorBidi"/>
            <w:sz w:val="24"/>
            <w:szCs w:val="24"/>
          </w:rPr>
          <w:t xml:space="preserve"> (</w:t>
        </w:r>
        <w:proofErr w:type="spellStart"/>
        <w:r w:rsidR="00104296" w:rsidRPr="00955EA7">
          <w:rPr>
            <w:rStyle w:val="Hyperlink"/>
            <w:rFonts w:asciiTheme="majorBidi" w:hAnsiTheme="majorBidi" w:cstheme="majorBidi"/>
            <w:sz w:val="24"/>
            <w:szCs w:val="24"/>
          </w:rPr>
          <w:t>europa.eu</w:t>
        </w:r>
        <w:proofErr w:type="spellEnd"/>
        <w:r w:rsidR="00104296" w:rsidRPr="00955EA7">
          <w:rPr>
            <w:rStyle w:val="Hyperlink"/>
            <w:rFonts w:asciiTheme="majorBidi" w:hAnsiTheme="majorBidi" w:cstheme="majorBidi"/>
            <w:sz w:val="24"/>
            <w:szCs w:val="24"/>
          </w:rPr>
          <w:t>)</w:t>
        </w:r>
      </w:hyperlink>
      <w:r w:rsidR="003F72D2" w:rsidRPr="00955EA7">
        <w:rPr>
          <w:rFonts w:asciiTheme="majorBidi" w:hAnsiTheme="majorBidi" w:cstheme="majorBidi"/>
          <w:sz w:val="24"/>
          <w:szCs w:val="24"/>
        </w:rPr>
        <w:t>).</w:t>
      </w:r>
      <w:r w:rsidR="00104296" w:rsidRPr="00955EA7" w:rsidDel="00104296">
        <w:rPr>
          <w:rFonts w:asciiTheme="majorBidi" w:eastAsia="Times New Roman" w:hAnsiTheme="majorBidi" w:cstheme="majorBidi"/>
          <w:sz w:val="24"/>
          <w:szCs w:val="24"/>
          <w:lang w:eastAsia="lv-LV"/>
        </w:rPr>
        <w:t xml:space="preserve"> </w:t>
      </w:r>
    </w:p>
    <w:p w14:paraId="32F12CE8" w14:textId="77777777" w:rsidR="00955EA7" w:rsidRDefault="00955EA7" w:rsidP="00955EA7">
      <w:pPr>
        <w:spacing w:after="0" w:line="240" w:lineRule="auto"/>
        <w:jc w:val="both"/>
        <w:rPr>
          <w:rFonts w:asciiTheme="majorBidi" w:eastAsia="Times New Roman" w:hAnsiTheme="majorBidi" w:cstheme="majorBidi"/>
          <w:sz w:val="24"/>
          <w:szCs w:val="24"/>
          <w:lang w:eastAsia="lv-LV"/>
        </w:rPr>
      </w:pPr>
    </w:p>
    <w:p w14:paraId="121CD444" w14:textId="246B857C" w:rsidR="008B4ADE" w:rsidRPr="00955EA7" w:rsidRDefault="008B4ADE" w:rsidP="00955EA7">
      <w:pPr>
        <w:spacing w:after="0" w:line="240" w:lineRule="auto"/>
        <w:jc w:val="both"/>
        <w:rPr>
          <w:rFonts w:asciiTheme="majorBidi" w:eastAsia="Times New Roman" w:hAnsiTheme="majorBidi" w:cstheme="majorBidi"/>
          <w:sz w:val="24"/>
          <w:szCs w:val="24"/>
          <w:lang w:eastAsia="lv-LV"/>
        </w:rPr>
      </w:pPr>
      <w:r w:rsidRPr="00955EA7">
        <w:rPr>
          <w:rFonts w:asciiTheme="majorBidi" w:eastAsia="Times New Roman" w:hAnsiTheme="majorBidi" w:cstheme="majorBidi"/>
          <w:sz w:val="24"/>
          <w:szCs w:val="24"/>
          <w:lang w:eastAsia="lv-LV"/>
        </w:rPr>
        <w:t>5. Atbilstoši Regulā Nr. </w:t>
      </w:r>
      <w:r w:rsidR="00104296" w:rsidRPr="00955EA7">
        <w:rPr>
          <w:rFonts w:asciiTheme="majorBidi" w:eastAsia="Times New Roman" w:hAnsiTheme="majorBidi" w:cstheme="majorBidi"/>
          <w:sz w:val="24"/>
          <w:szCs w:val="24"/>
          <w:lang w:eastAsia="lv-LV"/>
        </w:rPr>
        <w:t xml:space="preserve">2021/378 </w:t>
      </w:r>
      <w:r w:rsidRPr="00955EA7">
        <w:rPr>
          <w:rFonts w:asciiTheme="majorBidi" w:eastAsia="Times New Roman" w:hAnsiTheme="majorBidi" w:cstheme="majorBidi"/>
          <w:sz w:val="24"/>
          <w:szCs w:val="24"/>
          <w:lang w:eastAsia="lv-LV"/>
        </w:rPr>
        <w:t xml:space="preserve">noteiktajam rezervju bāzē tiek ietverti respondenta piesaistītie noguldījumi un emitētie parāda vērstpapīri. Rezervju bāzē iekļautās saistības interpretējamas, ņemot </w:t>
      </w:r>
      <w:r w:rsidRPr="00955EA7">
        <w:rPr>
          <w:rFonts w:asciiTheme="majorBidi" w:eastAsia="Times New Roman" w:hAnsiTheme="majorBidi" w:cstheme="majorBidi"/>
          <w:color w:val="000000" w:themeColor="text1"/>
          <w:sz w:val="24"/>
          <w:szCs w:val="24"/>
          <w:lang w:eastAsia="lv-LV"/>
        </w:rPr>
        <w:t>vērā</w:t>
      </w:r>
      <w:r w:rsidR="0076484B" w:rsidRPr="00955EA7">
        <w:rPr>
          <w:rFonts w:asciiTheme="majorBidi" w:eastAsia="Times New Roman" w:hAnsiTheme="majorBidi" w:cstheme="majorBidi"/>
          <w:color w:val="000000" w:themeColor="text1"/>
          <w:sz w:val="24"/>
          <w:szCs w:val="24"/>
          <w:lang w:eastAsia="lv-LV"/>
        </w:rPr>
        <w:t xml:space="preserve"> </w:t>
      </w:r>
      <w:r w:rsidR="007C71B7" w:rsidRPr="00955EA7">
        <w:rPr>
          <w:rFonts w:asciiTheme="majorBidi" w:eastAsia="Times New Roman" w:hAnsiTheme="majorBidi" w:cstheme="majorBidi"/>
          <w:color w:val="000000" w:themeColor="text1"/>
          <w:sz w:val="24"/>
          <w:szCs w:val="24"/>
          <w:lang w:eastAsia="lv-LV"/>
        </w:rPr>
        <w:t>2021. gada 22. janvār</w:t>
      </w:r>
      <w:r w:rsidR="007C71B7">
        <w:rPr>
          <w:rFonts w:asciiTheme="majorBidi" w:eastAsia="Times New Roman" w:hAnsiTheme="majorBidi" w:cstheme="majorBidi"/>
          <w:color w:val="000000" w:themeColor="text1"/>
          <w:sz w:val="24"/>
          <w:szCs w:val="24"/>
          <w:lang w:eastAsia="lv-LV"/>
        </w:rPr>
        <w:t>a</w:t>
      </w:r>
      <w:r w:rsidR="007C71B7" w:rsidRPr="00955EA7">
        <w:rPr>
          <w:rFonts w:asciiTheme="majorBidi" w:eastAsia="Times New Roman" w:hAnsiTheme="majorBidi" w:cstheme="majorBidi"/>
          <w:color w:val="000000" w:themeColor="text1"/>
          <w:sz w:val="24"/>
          <w:szCs w:val="24"/>
          <w:lang w:eastAsia="lv-LV"/>
        </w:rPr>
        <w:t xml:space="preserve"> </w:t>
      </w:r>
      <w:r w:rsidR="0076484B" w:rsidRPr="00955EA7">
        <w:rPr>
          <w:rFonts w:asciiTheme="majorBidi" w:eastAsia="Times New Roman" w:hAnsiTheme="majorBidi" w:cstheme="majorBidi"/>
          <w:color w:val="000000" w:themeColor="text1"/>
          <w:sz w:val="24"/>
          <w:szCs w:val="24"/>
          <w:lang w:eastAsia="lv-LV"/>
        </w:rPr>
        <w:t>ECB Regulu Nr. 2021/379 par kredītiestāžu un monetāro finanšu iestāžu sektora bilances posteņiem (pārstrādāta redakcija) (ECB/2021/2)</w:t>
      </w:r>
      <w:r w:rsidRPr="00955EA7">
        <w:rPr>
          <w:rFonts w:asciiTheme="majorBidi" w:eastAsia="Times New Roman" w:hAnsiTheme="majorBidi" w:cstheme="majorBidi"/>
          <w:color w:val="000000" w:themeColor="text1"/>
          <w:sz w:val="24"/>
          <w:szCs w:val="24"/>
          <w:lang w:eastAsia="lv-LV"/>
        </w:rPr>
        <w:t xml:space="preserve"> </w:t>
      </w:r>
      <w:r w:rsidRPr="00955EA7">
        <w:rPr>
          <w:rFonts w:asciiTheme="majorBidi" w:eastAsia="Times New Roman" w:hAnsiTheme="majorBidi" w:cstheme="majorBidi"/>
          <w:sz w:val="24"/>
          <w:szCs w:val="24"/>
          <w:lang w:eastAsia="lv-LV"/>
        </w:rPr>
        <w:t xml:space="preserve">(sk. </w:t>
      </w:r>
      <w:r w:rsidR="00213BAC" w:rsidRPr="00955EA7">
        <w:rPr>
          <w:rFonts w:asciiTheme="majorBidi" w:eastAsia="Times New Roman" w:hAnsiTheme="majorBidi" w:cstheme="majorBidi"/>
          <w:sz w:val="24"/>
          <w:szCs w:val="24"/>
          <w:lang w:eastAsia="lv-LV"/>
        </w:rPr>
        <w:t xml:space="preserve">Eiropas Savienības tiesību elektroniskajā datubāzē </w:t>
      </w:r>
      <w:hyperlink r:id="rId10" w:history="1">
        <w:r w:rsidR="00F12E28" w:rsidRPr="00955EA7">
          <w:rPr>
            <w:rStyle w:val="Hyperlink"/>
            <w:rFonts w:asciiTheme="majorBidi" w:hAnsiTheme="majorBidi" w:cstheme="majorBidi"/>
            <w:sz w:val="24"/>
            <w:szCs w:val="24"/>
          </w:rPr>
          <w:t>EUR-</w:t>
        </w:r>
        <w:proofErr w:type="spellStart"/>
        <w:r w:rsidR="00F12E28" w:rsidRPr="00955EA7">
          <w:rPr>
            <w:rStyle w:val="Hyperlink"/>
            <w:rFonts w:asciiTheme="majorBidi" w:hAnsiTheme="majorBidi" w:cstheme="majorBidi"/>
            <w:sz w:val="24"/>
            <w:szCs w:val="24"/>
          </w:rPr>
          <w:t>Lex</w:t>
        </w:r>
        <w:proofErr w:type="spellEnd"/>
        <w:r w:rsidR="00F12E28" w:rsidRPr="00955EA7">
          <w:rPr>
            <w:rStyle w:val="Hyperlink"/>
            <w:rFonts w:asciiTheme="majorBidi" w:hAnsiTheme="majorBidi" w:cstheme="majorBidi"/>
            <w:sz w:val="24"/>
            <w:szCs w:val="24"/>
          </w:rPr>
          <w:t xml:space="preserve"> - 32021R0379 - EN - EUR-</w:t>
        </w:r>
        <w:proofErr w:type="spellStart"/>
        <w:r w:rsidR="00F12E28" w:rsidRPr="00955EA7">
          <w:rPr>
            <w:rStyle w:val="Hyperlink"/>
            <w:rFonts w:asciiTheme="majorBidi" w:hAnsiTheme="majorBidi" w:cstheme="majorBidi"/>
            <w:sz w:val="24"/>
            <w:szCs w:val="24"/>
          </w:rPr>
          <w:t>Lex</w:t>
        </w:r>
        <w:proofErr w:type="spellEnd"/>
        <w:r w:rsidR="00F12E28" w:rsidRPr="00955EA7">
          <w:rPr>
            <w:rStyle w:val="Hyperlink"/>
            <w:rFonts w:asciiTheme="majorBidi" w:hAnsiTheme="majorBidi" w:cstheme="majorBidi"/>
            <w:sz w:val="24"/>
            <w:szCs w:val="24"/>
          </w:rPr>
          <w:t xml:space="preserve"> (</w:t>
        </w:r>
        <w:proofErr w:type="spellStart"/>
        <w:r w:rsidR="00F12E28" w:rsidRPr="00955EA7">
          <w:rPr>
            <w:rStyle w:val="Hyperlink"/>
            <w:rFonts w:asciiTheme="majorBidi" w:hAnsiTheme="majorBidi" w:cstheme="majorBidi"/>
            <w:sz w:val="24"/>
            <w:szCs w:val="24"/>
          </w:rPr>
          <w:t>europa.eu</w:t>
        </w:r>
        <w:proofErr w:type="spellEnd"/>
        <w:r w:rsidR="00F12E28" w:rsidRPr="00955EA7">
          <w:rPr>
            <w:rStyle w:val="Hyperlink"/>
            <w:rFonts w:asciiTheme="majorBidi" w:hAnsiTheme="majorBidi" w:cstheme="majorBidi"/>
            <w:sz w:val="24"/>
            <w:szCs w:val="24"/>
          </w:rPr>
          <w:t>)</w:t>
        </w:r>
      </w:hyperlink>
      <w:hyperlink w:history="1"/>
      <w:r w:rsidRPr="00955EA7">
        <w:rPr>
          <w:rFonts w:asciiTheme="majorBidi" w:eastAsia="Times New Roman" w:hAnsiTheme="majorBidi" w:cstheme="majorBidi"/>
          <w:sz w:val="24"/>
          <w:szCs w:val="24"/>
          <w:lang w:eastAsia="lv-LV"/>
        </w:rPr>
        <w:t>).</w:t>
      </w:r>
    </w:p>
    <w:p w14:paraId="6CC65326" w14:textId="77777777" w:rsidR="00955EA7" w:rsidRDefault="00955EA7" w:rsidP="00955EA7">
      <w:pPr>
        <w:spacing w:after="0" w:line="240" w:lineRule="auto"/>
        <w:jc w:val="both"/>
        <w:rPr>
          <w:rFonts w:asciiTheme="majorBidi" w:eastAsia="Times New Roman" w:hAnsiTheme="majorBidi" w:cstheme="majorBidi"/>
          <w:sz w:val="24"/>
          <w:szCs w:val="24"/>
          <w:lang w:eastAsia="lv-LV"/>
        </w:rPr>
      </w:pPr>
    </w:p>
    <w:p w14:paraId="7707EA46" w14:textId="39FC00CB" w:rsidR="008B4ADE" w:rsidRPr="00955EA7" w:rsidRDefault="008B4ADE" w:rsidP="00955EA7">
      <w:pPr>
        <w:spacing w:after="0" w:line="240" w:lineRule="auto"/>
        <w:jc w:val="both"/>
        <w:rPr>
          <w:rFonts w:asciiTheme="majorBidi" w:eastAsia="Times New Roman" w:hAnsiTheme="majorBidi" w:cstheme="majorBidi"/>
          <w:sz w:val="24"/>
          <w:szCs w:val="24"/>
          <w:lang w:eastAsia="lv-LV"/>
        </w:rPr>
      </w:pPr>
      <w:r w:rsidRPr="00955EA7">
        <w:rPr>
          <w:rFonts w:asciiTheme="majorBidi" w:eastAsia="Times New Roman" w:hAnsiTheme="majorBidi" w:cstheme="majorBidi"/>
          <w:sz w:val="24"/>
          <w:szCs w:val="24"/>
          <w:lang w:eastAsia="lv-LV"/>
        </w:rPr>
        <w:t>6. Lai izpildītu Regulas Nr. </w:t>
      </w:r>
      <w:r w:rsidR="00104296" w:rsidRPr="00955EA7">
        <w:rPr>
          <w:rFonts w:asciiTheme="majorBidi" w:eastAsia="Times New Roman" w:hAnsiTheme="majorBidi" w:cstheme="majorBidi"/>
          <w:sz w:val="24"/>
          <w:szCs w:val="24"/>
          <w:lang w:eastAsia="lv-LV"/>
        </w:rPr>
        <w:t xml:space="preserve">2021/378 </w:t>
      </w:r>
      <w:r w:rsidRPr="00955EA7">
        <w:rPr>
          <w:rFonts w:asciiTheme="majorBidi" w:eastAsia="Times New Roman" w:hAnsiTheme="majorBidi" w:cstheme="majorBidi"/>
          <w:sz w:val="24"/>
          <w:szCs w:val="24"/>
          <w:lang w:eastAsia="lv-LV"/>
        </w:rPr>
        <w:t xml:space="preserve">prasības, Latvijas Bankas </w:t>
      </w:r>
      <w:r w:rsidR="0010360F" w:rsidRPr="00B775D2">
        <w:rPr>
          <w:rFonts w:ascii="Times New Roman" w:hAnsi="Times New Roman" w:cs="Times New Roman"/>
          <w:sz w:val="24"/>
          <w:szCs w:val="24"/>
        </w:rPr>
        <w:t>2022. gada 21. novembra noteikum</w:t>
      </w:r>
      <w:r w:rsidR="007C71B7">
        <w:rPr>
          <w:rFonts w:ascii="Times New Roman" w:hAnsi="Times New Roman" w:cs="Times New Roman"/>
          <w:sz w:val="24"/>
          <w:szCs w:val="24"/>
        </w:rPr>
        <w:t>os</w:t>
      </w:r>
      <w:r w:rsidR="0010360F" w:rsidRPr="00B775D2">
        <w:rPr>
          <w:rFonts w:ascii="Times New Roman" w:hAnsi="Times New Roman" w:cs="Times New Roman"/>
          <w:sz w:val="24"/>
          <w:szCs w:val="24"/>
        </w:rPr>
        <w:t xml:space="preserve"> Nr. 231 </w:t>
      </w:r>
      <w:hyperlink r:id="rId11" w:history="1">
        <w:r w:rsidR="0010360F" w:rsidRPr="00B775D2">
          <w:rPr>
            <w:rStyle w:val="Hyperlink"/>
            <w:rFonts w:ascii="Times New Roman" w:hAnsi="Times New Roman" w:cs="Times New Roman"/>
            <w:sz w:val="24"/>
            <w:szCs w:val="24"/>
          </w:rPr>
          <w:t>"</w:t>
        </w:r>
        <w:r w:rsidR="007C71B7" w:rsidRPr="007C71B7">
          <w:rPr>
            <w:rStyle w:val="Hyperlink"/>
            <w:rFonts w:ascii="Times New Roman" w:hAnsi="Times New Roman" w:cs="Times New Roman"/>
            <w:sz w:val="24"/>
            <w:szCs w:val="24"/>
          </w:rPr>
          <w:t>Statistisko datu par rezervju bāzi un rezervju prasību aprēķina sagatavošanas un iesniegšanas noteikumi"</w:t>
        </w:r>
        <w:r w:rsidR="007C71B7" w:rsidRPr="007C71B7" w:rsidDel="007C71B7">
          <w:rPr>
            <w:rStyle w:val="Hyperlink"/>
            <w:rFonts w:ascii="Times New Roman" w:hAnsi="Times New Roman" w:cs="Times New Roman"/>
            <w:sz w:val="24"/>
            <w:szCs w:val="24"/>
          </w:rPr>
          <w:t xml:space="preserve"> </w:t>
        </w:r>
      </w:hyperlink>
      <w:r w:rsidR="003C1E2A">
        <w:rPr>
          <w:rStyle w:val="Hyperlink"/>
          <w:rFonts w:ascii="Times New Roman" w:hAnsi="Times New Roman" w:cs="Times New Roman"/>
          <w:sz w:val="24"/>
          <w:szCs w:val="24"/>
        </w:rPr>
        <w:t xml:space="preserve"> </w:t>
      </w:r>
      <w:r w:rsidRPr="00955EA7">
        <w:rPr>
          <w:rFonts w:asciiTheme="majorBidi" w:eastAsia="Times New Roman" w:hAnsiTheme="majorBidi" w:cstheme="majorBidi"/>
          <w:sz w:val="24"/>
          <w:szCs w:val="24"/>
          <w:lang w:eastAsia="lv-LV"/>
        </w:rPr>
        <w:t xml:space="preserve">ietverta "Rezervju bāzes un </w:t>
      </w:r>
      <w:r w:rsidR="007C71B7">
        <w:rPr>
          <w:rFonts w:asciiTheme="majorBidi" w:eastAsia="Times New Roman" w:hAnsiTheme="majorBidi" w:cstheme="majorBidi"/>
          <w:sz w:val="24"/>
          <w:szCs w:val="24"/>
          <w:lang w:eastAsia="lv-LV"/>
        </w:rPr>
        <w:t xml:space="preserve">rezervju </w:t>
      </w:r>
      <w:r w:rsidRPr="00955EA7">
        <w:rPr>
          <w:rFonts w:asciiTheme="majorBidi" w:eastAsia="Times New Roman" w:hAnsiTheme="majorBidi" w:cstheme="majorBidi"/>
          <w:sz w:val="24"/>
          <w:szCs w:val="24"/>
          <w:lang w:eastAsia="lv-LV"/>
        </w:rPr>
        <w:t xml:space="preserve">prasību aprēķina" veidlapa. Respondentiem jāaizpilda un jāiesniedz Latvijas Bankai "Rezervju bāzes un </w:t>
      </w:r>
      <w:r w:rsidR="007C71B7">
        <w:rPr>
          <w:rFonts w:asciiTheme="majorBidi" w:eastAsia="Times New Roman" w:hAnsiTheme="majorBidi" w:cstheme="majorBidi"/>
          <w:sz w:val="24"/>
          <w:szCs w:val="24"/>
          <w:lang w:eastAsia="lv-LV"/>
        </w:rPr>
        <w:t xml:space="preserve">rezervju </w:t>
      </w:r>
      <w:r w:rsidRPr="00955EA7">
        <w:rPr>
          <w:rFonts w:asciiTheme="majorBidi" w:eastAsia="Times New Roman" w:hAnsiTheme="majorBidi" w:cstheme="majorBidi"/>
          <w:sz w:val="24"/>
          <w:szCs w:val="24"/>
          <w:lang w:eastAsia="lv-LV"/>
        </w:rPr>
        <w:t xml:space="preserve">prasību aprēķina" veidlapa ne vēlāk kā septiņu darbadienu laikā pēc pārskata perioda beigām. Respondents aizpildīto "Rezervju bāzes un </w:t>
      </w:r>
      <w:r w:rsidR="007C71B7" w:rsidRPr="007C71B7">
        <w:rPr>
          <w:rFonts w:asciiTheme="majorBidi" w:eastAsia="Times New Roman" w:hAnsiTheme="majorBidi" w:cstheme="majorBidi"/>
          <w:sz w:val="24"/>
          <w:szCs w:val="24"/>
          <w:lang w:eastAsia="lv-LV"/>
        </w:rPr>
        <w:t xml:space="preserve">rezervju </w:t>
      </w:r>
      <w:r w:rsidRPr="00955EA7">
        <w:rPr>
          <w:rFonts w:asciiTheme="majorBidi" w:eastAsia="Times New Roman" w:hAnsiTheme="majorBidi" w:cstheme="majorBidi"/>
          <w:sz w:val="24"/>
          <w:szCs w:val="24"/>
          <w:lang w:eastAsia="lv-LV"/>
        </w:rPr>
        <w:t xml:space="preserve">prasību aprēķina" veidlapu iesniedz Latvijas Bankai elektroniskā veidā atbilstoši Latvijas Bankas noteikumiem, </w:t>
      </w:r>
      <w:r w:rsidR="007C71B7" w:rsidRPr="007C71B7">
        <w:rPr>
          <w:rFonts w:asciiTheme="majorBidi" w:eastAsia="Times New Roman" w:hAnsiTheme="majorBidi" w:cstheme="majorBidi"/>
          <w:sz w:val="24"/>
          <w:szCs w:val="24"/>
          <w:lang w:eastAsia="lv-LV"/>
        </w:rPr>
        <w:t>kuri regulē elektronisko informācijas apmaiņu ar Latvijas Banku, statistisko datu sniedzēji, kas ir Latvijā reģistrētas kredītiestādes un ārvalstīs reģistrētu kredītiestāžu filiāles Latvijā, – izmantojot paaugstinātās drošības sistēmu, Latvijā reģistrētas krājaizdevu sabiedrības – izmantojot nebanku statistikas sistēmu.</w:t>
      </w:r>
    </w:p>
    <w:p w14:paraId="743CB656" w14:textId="77777777" w:rsidR="00955EA7" w:rsidRDefault="00955EA7" w:rsidP="00955EA7">
      <w:pPr>
        <w:spacing w:after="0" w:line="240" w:lineRule="auto"/>
        <w:jc w:val="both"/>
        <w:rPr>
          <w:rFonts w:asciiTheme="majorBidi" w:eastAsia="Times New Roman" w:hAnsiTheme="majorBidi" w:cstheme="majorBidi"/>
          <w:sz w:val="24"/>
          <w:szCs w:val="24"/>
          <w:lang w:eastAsia="lv-LV"/>
        </w:rPr>
      </w:pPr>
    </w:p>
    <w:p w14:paraId="50456B6C" w14:textId="6CF906EF" w:rsidR="00154939" w:rsidRPr="00955EA7" w:rsidRDefault="008B4ADE" w:rsidP="00955EA7">
      <w:pPr>
        <w:spacing w:after="0" w:line="240" w:lineRule="auto"/>
        <w:jc w:val="both"/>
        <w:rPr>
          <w:rFonts w:asciiTheme="majorBidi" w:eastAsia="Times New Roman" w:hAnsiTheme="majorBidi" w:cstheme="majorBidi"/>
          <w:sz w:val="24"/>
          <w:szCs w:val="24"/>
          <w:lang w:eastAsia="lv-LV"/>
        </w:rPr>
      </w:pPr>
      <w:r w:rsidRPr="00955EA7">
        <w:rPr>
          <w:rFonts w:asciiTheme="majorBidi" w:eastAsia="Times New Roman" w:hAnsiTheme="majorBidi" w:cstheme="majorBidi"/>
          <w:sz w:val="24"/>
          <w:szCs w:val="24"/>
          <w:lang w:eastAsia="lv-LV"/>
        </w:rPr>
        <w:t>7. "Rezervju bāze</w:t>
      </w:r>
      <w:r w:rsidRPr="00B775D2">
        <w:rPr>
          <w:rFonts w:asciiTheme="majorBidi" w:eastAsia="Times New Roman" w:hAnsiTheme="majorBidi" w:cstheme="majorBidi"/>
          <w:b/>
          <w:bCs/>
          <w:sz w:val="24"/>
          <w:szCs w:val="24"/>
          <w:lang w:eastAsia="lv-LV"/>
        </w:rPr>
        <w:t>s</w:t>
      </w:r>
      <w:r w:rsidRPr="007C71B7">
        <w:rPr>
          <w:rFonts w:asciiTheme="majorBidi" w:eastAsia="Times New Roman" w:hAnsiTheme="majorBidi" w:cstheme="majorBidi"/>
          <w:sz w:val="24"/>
          <w:szCs w:val="24"/>
          <w:lang w:eastAsia="lv-LV"/>
        </w:rPr>
        <w:t xml:space="preserve"> </w:t>
      </w:r>
      <w:r w:rsidRPr="00955EA7">
        <w:rPr>
          <w:rFonts w:asciiTheme="majorBidi" w:eastAsia="Times New Roman" w:hAnsiTheme="majorBidi" w:cstheme="majorBidi"/>
          <w:sz w:val="24"/>
          <w:szCs w:val="24"/>
          <w:lang w:eastAsia="lv-LV"/>
        </w:rPr>
        <w:t xml:space="preserve">un </w:t>
      </w:r>
      <w:r w:rsidR="007C71B7" w:rsidRPr="007C71B7">
        <w:rPr>
          <w:rFonts w:asciiTheme="majorBidi" w:eastAsia="Times New Roman" w:hAnsiTheme="majorBidi" w:cstheme="majorBidi"/>
          <w:sz w:val="24"/>
          <w:szCs w:val="24"/>
          <w:lang w:eastAsia="lv-LV"/>
        </w:rPr>
        <w:t xml:space="preserve">rezervju </w:t>
      </w:r>
      <w:r w:rsidRPr="00955EA7">
        <w:rPr>
          <w:rFonts w:asciiTheme="majorBidi" w:eastAsia="Times New Roman" w:hAnsiTheme="majorBidi" w:cstheme="majorBidi"/>
          <w:sz w:val="24"/>
          <w:szCs w:val="24"/>
          <w:lang w:eastAsia="lv-LV"/>
        </w:rPr>
        <w:t>prasību aprēķina" veidlapā summas uzrāda veselos </w:t>
      </w:r>
      <w:r w:rsidRPr="00955EA7">
        <w:rPr>
          <w:rFonts w:asciiTheme="majorBidi" w:eastAsia="Times New Roman" w:hAnsiTheme="majorBidi" w:cstheme="majorBidi"/>
          <w:i/>
          <w:iCs/>
          <w:sz w:val="24"/>
          <w:szCs w:val="24"/>
          <w:bdr w:val="none" w:sz="0" w:space="0" w:color="auto" w:frame="1"/>
          <w:lang w:eastAsia="lv-LV"/>
        </w:rPr>
        <w:t>euro</w:t>
      </w:r>
      <w:r w:rsidRPr="00955EA7">
        <w:rPr>
          <w:rFonts w:asciiTheme="majorBidi" w:eastAsia="Times New Roman" w:hAnsiTheme="majorBidi" w:cstheme="majorBidi"/>
          <w:sz w:val="24"/>
          <w:szCs w:val="24"/>
          <w:lang w:eastAsia="lv-LV"/>
        </w:rPr>
        <w:t>.</w:t>
      </w:r>
    </w:p>
    <w:p w14:paraId="26ED9607" w14:textId="77777777" w:rsidR="00955EA7" w:rsidRDefault="00955EA7" w:rsidP="00955EA7">
      <w:pPr>
        <w:spacing w:after="0" w:line="240" w:lineRule="auto"/>
        <w:jc w:val="both"/>
        <w:rPr>
          <w:rFonts w:asciiTheme="majorBidi" w:eastAsia="Times New Roman" w:hAnsiTheme="majorBidi" w:cstheme="majorBidi"/>
          <w:sz w:val="24"/>
          <w:szCs w:val="24"/>
          <w:lang w:eastAsia="lv-LV"/>
        </w:rPr>
      </w:pPr>
    </w:p>
    <w:p w14:paraId="51796414" w14:textId="3DFC0FDE" w:rsidR="008B4ADE" w:rsidRPr="00955EA7" w:rsidRDefault="008B4ADE" w:rsidP="00955EA7">
      <w:pPr>
        <w:spacing w:after="0" w:line="240" w:lineRule="auto"/>
        <w:jc w:val="both"/>
        <w:rPr>
          <w:rFonts w:asciiTheme="majorBidi" w:eastAsia="Times New Roman" w:hAnsiTheme="majorBidi" w:cstheme="majorBidi"/>
          <w:sz w:val="24"/>
          <w:szCs w:val="24"/>
          <w:lang w:eastAsia="lv-LV"/>
        </w:rPr>
      </w:pPr>
      <w:r w:rsidRPr="00955EA7">
        <w:rPr>
          <w:rFonts w:asciiTheme="majorBidi" w:eastAsia="Times New Roman" w:hAnsiTheme="majorBidi" w:cstheme="majorBidi"/>
          <w:sz w:val="24"/>
          <w:szCs w:val="24"/>
          <w:lang w:eastAsia="lv-LV"/>
        </w:rPr>
        <w:t>8. Respondentam rezervju prasības attiecīgajam izpildes periodam ir 0 </w:t>
      </w:r>
      <w:r w:rsidRPr="00955EA7">
        <w:rPr>
          <w:rFonts w:asciiTheme="majorBidi" w:eastAsia="Times New Roman" w:hAnsiTheme="majorBidi" w:cstheme="majorBidi"/>
          <w:i/>
          <w:iCs/>
          <w:sz w:val="24"/>
          <w:szCs w:val="24"/>
          <w:bdr w:val="none" w:sz="0" w:space="0" w:color="auto" w:frame="1"/>
          <w:lang w:eastAsia="lv-LV"/>
        </w:rPr>
        <w:t>euro</w:t>
      </w:r>
      <w:r w:rsidRPr="00955EA7">
        <w:rPr>
          <w:rFonts w:asciiTheme="majorBidi" w:eastAsia="Times New Roman" w:hAnsiTheme="majorBidi" w:cstheme="majorBidi"/>
          <w:sz w:val="24"/>
          <w:szCs w:val="24"/>
          <w:lang w:eastAsia="lv-LV"/>
        </w:rPr>
        <w:t xml:space="preserve">, ja aizpildītās "Rezervju bāzes un </w:t>
      </w:r>
      <w:r w:rsidR="00376802" w:rsidRPr="00376802">
        <w:rPr>
          <w:rFonts w:asciiTheme="majorBidi" w:eastAsia="Times New Roman" w:hAnsiTheme="majorBidi" w:cstheme="majorBidi"/>
          <w:sz w:val="24"/>
          <w:szCs w:val="24"/>
          <w:lang w:eastAsia="lv-LV"/>
        </w:rPr>
        <w:t xml:space="preserve">rezervju </w:t>
      </w:r>
      <w:r w:rsidRPr="00955EA7">
        <w:rPr>
          <w:rFonts w:asciiTheme="majorBidi" w:eastAsia="Times New Roman" w:hAnsiTheme="majorBidi" w:cstheme="majorBidi"/>
          <w:sz w:val="24"/>
          <w:szCs w:val="24"/>
          <w:lang w:eastAsia="lv-LV"/>
        </w:rPr>
        <w:t>prasību aprēķina" veidlapas pozīcijā "Rezervju prasības" iegūta negatīva vērtība.</w:t>
      </w:r>
    </w:p>
    <w:p w14:paraId="5FE8888B" w14:textId="77777777" w:rsidR="00955EA7" w:rsidRDefault="00955EA7" w:rsidP="00955EA7">
      <w:pPr>
        <w:spacing w:after="0" w:line="240" w:lineRule="auto"/>
        <w:jc w:val="both"/>
        <w:rPr>
          <w:rFonts w:asciiTheme="majorBidi" w:eastAsia="Times New Roman" w:hAnsiTheme="majorBidi" w:cstheme="majorBidi"/>
          <w:sz w:val="24"/>
          <w:szCs w:val="24"/>
          <w:lang w:eastAsia="lv-LV"/>
        </w:rPr>
      </w:pPr>
    </w:p>
    <w:p w14:paraId="390139EB" w14:textId="6A4AEA7E" w:rsidR="008B4ADE" w:rsidRPr="00955EA7" w:rsidRDefault="008B4ADE" w:rsidP="00955EA7">
      <w:pPr>
        <w:spacing w:after="0" w:line="240" w:lineRule="auto"/>
        <w:jc w:val="both"/>
        <w:rPr>
          <w:rFonts w:asciiTheme="majorBidi" w:eastAsia="Times New Roman" w:hAnsiTheme="majorBidi" w:cstheme="majorBidi"/>
          <w:sz w:val="24"/>
          <w:szCs w:val="24"/>
          <w:lang w:eastAsia="lv-LV"/>
        </w:rPr>
      </w:pPr>
      <w:r w:rsidRPr="00955EA7">
        <w:rPr>
          <w:rFonts w:asciiTheme="majorBidi" w:eastAsia="Times New Roman" w:hAnsiTheme="majorBidi" w:cstheme="majorBidi"/>
          <w:sz w:val="24"/>
          <w:szCs w:val="24"/>
          <w:lang w:eastAsia="lv-LV"/>
        </w:rPr>
        <w:t xml:space="preserve">9. Respondentam "Rezervju bāzes un </w:t>
      </w:r>
      <w:r w:rsidR="00376802" w:rsidRPr="00376802">
        <w:rPr>
          <w:rFonts w:asciiTheme="majorBidi" w:eastAsia="Times New Roman" w:hAnsiTheme="majorBidi" w:cstheme="majorBidi"/>
          <w:sz w:val="24"/>
          <w:szCs w:val="24"/>
          <w:lang w:eastAsia="lv-LV"/>
        </w:rPr>
        <w:t xml:space="preserve">rezervju </w:t>
      </w:r>
      <w:r w:rsidRPr="00955EA7">
        <w:rPr>
          <w:rFonts w:asciiTheme="majorBidi" w:eastAsia="Times New Roman" w:hAnsiTheme="majorBidi" w:cstheme="majorBidi"/>
          <w:sz w:val="24"/>
          <w:szCs w:val="24"/>
          <w:lang w:eastAsia="lv-LV"/>
        </w:rPr>
        <w:t>prasību aprēķina" veidlapa jāiesniedz Latvijas Bankai arī tad, ja visu veidlapas pozīciju vērtības ir 0.</w:t>
      </w:r>
    </w:p>
    <w:p w14:paraId="681C134D" w14:textId="77777777" w:rsidR="00955EA7" w:rsidRDefault="00955EA7" w:rsidP="00955EA7">
      <w:pPr>
        <w:spacing w:after="0" w:line="240" w:lineRule="auto"/>
        <w:jc w:val="both"/>
        <w:rPr>
          <w:rFonts w:asciiTheme="majorBidi" w:eastAsia="Times New Roman" w:hAnsiTheme="majorBidi" w:cstheme="majorBidi"/>
          <w:sz w:val="24"/>
          <w:szCs w:val="24"/>
          <w:lang w:eastAsia="lv-LV"/>
        </w:rPr>
      </w:pPr>
    </w:p>
    <w:p w14:paraId="7F17C05D" w14:textId="4A6E7FF3" w:rsidR="008B4ADE" w:rsidRDefault="008B4ADE" w:rsidP="00955EA7">
      <w:pPr>
        <w:spacing w:after="0" w:line="240" w:lineRule="auto"/>
        <w:jc w:val="both"/>
        <w:rPr>
          <w:rFonts w:asciiTheme="majorBidi" w:eastAsia="Times New Roman" w:hAnsiTheme="majorBidi" w:cstheme="majorBidi"/>
          <w:sz w:val="24"/>
          <w:szCs w:val="24"/>
          <w:lang w:val="en-GB" w:eastAsia="lv-LV"/>
        </w:rPr>
      </w:pPr>
      <w:r w:rsidRPr="00955EA7">
        <w:rPr>
          <w:rFonts w:asciiTheme="majorBidi" w:eastAsia="Times New Roman" w:hAnsiTheme="majorBidi" w:cstheme="majorBidi"/>
          <w:sz w:val="24"/>
          <w:szCs w:val="24"/>
          <w:lang w:eastAsia="lv-LV"/>
        </w:rPr>
        <w:t>10. Atbilstoši Regulā Nr. </w:t>
      </w:r>
      <w:r w:rsidR="00104296" w:rsidRPr="00955EA7">
        <w:rPr>
          <w:rFonts w:asciiTheme="majorBidi" w:eastAsia="Times New Roman" w:hAnsiTheme="majorBidi" w:cstheme="majorBidi"/>
          <w:sz w:val="24"/>
          <w:szCs w:val="24"/>
          <w:lang w:eastAsia="lv-LV"/>
        </w:rPr>
        <w:t xml:space="preserve">2021/378 </w:t>
      </w:r>
      <w:r w:rsidRPr="00955EA7">
        <w:rPr>
          <w:rFonts w:asciiTheme="majorBidi" w:eastAsia="Times New Roman" w:hAnsiTheme="majorBidi" w:cstheme="majorBidi"/>
          <w:sz w:val="24"/>
          <w:szCs w:val="24"/>
          <w:lang w:eastAsia="lv-LV"/>
        </w:rPr>
        <w:t>noteiktajam respondenta saistības pret MFI</w:t>
      </w:r>
      <w:r w:rsidR="000D5D59" w:rsidRPr="00955EA7">
        <w:rPr>
          <w:rFonts w:asciiTheme="majorBidi" w:eastAsia="Times New Roman" w:hAnsiTheme="majorBidi" w:cstheme="majorBidi"/>
          <w:sz w:val="24"/>
          <w:szCs w:val="24"/>
          <w:lang w:eastAsia="lv-LV"/>
        </w:rPr>
        <w:t xml:space="preserve"> un ne-MFI kredītiestādēm</w:t>
      </w:r>
      <w:r w:rsidRPr="00955EA7">
        <w:rPr>
          <w:rFonts w:asciiTheme="majorBidi" w:eastAsia="Times New Roman" w:hAnsiTheme="majorBidi" w:cstheme="majorBidi"/>
          <w:sz w:val="24"/>
          <w:szCs w:val="24"/>
          <w:lang w:eastAsia="lv-LV"/>
        </w:rPr>
        <w:t xml:space="preserve">, kuras iekļautas ECB publicētajā to MFI </w:t>
      </w:r>
      <w:r w:rsidR="000D5D59" w:rsidRPr="00955EA7">
        <w:rPr>
          <w:rFonts w:asciiTheme="majorBidi" w:eastAsia="Times New Roman" w:hAnsiTheme="majorBidi" w:cstheme="majorBidi"/>
          <w:sz w:val="24"/>
          <w:szCs w:val="24"/>
          <w:lang w:eastAsia="lv-LV"/>
        </w:rPr>
        <w:t xml:space="preserve">un ne-MFI kredītiestāžu </w:t>
      </w:r>
      <w:r w:rsidRPr="00955EA7">
        <w:rPr>
          <w:rFonts w:asciiTheme="majorBidi" w:eastAsia="Times New Roman" w:hAnsiTheme="majorBidi" w:cstheme="majorBidi"/>
          <w:sz w:val="24"/>
          <w:szCs w:val="24"/>
          <w:lang w:eastAsia="lv-LV"/>
        </w:rPr>
        <w:t>sarakstā, uz kurām attiecas rezervju prasības, kā arī saistības pret ECB un</w:t>
      </w:r>
      <w:r w:rsidR="00EA0DD7">
        <w:rPr>
          <w:rFonts w:asciiTheme="majorBidi" w:eastAsia="Times New Roman" w:hAnsiTheme="majorBidi" w:cstheme="majorBidi"/>
          <w:sz w:val="24"/>
          <w:szCs w:val="24"/>
          <w:lang w:eastAsia="lv-LV"/>
        </w:rPr>
        <w:t xml:space="preserve"> </w:t>
      </w:r>
      <w:r w:rsidRPr="00955EA7">
        <w:rPr>
          <w:rFonts w:asciiTheme="majorBidi" w:eastAsia="Times New Roman" w:hAnsiTheme="majorBidi" w:cstheme="majorBidi"/>
          <w:i/>
          <w:iCs/>
          <w:sz w:val="24"/>
          <w:szCs w:val="24"/>
          <w:bdr w:val="none" w:sz="0" w:space="0" w:color="auto" w:frame="1"/>
          <w:lang w:eastAsia="lv-LV"/>
        </w:rPr>
        <w:t>euro</w:t>
      </w:r>
      <w:r w:rsidR="00EA0DD7">
        <w:rPr>
          <w:rFonts w:asciiTheme="majorBidi" w:eastAsia="Times New Roman" w:hAnsiTheme="majorBidi" w:cstheme="majorBidi"/>
          <w:sz w:val="24"/>
          <w:szCs w:val="24"/>
          <w:lang w:eastAsia="lv-LV"/>
        </w:rPr>
        <w:t xml:space="preserve"> </w:t>
      </w:r>
      <w:r w:rsidRPr="00955EA7">
        <w:rPr>
          <w:rFonts w:asciiTheme="majorBidi" w:eastAsia="Times New Roman" w:hAnsiTheme="majorBidi" w:cstheme="majorBidi"/>
          <w:sz w:val="24"/>
          <w:szCs w:val="24"/>
          <w:lang w:eastAsia="lv-LV"/>
        </w:rPr>
        <w:t>zonas valstu centrālajām bankām rezervju bāzē netiek iekļautas (sk.</w:t>
      </w:r>
      <w:r w:rsidR="00213BAC" w:rsidRPr="00955EA7">
        <w:rPr>
          <w:rFonts w:asciiTheme="majorBidi" w:eastAsia="Times New Roman" w:hAnsiTheme="majorBidi" w:cstheme="majorBidi"/>
          <w:sz w:val="24"/>
          <w:szCs w:val="24"/>
          <w:lang w:eastAsia="lv-LV"/>
        </w:rPr>
        <w:t xml:space="preserve"> </w:t>
      </w:r>
      <w:r w:rsidRPr="00955EA7">
        <w:rPr>
          <w:rFonts w:asciiTheme="majorBidi" w:eastAsia="Times New Roman" w:hAnsiTheme="majorBidi" w:cstheme="majorBidi"/>
          <w:sz w:val="24"/>
          <w:szCs w:val="24"/>
          <w:lang w:eastAsia="lv-LV"/>
        </w:rPr>
        <w:t xml:space="preserve">MFI </w:t>
      </w:r>
      <w:r w:rsidR="000D5D59" w:rsidRPr="00955EA7">
        <w:rPr>
          <w:rFonts w:asciiTheme="majorBidi" w:eastAsia="Times New Roman" w:hAnsiTheme="majorBidi" w:cstheme="majorBidi"/>
          <w:sz w:val="24"/>
          <w:szCs w:val="24"/>
          <w:lang w:eastAsia="lv-LV"/>
        </w:rPr>
        <w:t xml:space="preserve">un ne-MFI kredītiestāžu </w:t>
      </w:r>
      <w:r w:rsidRPr="00955EA7">
        <w:rPr>
          <w:rFonts w:asciiTheme="majorBidi" w:eastAsia="Times New Roman" w:hAnsiTheme="majorBidi" w:cstheme="majorBidi"/>
          <w:sz w:val="24"/>
          <w:szCs w:val="24"/>
          <w:lang w:eastAsia="lv-LV"/>
        </w:rPr>
        <w:t xml:space="preserve">sarakstu ECB </w:t>
      </w:r>
      <w:r w:rsidR="00376802" w:rsidRPr="00376802">
        <w:rPr>
          <w:rFonts w:asciiTheme="majorBidi" w:eastAsia="Times New Roman" w:hAnsiTheme="majorBidi" w:cstheme="majorBidi"/>
          <w:sz w:val="24"/>
          <w:szCs w:val="24"/>
          <w:lang w:eastAsia="lv-LV"/>
        </w:rPr>
        <w:t>tīmekļvietnē</w:t>
      </w:r>
      <w:r w:rsidR="00376802" w:rsidRPr="00376802" w:rsidDel="00376802">
        <w:rPr>
          <w:rFonts w:asciiTheme="majorBidi" w:eastAsia="Times New Roman" w:hAnsiTheme="majorBidi" w:cstheme="majorBidi"/>
          <w:sz w:val="24"/>
          <w:szCs w:val="24"/>
          <w:lang w:eastAsia="lv-LV"/>
        </w:rPr>
        <w:t xml:space="preserve"> </w:t>
      </w:r>
      <w:hyperlink r:id="rId12" w:history="1">
        <w:r w:rsidR="00955EA7" w:rsidRPr="0014351E">
          <w:rPr>
            <w:rStyle w:val="Hyperlink"/>
            <w:rFonts w:asciiTheme="majorBidi" w:eastAsia="Times New Roman" w:hAnsiTheme="majorBidi" w:cstheme="majorBidi"/>
            <w:sz w:val="24"/>
            <w:szCs w:val="24"/>
            <w:bdr w:val="none" w:sz="0" w:space="0" w:color="auto" w:frame="1"/>
            <w:lang w:eastAsia="lv-LV"/>
          </w:rPr>
          <w:t>https://www.ecb.europa.eu/stats/money/mfi/general/html/monthly_list.en.html</w:t>
        </w:r>
      </w:hyperlink>
      <w:r w:rsidR="00955EA7">
        <w:rPr>
          <w:rFonts w:asciiTheme="majorBidi" w:eastAsia="Times New Roman" w:hAnsiTheme="majorBidi" w:cstheme="majorBidi"/>
          <w:sz w:val="24"/>
          <w:szCs w:val="24"/>
          <w:lang w:eastAsia="lv-LV"/>
        </w:rPr>
        <w:t xml:space="preserve"> </w:t>
      </w:r>
      <w:r w:rsidR="0056787A" w:rsidRPr="00955EA7">
        <w:rPr>
          <w:rFonts w:asciiTheme="majorBidi" w:hAnsiTheme="majorBidi" w:cstheme="majorBidi"/>
          <w:i/>
          <w:iCs/>
          <w:sz w:val="24"/>
          <w:szCs w:val="24"/>
          <w:lang w:val="en-GB"/>
        </w:rPr>
        <w:t>“</w:t>
      </w:r>
      <w:r w:rsidR="005D2635" w:rsidRPr="00A43D29">
        <w:rPr>
          <w:rFonts w:asciiTheme="majorBidi" w:hAnsiTheme="majorBidi" w:cstheme="majorBidi"/>
          <w:i/>
          <w:iCs/>
          <w:sz w:val="24"/>
          <w:szCs w:val="24"/>
          <w:lang w:val="en-GB"/>
        </w:rPr>
        <w:t>Credit Institutions (Monetary Financial Institutions and Systemic Investment Firms):</w:t>
      </w:r>
      <w:r w:rsidR="005D2635">
        <w:rPr>
          <w:rFonts w:asciiTheme="majorBidi" w:hAnsiTheme="majorBidi" w:cstheme="majorBidi"/>
          <w:b/>
          <w:bCs/>
          <w:i/>
          <w:iCs/>
          <w:sz w:val="24"/>
          <w:szCs w:val="24"/>
          <w:lang w:val="en-GB"/>
        </w:rPr>
        <w:t xml:space="preserve"> </w:t>
      </w:r>
      <w:r w:rsidR="0056787A" w:rsidRPr="00955EA7">
        <w:rPr>
          <w:rFonts w:asciiTheme="majorBidi" w:hAnsiTheme="majorBidi" w:cstheme="majorBidi"/>
          <w:i/>
          <w:iCs/>
          <w:sz w:val="24"/>
          <w:szCs w:val="24"/>
          <w:lang w:val="en-GB"/>
        </w:rPr>
        <w:t>minimum reserve requirement features (monthly data)”</w:t>
      </w:r>
      <w:r w:rsidRPr="00955EA7">
        <w:rPr>
          <w:rFonts w:asciiTheme="majorBidi" w:eastAsia="Times New Roman" w:hAnsiTheme="majorBidi" w:cstheme="majorBidi"/>
          <w:sz w:val="24"/>
          <w:szCs w:val="24"/>
          <w:lang w:val="en-GB" w:eastAsia="lv-LV"/>
        </w:rPr>
        <w:t>).</w:t>
      </w:r>
    </w:p>
    <w:p w14:paraId="3897CA8B" w14:textId="77777777" w:rsidR="00955EA7" w:rsidRDefault="00955EA7" w:rsidP="00955EA7">
      <w:pPr>
        <w:spacing w:after="0" w:line="240" w:lineRule="auto"/>
        <w:jc w:val="both"/>
        <w:rPr>
          <w:rFonts w:asciiTheme="majorBidi" w:eastAsia="Times New Roman" w:hAnsiTheme="majorBidi" w:cstheme="majorBidi"/>
          <w:sz w:val="24"/>
          <w:szCs w:val="24"/>
          <w:lang w:eastAsia="lv-LV"/>
        </w:rPr>
      </w:pPr>
    </w:p>
    <w:p w14:paraId="4D3BA160" w14:textId="0C2F71C2" w:rsidR="008B4ADE" w:rsidRPr="00955EA7" w:rsidRDefault="008B4ADE" w:rsidP="00955EA7">
      <w:pPr>
        <w:spacing w:after="0" w:line="240" w:lineRule="auto"/>
        <w:jc w:val="both"/>
        <w:rPr>
          <w:rFonts w:asciiTheme="majorBidi" w:eastAsia="Times New Roman" w:hAnsiTheme="majorBidi" w:cstheme="majorBidi"/>
          <w:sz w:val="24"/>
          <w:szCs w:val="24"/>
          <w:lang w:eastAsia="lv-LV"/>
        </w:rPr>
      </w:pPr>
      <w:r w:rsidRPr="00955EA7">
        <w:rPr>
          <w:rFonts w:asciiTheme="majorBidi" w:eastAsia="Times New Roman" w:hAnsiTheme="majorBidi" w:cstheme="majorBidi"/>
          <w:sz w:val="24"/>
          <w:szCs w:val="24"/>
          <w:lang w:eastAsia="lv-LV"/>
        </w:rPr>
        <w:t xml:space="preserve">11. Lai šā ceļveža 10. punktā minēto iespēju respondenti varētu izmantot attiecībā uz to emitētajiem parāda vērtspapīriem, respondentam jāiesniedz Latvijas Bankai atbilstoši pierādījumi par summu, par kuru samazināta rezervju bāze. Ja respondents nevar sniegt šādus pierādījumus par emitētajiem parāda vērtspapīriem, respondents var izmantot standartizētu atvilkumu (15%) rezervju bāzē ietvertajai emitēto parāda vērtspapīru (ar sākotnējo termiņu līdz 2 gadiem) summai. Informācija par standartizēto atvilkumu un aktuālais atvilkuma procents publicēts ECB </w:t>
      </w:r>
      <w:r w:rsidR="00376802" w:rsidRPr="00376802">
        <w:rPr>
          <w:rFonts w:asciiTheme="majorBidi" w:eastAsia="Times New Roman" w:hAnsiTheme="majorBidi" w:cstheme="majorBidi"/>
          <w:sz w:val="24"/>
          <w:szCs w:val="24"/>
          <w:lang w:eastAsia="lv-LV"/>
        </w:rPr>
        <w:t>tīmekļvietn</w:t>
      </w:r>
      <w:r w:rsidR="00376802">
        <w:rPr>
          <w:rFonts w:asciiTheme="majorBidi" w:eastAsia="Times New Roman" w:hAnsiTheme="majorBidi" w:cstheme="majorBidi"/>
          <w:sz w:val="24"/>
          <w:szCs w:val="24"/>
          <w:lang w:eastAsia="lv-LV"/>
        </w:rPr>
        <w:t>es</w:t>
      </w:r>
      <w:r w:rsidR="00955EA7">
        <w:rPr>
          <w:rFonts w:asciiTheme="majorBidi" w:eastAsia="Times New Roman" w:hAnsiTheme="majorBidi" w:cstheme="majorBidi"/>
          <w:sz w:val="24"/>
          <w:szCs w:val="24"/>
          <w:lang w:eastAsia="lv-LV"/>
        </w:rPr>
        <w:t xml:space="preserve"> </w:t>
      </w:r>
      <w:hyperlink r:id="rId13" w:history="1">
        <w:r w:rsidR="00955EA7" w:rsidRPr="0014351E">
          <w:rPr>
            <w:rStyle w:val="Hyperlink"/>
            <w:rFonts w:asciiTheme="majorBidi" w:eastAsia="Times New Roman" w:hAnsiTheme="majorBidi" w:cstheme="majorBidi"/>
            <w:sz w:val="24"/>
            <w:szCs w:val="24"/>
            <w:bdr w:val="none" w:sz="0" w:space="0" w:color="auto" w:frame="1"/>
            <w:lang w:eastAsia="lv-LV"/>
          </w:rPr>
          <w:t>http://www.ecb.int/mopo/implement/mr/html/calc.en.html</w:t>
        </w:r>
      </w:hyperlink>
      <w:r w:rsidR="00955EA7">
        <w:rPr>
          <w:rFonts w:asciiTheme="majorBidi" w:eastAsia="Times New Roman" w:hAnsiTheme="majorBidi" w:cstheme="majorBidi"/>
          <w:sz w:val="24"/>
          <w:szCs w:val="24"/>
          <w:lang w:eastAsia="lv-LV"/>
        </w:rPr>
        <w:t xml:space="preserve"> </w:t>
      </w:r>
      <w:r w:rsidRPr="00955EA7">
        <w:rPr>
          <w:rFonts w:asciiTheme="majorBidi" w:eastAsia="Times New Roman" w:hAnsiTheme="majorBidi" w:cstheme="majorBidi"/>
          <w:sz w:val="24"/>
          <w:szCs w:val="24"/>
          <w:lang w:eastAsia="lv-LV"/>
        </w:rPr>
        <w:t>sadaļā</w:t>
      </w:r>
      <w:r w:rsidR="00955EA7">
        <w:rPr>
          <w:rFonts w:asciiTheme="majorBidi" w:eastAsia="Times New Roman" w:hAnsiTheme="majorBidi" w:cstheme="majorBidi"/>
          <w:sz w:val="24"/>
          <w:szCs w:val="24"/>
          <w:lang w:eastAsia="lv-LV"/>
        </w:rPr>
        <w:t xml:space="preserve"> </w:t>
      </w:r>
      <w:proofErr w:type="spellStart"/>
      <w:r w:rsidRPr="00955EA7">
        <w:rPr>
          <w:rFonts w:asciiTheme="majorBidi" w:eastAsia="Times New Roman" w:hAnsiTheme="majorBidi" w:cstheme="majorBidi"/>
          <w:i/>
          <w:iCs/>
          <w:sz w:val="24"/>
          <w:szCs w:val="24"/>
          <w:bdr w:val="none" w:sz="0" w:space="0" w:color="auto" w:frame="1"/>
          <w:lang w:eastAsia="lv-LV"/>
        </w:rPr>
        <w:t>Standardise</w:t>
      </w:r>
      <w:r w:rsidR="00955EA7">
        <w:rPr>
          <w:rFonts w:asciiTheme="majorBidi" w:eastAsia="Times New Roman" w:hAnsiTheme="majorBidi" w:cstheme="majorBidi"/>
          <w:i/>
          <w:iCs/>
          <w:sz w:val="24"/>
          <w:szCs w:val="24"/>
          <w:bdr w:val="none" w:sz="0" w:space="0" w:color="auto" w:frame="1"/>
          <w:lang w:eastAsia="lv-LV"/>
        </w:rPr>
        <w:t>d</w:t>
      </w:r>
      <w:proofErr w:type="spellEnd"/>
      <w:r w:rsidR="00955EA7">
        <w:rPr>
          <w:rFonts w:asciiTheme="majorBidi" w:eastAsia="Times New Roman" w:hAnsiTheme="majorBidi" w:cstheme="majorBidi"/>
          <w:i/>
          <w:iCs/>
          <w:sz w:val="24"/>
          <w:szCs w:val="24"/>
          <w:bdr w:val="none" w:sz="0" w:space="0" w:color="auto" w:frame="1"/>
          <w:lang w:eastAsia="lv-LV"/>
        </w:rPr>
        <w:t xml:space="preserve"> </w:t>
      </w:r>
      <w:proofErr w:type="spellStart"/>
      <w:r w:rsidRPr="00955EA7">
        <w:rPr>
          <w:rFonts w:asciiTheme="majorBidi" w:eastAsia="Times New Roman" w:hAnsiTheme="majorBidi" w:cstheme="majorBidi"/>
          <w:i/>
          <w:iCs/>
          <w:sz w:val="24"/>
          <w:szCs w:val="24"/>
          <w:bdr w:val="none" w:sz="0" w:space="0" w:color="auto" w:frame="1"/>
          <w:lang w:eastAsia="lv-LV"/>
        </w:rPr>
        <w:t>deductions</w:t>
      </w:r>
      <w:proofErr w:type="spellEnd"/>
      <w:r w:rsidRPr="00955EA7">
        <w:rPr>
          <w:rFonts w:asciiTheme="majorBidi" w:eastAsia="Times New Roman" w:hAnsiTheme="majorBidi" w:cstheme="majorBidi"/>
          <w:sz w:val="24"/>
          <w:szCs w:val="24"/>
          <w:lang w:eastAsia="lv-LV"/>
        </w:rPr>
        <w:t>.</w:t>
      </w:r>
    </w:p>
    <w:p w14:paraId="2A54521B" w14:textId="77777777" w:rsidR="00955EA7" w:rsidRDefault="00955EA7" w:rsidP="00955EA7">
      <w:pPr>
        <w:spacing w:after="0" w:line="240" w:lineRule="auto"/>
        <w:jc w:val="both"/>
        <w:rPr>
          <w:rFonts w:asciiTheme="majorBidi" w:eastAsia="Times New Roman" w:hAnsiTheme="majorBidi" w:cstheme="majorBidi"/>
          <w:sz w:val="24"/>
          <w:szCs w:val="24"/>
          <w:lang w:eastAsia="lv-LV"/>
        </w:rPr>
      </w:pPr>
    </w:p>
    <w:p w14:paraId="03AAC7CE" w14:textId="132BE936" w:rsidR="008B4ADE" w:rsidRDefault="008B4ADE" w:rsidP="00955EA7">
      <w:pPr>
        <w:spacing w:after="0" w:line="240" w:lineRule="auto"/>
        <w:jc w:val="both"/>
        <w:rPr>
          <w:rFonts w:asciiTheme="majorBidi" w:eastAsia="Times New Roman" w:hAnsiTheme="majorBidi" w:cstheme="majorBidi"/>
          <w:sz w:val="24"/>
          <w:szCs w:val="24"/>
          <w:lang w:eastAsia="lv-LV"/>
        </w:rPr>
      </w:pPr>
      <w:r w:rsidRPr="00955EA7">
        <w:rPr>
          <w:rFonts w:asciiTheme="majorBidi" w:eastAsia="Times New Roman" w:hAnsiTheme="majorBidi" w:cstheme="majorBidi"/>
          <w:sz w:val="24"/>
          <w:szCs w:val="24"/>
          <w:lang w:eastAsia="lv-LV"/>
        </w:rPr>
        <w:t>12. Obligāto rezervju summu, kas respondentam jātur konkrētajā izpildes periodā, aprēķina, rezervju bāzei piemērojot Regulā Nr. </w:t>
      </w:r>
      <w:r w:rsidR="003F72D2" w:rsidRPr="00955EA7">
        <w:rPr>
          <w:rFonts w:asciiTheme="majorBidi" w:eastAsia="Times New Roman" w:hAnsiTheme="majorBidi" w:cstheme="majorBidi"/>
          <w:sz w:val="24"/>
          <w:szCs w:val="24"/>
          <w:lang w:eastAsia="lv-LV"/>
        </w:rPr>
        <w:t xml:space="preserve">2021/378 </w:t>
      </w:r>
      <w:r w:rsidRPr="00955EA7">
        <w:rPr>
          <w:rFonts w:asciiTheme="majorBidi" w:eastAsia="Times New Roman" w:hAnsiTheme="majorBidi" w:cstheme="majorBidi"/>
          <w:sz w:val="24"/>
          <w:szCs w:val="24"/>
          <w:lang w:eastAsia="lv-LV"/>
        </w:rPr>
        <w:t xml:space="preserve">noteiktos rezervju rādītājus. ECB publicē rezervju rādītājus arī savas </w:t>
      </w:r>
      <w:r w:rsidR="00376802" w:rsidRPr="00376802">
        <w:rPr>
          <w:rFonts w:asciiTheme="majorBidi" w:eastAsia="Times New Roman" w:hAnsiTheme="majorBidi" w:cstheme="majorBidi"/>
          <w:sz w:val="24"/>
          <w:szCs w:val="24"/>
          <w:lang w:eastAsia="lv-LV"/>
        </w:rPr>
        <w:t>tīmekļvietn</w:t>
      </w:r>
      <w:r w:rsidR="00376802">
        <w:rPr>
          <w:rFonts w:asciiTheme="majorBidi" w:eastAsia="Times New Roman" w:hAnsiTheme="majorBidi" w:cstheme="majorBidi"/>
          <w:sz w:val="24"/>
          <w:szCs w:val="24"/>
          <w:lang w:eastAsia="lv-LV"/>
        </w:rPr>
        <w:t>es</w:t>
      </w:r>
      <w:r w:rsidR="00EA0DD7">
        <w:rPr>
          <w:rFonts w:asciiTheme="majorBidi" w:eastAsia="Times New Roman" w:hAnsiTheme="majorBidi" w:cstheme="majorBidi"/>
          <w:sz w:val="24"/>
          <w:szCs w:val="24"/>
          <w:lang w:eastAsia="lv-LV"/>
        </w:rPr>
        <w:t xml:space="preserve"> </w:t>
      </w:r>
      <w:hyperlink r:id="rId14" w:history="1">
        <w:r w:rsidR="00EA0DD7" w:rsidRPr="0014351E">
          <w:rPr>
            <w:rStyle w:val="Hyperlink"/>
            <w:rFonts w:asciiTheme="majorBidi" w:eastAsia="Times New Roman" w:hAnsiTheme="majorBidi" w:cstheme="majorBidi"/>
            <w:sz w:val="24"/>
            <w:szCs w:val="24"/>
            <w:bdr w:val="none" w:sz="0" w:space="0" w:color="auto" w:frame="1"/>
            <w:lang w:eastAsia="lv-LV"/>
          </w:rPr>
          <w:t>https://www.ecb.europa.eu/mopo/implement/mr/html/calc.en.html</w:t>
        </w:r>
      </w:hyperlink>
      <w:r w:rsidR="00EA0DD7">
        <w:rPr>
          <w:rFonts w:asciiTheme="majorBidi" w:eastAsia="Times New Roman" w:hAnsiTheme="majorBidi" w:cstheme="majorBidi"/>
          <w:sz w:val="24"/>
          <w:szCs w:val="24"/>
          <w:lang w:eastAsia="lv-LV"/>
        </w:rPr>
        <w:t xml:space="preserve"> </w:t>
      </w:r>
      <w:r w:rsidRPr="00955EA7">
        <w:rPr>
          <w:rFonts w:asciiTheme="majorBidi" w:eastAsia="Times New Roman" w:hAnsiTheme="majorBidi" w:cstheme="majorBidi"/>
          <w:sz w:val="24"/>
          <w:szCs w:val="24"/>
          <w:lang w:eastAsia="lv-LV"/>
        </w:rPr>
        <w:t>sadaļā</w:t>
      </w:r>
      <w:r w:rsidR="00955EA7">
        <w:rPr>
          <w:rFonts w:asciiTheme="majorBidi" w:eastAsia="Times New Roman" w:hAnsiTheme="majorBidi" w:cstheme="majorBidi"/>
          <w:sz w:val="24"/>
          <w:szCs w:val="24"/>
          <w:lang w:eastAsia="lv-LV"/>
        </w:rPr>
        <w:t xml:space="preserve"> </w:t>
      </w:r>
      <w:proofErr w:type="spellStart"/>
      <w:r w:rsidRPr="00955EA7">
        <w:rPr>
          <w:rFonts w:asciiTheme="majorBidi" w:eastAsia="Times New Roman" w:hAnsiTheme="majorBidi" w:cstheme="majorBidi"/>
          <w:i/>
          <w:iCs/>
          <w:sz w:val="24"/>
          <w:szCs w:val="24"/>
          <w:bdr w:val="none" w:sz="0" w:space="0" w:color="auto" w:frame="1"/>
          <w:lang w:eastAsia="lv-LV"/>
        </w:rPr>
        <w:t>Rese</w:t>
      </w:r>
      <w:r w:rsidR="00955EA7">
        <w:rPr>
          <w:rFonts w:asciiTheme="majorBidi" w:eastAsia="Times New Roman" w:hAnsiTheme="majorBidi" w:cstheme="majorBidi"/>
          <w:i/>
          <w:iCs/>
          <w:sz w:val="24"/>
          <w:szCs w:val="24"/>
          <w:bdr w:val="none" w:sz="0" w:space="0" w:color="auto" w:frame="1"/>
          <w:lang w:eastAsia="lv-LV"/>
        </w:rPr>
        <w:t>rve</w:t>
      </w:r>
      <w:proofErr w:type="spellEnd"/>
      <w:r w:rsidRPr="00955EA7">
        <w:rPr>
          <w:rFonts w:asciiTheme="majorBidi" w:eastAsia="Times New Roman" w:hAnsiTheme="majorBidi" w:cstheme="majorBidi"/>
          <w:i/>
          <w:iCs/>
          <w:sz w:val="24"/>
          <w:szCs w:val="24"/>
          <w:bdr w:val="none" w:sz="0" w:space="0" w:color="auto" w:frame="1"/>
          <w:lang w:eastAsia="lv-LV"/>
        </w:rPr>
        <w:t xml:space="preserve"> </w:t>
      </w:r>
      <w:proofErr w:type="spellStart"/>
      <w:r w:rsidRPr="00955EA7">
        <w:rPr>
          <w:rFonts w:asciiTheme="majorBidi" w:eastAsia="Times New Roman" w:hAnsiTheme="majorBidi" w:cstheme="majorBidi"/>
          <w:i/>
          <w:iCs/>
          <w:sz w:val="24"/>
          <w:szCs w:val="24"/>
          <w:bdr w:val="none" w:sz="0" w:space="0" w:color="auto" w:frame="1"/>
          <w:lang w:eastAsia="lv-LV"/>
        </w:rPr>
        <w:t>coefficients</w:t>
      </w:r>
      <w:proofErr w:type="spellEnd"/>
      <w:r w:rsidRPr="00955EA7">
        <w:rPr>
          <w:rFonts w:asciiTheme="majorBidi" w:eastAsia="Times New Roman" w:hAnsiTheme="majorBidi" w:cstheme="majorBidi"/>
          <w:sz w:val="24"/>
          <w:szCs w:val="24"/>
          <w:lang w:eastAsia="lv-LV"/>
        </w:rPr>
        <w:t>. Saskaņā ar Regulā Nr</w:t>
      </w:r>
      <w:r w:rsidR="003A7121">
        <w:rPr>
          <w:rFonts w:asciiTheme="majorBidi" w:eastAsia="Times New Roman" w:hAnsiTheme="majorBidi" w:cstheme="majorBidi"/>
          <w:sz w:val="24"/>
          <w:szCs w:val="24"/>
          <w:lang w:eastAsia="lv-LV"/>
        </w:rPr>
        <w:t xml:space="preserve">. </w:t>
      </w:r>
      <w:r w:rsidR="003F72D2" w:rsidRPr="00955EA7">
        <w:rPr>
          <w:rFonts w:asciiTheme="majorBidi" w:eastAsia="Times New Roman" w:hAnsiTheme="majorBidi" w:cstheme="majorBidi"/>
          <w:sz w:val="24"/>
          <w:szCs w:val="24"/>
          <w:lang w:eastAsia="lv-LV"/>
        </w:rPr>
        <w:t xml:space="preserve">2021/378 </w:t>
      </w:r>
      <w:r w:rsidRPr="00955EA7">
        <w:rPr>
          <w:rFonts w:asciiTheme="majorBidi" w:eastAsia="Times New Roman" w:hAnsiTheme="majorBidi" w:cstheme="majorBidi"/>
          <w:sz w:val="24"/>
          <w:szCs w:val="24"/>
          <w:lang w:eastAsia="lv-LV"/>
        </w:rPr>
        <w:t>noteikto rezervju rādītājs 1% tiek piemērots noguldījumiem ar noteikto termiņu līdz 2 gadiem, noguldījumiem ar brīdinājuma termiņu par izņemšanu līdz 2 gadiem un emitētajiem parāda vērtspapīriem ar sākotnējo termiņu līdz 2 gadiem. Rezervju rādītājs 0% tiek piemērots visām pārējām rezervju bāzē ietvertajām saistībām.</w:t>
      </w:r>
    </w:p>
    <w:p w14:paraId="1ABB79B3" w14:textId="77777777" w:rsidR="00EA0DD7" w:rsidRPr="00955EA7" w:rsidRDefault="00EA0DD7" w:rsidP="00955EA7">
      <w:pPr>
        <w:spacing w:after="0" w:line="240" w:lineRule="auto"/>
        <w:jc w:val="both"/>
        <w:rPr>
          <w:rFonts w:asciiTheme="majorBidi" w:eastAsia="Times New Roman" w:hAnsiTheme="majorBidi" w:cstheme="majorBidi"/>
          <w:sz w:val="24"/>
          <w:szCs w:val="24"/>
          <w:lang w:eastAsia="lv-LV"/>
        </w:rPr>
      </w:pPr>
    </w:p>
    <w:p w14:paraId="49BFDAD7" w14:textId="55B82BFA" w:rsidR="008B4ADE" w:rsidRPr="00955EA7" w:rsidRDefault="008B4ADE" w:rsidP="00955EA7">
      <w:pPr>
        <w:spacing w:after="0" w:line="240" w:lineRule="auto"/>
        <w:jc w:val="both"/>
        <w:rPr>
          <w:rFonts w:asciiTheme="majorBidi" w:eastAsia="Times New Roman" w:hAnsiTheme="majorBidi" w:cstheme="majorBidi"/>
          <w:sz w:val="24"/>
          <w:szCs w:val="24"/>
          <w:lang w:eastAsia="lv-LV"/>
        </w:rPr>
      </w:pPr>
      <w:r w:rsidRPr="00955EA7">
        <w:rPr>
          <w:rFonts w:asciiTheme="majorBidi" w:eastAsia="Times New Roman" w:hAnsiTheme="majorBidi" w:cstheme="majorBidi"/>
          <w:sz w:val="24"/>
          <w:szCs w:val="24"/>
          <w:lang w:eastAsia="lv-LV"/>
        </w:rPr>
        <w:t>13. Obligātās rezerves aprēķina, šā ceļveža 12. punktā minētajai obligāto rezervju summai piemērojot Regulā Nr. </w:t>
      </w:r>
      <w:r w:rsidR="003F72D2" w:rsidRPr="00955EA7">
        <w:rPr>
          <w:rFonts w:asciiTheme="majorBidi" w:eastAsia="Times New Roman" w:hAnsiTheme="majorBidi" w:cstheme="majorBidi"/>
          <w:sz w:val="24"/>
          <w:szCs w:val="24"/>
          <w:lang w:eastAsia="lv-LV"/>
        </w:rPr>
        <w:t xml:space="preserve">2021/378 </w:t>
      </w:r>
      <w:r w:rsidRPr="00955EA7">
        <w:rPr>
          <w:rFonts w:asciiTheme="majorBidi" w:eastAsia="Times New Roman" w:hAnsiTheme="majorBidi" w:cstheme="majorBidi"/>
          <w:sz w:val="24"/>
          <w:szCs w:val="24"/>
          <w:lang w:eastAsia="lv-LV"/>
        </w:rPr>
        <w:t>noteikto piemērojamo samazinājumu 100 000 </w:t>
      </w:r>
      <w:r w:rsidRPr="00955EA7">
        <w:rPr>
          <w:rFonts w:asciiTheme="majorBidi" w:eastAsia="Times New Roman" w:hAnsiTheme="majorBidi" w:cstheme="majorBidi"/>
          <w:i/>
          <w:iCs/>
          <w:sz w:val="24"/>
          <w:szCs w:val="24"/>
          <w:bdr w:val="none" w:sz="0" w:space="0" w:color="auto" w:frame="1"/>
          <w:lang w:eastAsia="lv-LV"/>
        </w:rPr>
        <w:t>euro</w:t>
      </w:r>
      <w:r w:rsidRPr="00955EA7">
        <w:rPr>
          <w:rFonts w:asciiTheme="majorBidi" w:eastAsia="Times New Roman" w:hAnsiTheme="majorBidi" w:cstheme="majorBidi"/>
          <w:sz w:val="24"/>
          <w:szCs w:val="24"/>
          <w:lang w:eastAsia="lv-LV"/>
        </w:rPr>
        <w:t xml:space="preserve"> apjomā. Informācija par piemērojamo samazinājuma apjomu publicēta arī ECB </w:t>
      </w:r>
      <w:r w:rsidR="00376802" w:rsidRPr="00376802">
        <w:rPr>
          <w:rFonts w:asciiTheme="majorBidi" w:eastAsia="Times New Roman" w:hAnsiTheme="majorBidi" w:cstheme="majorBidi"/>
          <w:sz w:val="24"/>
          <w:szCs w:val="24"/>
          <w:lang w:eastAsia="lv-LV"/>
        </w:rPr>
        <w:t>tīmekļvietn</w:t>
      </w:r>
      <w:r w:rsidR="00376802">
        <w:rPr>
          <w:rFonts w:asciiTheme="majorBidi" w:eastAsia="Times New Roman" w:hAnsiTheme="majorBidi" w:cstheme="majorBidi"/>
          <w:sz w:val="24"/>
          <w:szCs w:val="24"/>
          <w:lang w:eastAsia="lv-LV"/>
        </w:rPr>
        <w:t>es</w:t>
      </w:r>
      <w:r w:rsidR="00955EA7">
        <w:rPr>
          <w:rFonts w:asciiTheme="majorBidi" w:eastAsia="Times New Roman" w:hAnsiTheme="majorBidi" w:cstheme="majorBidi"/>
          <w:sz w:val="24"/>
          <w:szCs w:val="24"/>
          <w:lang w:eastAsia="lv-LV"/>
        </w:rPr>
        <w:t xml:space="preserve"> </w:t>
      </w:r>
      <w:hyperlink r:id="rId15" w:history="1">
        <w:r w:rsidR="00955EA7" w:rsidRPr="0014351E">
          <w:rPr>
            <w:rStyle w:val="Hyperlink"/>
            <w:rFonts w:asciiTheme="majorBidi" w:eastAsia="Times New Roman" w:hAnsiTheme="majorBidi" w:cstheme="majorBidi"/>
            <w:sz w:val="24"/>
            <w:szCs w:val="24"/>
            <w:bdr w:val="none" w:sz="0" w:space="0" w:color="auto" w:frame="1"/>
            <w:lang w:eastAsia="lv-LV"/>
          </w:rPr>
          <w:t>http://www.ecb.int/mopo/implement/mr/html/calc.en.html</w:t>
        </w:r>
      </w:hyperlink>
      <w:r w:rsidR="00EA0DD7">
        <w:rPr>
          <w:rFonts w:asciiTheme="majorBidi" w:eastAsia="Times New Roman" w:hAnsiTheme="majorBidi" w:cstheme="majorBidi"/>
          <w:sz w:val="24"/>
          <w:szCs w:val="24"/>
          <w:lang w:eastAsia="lv-LV"/>
        </w:rPr>
        <w:t xml:space="preserve"> </w:t>
      </w:r>
      <w:r w:rsidRPr="00955EA7">
        <w:rPr>
          <w:rFonts w:asciiTheme="majorBidi" w:eastAsia="Times New Roman" w:hAnsiTheme="majorBidi" w:cstheme="majorBidi"/>
          <w:sz w:val="24"/>
          <w:szCs w:val="24"/>
          <w:lang w:eastAsia="lv-LV"/>
        </w:rPr>
        <w:t>sadaļā</w:t>
      </w:r>
      <w:r w:rsidR="00EA0DD7">
        <w:rPr>
          <w:rFonts w:asciiTheme="majorBidi" w:eastAsia="Times New Roman" w:hAnsiTheme="majorBidi" w:cstheme="majorBidi"/>
          <w:sz w:val="24"/>
          <w:szCs w:val="24"/>
          <w:lang w:eastAsia="lv-LV"/>
        </w:rPr>
        <w:t xml:space="preserve"> </w:t>
      </w:r>
      <w:proofErr w:type="spellStart"/>
      <w:r w:rsidRPr="00955EA7">
        <w:rPr>
          <w:rFonts w:asciiTheme="majorBidi" w:eastAsia="Times New Roman" w:hAnsiTheme="majorBidi" w:cstheme="majorBidi"/>
          <w:i/>
          <w:iCs/>
          <w:sz w:val="24"/>
          <w:szCs w:val="24"/>
          <w:bdr w:val="none" w:sz="0" w:space="0" w:color="auto" w:frame="1"/>
          <w:lang w:eastAsia="lv-LV"/>
        </w:rPr>
        <w:t>Lump-sum</w:t>
      </w:r>
      <w:proofErr w:type="spellEnd"/>
      <w:r w:rsidRPr="00955EA7">
        <w:rPr>
          <w:rFonts w:asciiTheme="majorBidi" w:eastAsia="Times New Roman" w:hAnsiTheme="majorBidi" w:cstheme="majorBidi"/>
          <w:i/>
          <w:iCs/>
          <w:sz w:val="24"/>
          <w:szCs w:val="24"/>
          <w:bdr w:val="none" w:sz="0" w:space="0" w:color="auto" w:frame="1"/>
          <w:lang w:eastAsia="lv-LV"/>
        </w:rPr>
        <w:t xml:space="preserve"> </w:t>
      </w:r>
      <w:proofErr w:type="spellStart"/>
      <w:r w:rsidRPr="00955EA7">
        <w:rPr>
          <w:rFonts w:asciiTheme="majorBidi" w:eastAsia="Times New Roman" w:hAnsiTheme="majorBidi" w:cstheme="majorBidi"/>
          <w:i/>
          <w:iCs/>
          <w:sz w:val="24"/>
          <w:szCs w:val="24"/>
          <w:bdr w:val="none" w:sz="0" w:space="0" w:color="auto" w:frame="1"/>
          <w:lang w:eastAsia="lv-LV"/>
        </w:rPr>
        <w:t>allowance</w:t>
      </w:r>
      <w:proofErr w:type="spellEnd"/>
      <w:r w:rsidRPr="00955EA7">
        <w:rPr>
          <w:rFonts w:asciiTheme="majorBidi" w:eastAsia="Times New Roman" w:hAnsiTheme="majorBidi" w:cstheme="majorBidi"/>
          <w:sz w:val="24"/>
          <w:szCs w:val="24"/>
          <w:lang w:eastAsia="lv-LV"/>
        </w:rPr>
        <w:t>.</w:t>
      </w:r>
    </w:p>
    <w:p w14:paraId="29F32E87" w14:textId="77777777" w:rsidR="003E2B9E" w:rsidRPr="00955EA7" w:rsidRDefault="003E2B9E" w:rsidP="00955EA7">
      <w:pPr>
        <w:spacing w:after="0" w:line="240" w:lineRule="auto"/>
        <w:jc w:val="both"/>
        <w:rPr>
          <w:rFonts w:asciiTheme="majorBidi" w:eastAsia="Times New Roman" w:hAnsiTheme="majorBidi" w:cstheme="majorBidi"/>
          <w:sz w:val="24"/>
          <w:szCs w:val="24"/>
          <w:lang w:eastAsia="lv-LV"/>
        </w:rPr>
      </w:pPr>
    </w:p>
    <w:p w14:paraId="603B3C00" w14:textId="77777777" w:rsidR="008B4ADE" w:rsidRPr="00955EA7" w:rsidRDefault="008B4ADE" w:rsidP="00955EA7">
      <w:pPr>
        <w:spacing w:after="0" w:line="240" w:lineRule="auto"/>
        <w:jc w:val="both"/>
        <w:rPr>
          <w:rFonts w:asciiTheme="majorBidi" w:eastAsia="Times New Roman" w:hAnsiTheme="majorBidi" w:cstheme="majorBidi"/>
          <w:sz w:val="24"/>
          <w:szCs w:val="24"/>
          <w:lang w:eastAsia="lv-LV"/>
        </w:rPr>
      </w:pPr>
      <w:r w:rsidRPr="00955EA7">
        <w:rPr>
          <w:rFonts w:asciiTheme="majorBidi" w:eastAsia="Times New Roman" w:hAnsiTheme="majorBidi" w:cstheme="majorBidi"/>
          <w:b/>
          <w:bCs/>
          <w:sz w:val="24"/>
          <w:szCs w:val="24"/>
          <w:bdr w:val="none" w:sz="0" w:space="0" w:color="auto" w:frame="1"/>
          <w:lang w:eastAsia="lv-LV"/>
        </w:rPr>
        <w:t>IV. Rezervju prasību izpilde</w:t>
      </w:r>
    </w:p>
    <w:p w14:paraId="5B152B96" w14:textId="77777777" w:rsidR="00EA0DD7" w:rsidRDefault="00EA0DD7" w:rsidP="00955EA7">
      <w:pPr>
        <w:spacing w:after="0" w:line="240" w:lineRule="auto"/>
        <w:jc w:val="both"/>
        <w:rPr>
          <w:rFonts w:asciiTheme="majorBidi" w:eastAsia="Times New Roman" w:hAnsiTheme="majorBidi" w:cstheme="majorBidi"/>
          <w:sz w:val="24"/>
          <w:szCs w:val="24"/>
          <w:lang w:eastAsia="lv-LV"/>
        </w:rPr>
      </w:pPr>
    </w:p>
    <w:p w14:paraId="5B79BA4B" w14:textId="7A57CFF2" w:rsidR="008B4ADE" w:rsidRPr="00B775D2" w:rsidRDefault="008B4ADE" w:rsidP="00955EA7">
      <w:pPr>
        <w:spacing w:after="0" w:line="240" w:lineRule="auto"/>
        <w:jc w:val="both"/>
      </w:pPr>
      <w:r w:rsidRPr="00955EA7">
        <w:rPr>
          <w:rFonts w:asciiTheme="majorBidi" w:eastAsia="Times New Roman" w:hAnsiTheme="majorBidi" w:cstheme="majorBidi"/>
          <w:sz w:val="24"/>
          <w:szCs w:val="24"/>
          <w:lang w:eastAsia="lv-LV"/>
        </w:rPr>
        <w:t>14. Atbilstoši Regulā Nr. </w:t>
      </w:r>
      <w:r w:rsidR="003F72D2" w:rsidRPr="00955EA7">
        <w:rPr>
          <w:rFonts w:asciiTheme="majorBidi" w:eastAsia="Times New Roman" w:hAnsiTheme="majorBidi" w:cstheme="majorBidi"/>
          <w:sz w:val="24"/>
          <w:szCs w:val="24"/>
          <w:lang w:eastAsia="lv-LV"/>
        </w:rPr>
        <w:t xml:space="preserve">2021/378 </w:t>
      </w:r>
      <w:r w:rsidRPr="00955EA7">
        <w:rPr>
          <w:rFonts w:asciiTheme="majorBidi" w:eastAsia="Times New Roman" w:hAnsiTheme="majorBidi" w:cstheme="majorBidi"/>
          <w:sz w:val="24"/>
          <w:szCs w:val="24"/>
          <w:lang w:eastAsia="lv-LV"/>
        </w:rPr>
        <w:t>noteiktajam ECB un</w:t>
      </w:r>
      <w:r w:rsidR="00EA0DD7">
        <w:rPr>
          <w:rFonts w:asciiTheme="majorBidi" w:eastAsia="Times New Roman" w:hAnsiTheme="majorBidi" w:cstheme="majorBidi"/>
          <w:sz w:val="24"/>
          <w:szCs w:val="24"/>
          <w:lang w:eastAsia="lv-LV"/>
        </w:rPr>
        <w:t xml:space="preserve"> </w:t>
      </w:r>
      <w:r w:rsidRPr="00955EA7">
        <w:rPr>
          <w:rFonts w:asciiTheme="majorBidi" w:eastAsia="Times New Roman" w:hAnsiTheme="majorBidi" w:cstheme="majorBidi"/>
          <w:i/>
          <w:iCs/>
          <w:sz w:val="24"/>
          <w:szCs w:val="24"/>
          <w:bdr w:val="none" w:sz="0" w:space="0" w:color="auto" w:frame="1"/>
          <w:lang w:eastAsia="lv-LV"/>
        </w:rPr>
        <w:t>euro</w:t>
      </w:r>
      <w:r w:rsidR="00EA0DD7">
        <w:rPr>
          <w:rFonts w:asciiTheme="majorBidi" w:eastAsia="Times New Roman" w:hAnsiTheme="majorBidi" w:cstheme="majorBidi"/>
          <w:sz w:val="24"/>
          <w:szCs w:val="24"/>
          <w:lang w:eastAsia="lv-LV"/>
        </w:rPr>
        <w:t xml:space="preserve"> </w:t>
      </w:r>
      <w:r w:rsidRPr="00955EA7">
        <w:rPr>
          <w:rFonts w:asciiTheme="majorBidi" w:eastAsia="Times New Roman" w:hAnsiTheme="majorBidi" w:cstheme="majorBidi"/>
          <w:sz w:val="24"/>
          <w:szCs w:val="24"/>
          <w:lang w:eastAsia="lv-LV"/>
        </w:rPr>
        <w:t xml:space="preserve">zonas nacionālās centrālās bankas publicē izpildes periodu kalendāru vismaz 3 mēnešus pirms kārtējā kalendārā gada sākuma (sk. ECB </w:t>
      </w:r>
      <w:r w:rsidR="00376802" w:rsidRPr="00376802">
        <w:rPr>
          <w:rFonts w:asciiTheme="majorBidi" w:eastAsia="Times New Roman" w:hAnsiTheme="majorBidi" w:cstheme="majorBidi"/>
          <w:sz w:val="24"/>
          <w:szCs w:val="24"/>
          <w:lang w:eastAsia="lv-LV"/>
        </w:rPr>
        <w:t>tīmekļvietnē</w:t>
      </w:r>
      <w:r w:rsidR="00EA0DD7">
        <w:rPr>
          <w:rFonts w:asciiTheme="majorBidi" w:eastAsia="Times New Roman" w:hAnsiTheme="majorBidi" w:cstheme="majorBidi"/>
          <w:sz w:val="24"/>
          <w:szCs w:val="24"/>
          <w:lang w:eastAsia="lv-LV"/>
        </w:rPr>
        <w:t xml:space="preserve"> </w:t>
      </w:r>
      <w:hyperlink r:id="rId16" w:history="1">
        <w:r w:rsidR="00EA0DD7" w:rsidRPr="0014351E">
          <w:rPr>
            <w:rStyle w:val="Hyperlink"/>
            <w:rFonts w:asciiTheme="majorBidi" w:eastAsia="Times New Roman" w:hAnsiTheme="majorBidi" w:cstheme="majorBidi"/>
            <w:sz w:val="24"/>
            <w:szCs w:val="24"/>
            <w:bdr w:val="none" w:sz="0" w:space="0" w:color="auto" w:frame="1"/>
            <w:lang w:eastAsia="lv-LV"/>
          </w:rPr>
          <w:t>http://www.ecb.europa.eu/press/calendars/reserve/html/index.en.html</w:t>
        </w:r>
      </w:hyperlink>
      <w:r w:rsidR="00487D8A">
        <w:rPr>
          <w:rStyle w:val="Hyperlink"/>
          <w:rFonts w:asciiTheme="majorBidi" w:eastAsia="Times New Roman" w:hAnsiTheme="majorBidi" w:cstheme="majorBidi"/>
          <w:sz w:val="24"/>
          <w:szCs w:val="24"/>
          <w:bdr w:val="none" w:sz="0" w:space="0" w:color="auto" w:frame="1"/>
          <w:lang w:eastAsia="lv-LV"/>
        </w:rPr>
        <w:t xml:space="preserve"> </w:t>
      </w:r>
      <w:r w:rsidR="00487D8A" w:rsidRPr="008D0283">
        <w:rPr>
          <w:rStyle w:val="Hyperlink"/>
          <w:rFonts w:asciiTheme="majorBidi" w:eastAsia="Times New Roman" w:hAnsiTheme="majorBidi" w:cstheme="majorBidi"/>
          <w:sz w:val="24"/>
          <w:szCs w:val="24"/>
          <w:bdr w:val="none" w:sz="0" w:space="0" w:color="auto" w:frame="1"/>
          <w:lang w:eastAsia="lv-LV"/>
        </w:rPr>
        <w:t xml:space="preserve">un Latvijas bankas </w:t>
      </w:r>
      <w:r w:rsidR="008D0283">
        <w:rPr>
          <w:rStyle w:val="Hyperlink"/>
          <w:rFonts w:asciiTheme="majorBidi" w:eastAsia="Times New Roman" w:hAnsiTheme="majorBidi" w:cstheme="majorBidi"/>
          <w:sz w:val="24"/>
          <w:szCs w:val="24"/>
          <w:bdr w:val="none" w:sz="0" w:space="0" w:color="auto" w:frame="1"/>
          <w:lang w:eastAsia="lv-LV"/>
        </w:rPr>
        <w:t>tīmekļ</w:t>
      </w:r>
      <w:r w:rsidR="00487D8A" w:rsidRPr="008D0283">
        <w:rPr>
          <w:rStyle w:val="Hyperlink"/>
          <w:rFonts w:asciiTheme="majorBidi" w:eastAsia="Times New Roman" w:hAnsiTheme="majorBidi" w:cstheme="majorBidi"/>
          <w:sz w:val="24"/>
          <w:szCs w:val="24"/>
          <w:bdr w:val="none" w:sz="0" w:space="0" w:color="auto" w:frame="1"/>
          <w:lang w:eastAsia="lv-LV"/>
        </w:rPr>
        <w:t>vietnē</w:t>
      </w:r>
      <w:r w:rsidR="008D0283">
        <w:rPr>
          <w:rStyle w:val="Hyperlink"/>
          <w:rFonts w:asciiTheme="majorBidi" w:eastAsia="Times New Roman" w:hAnsiTheme="majorBidi" w:cstheme="majorBidi"/>
          <w:sz w:val="24"/>
          <w:szCs w:val="24"/>
          <w:bdr w:val="none" w:sz="0" w:space="0" w:color="auto" w:frame="1"/>
          <w:lang w:eastAsia="lv-LV"/>
        </w:rPr>
        <w:t xml:space="preserve"> sadaļā </w:t>
      </w:r>
      <w:hyperlink r:id="rId17" w:history="1">
        <w:proofErr w:type="spellStart"/>
        <w:r w:rsidR="008D0283" w:rsidRPr="008D0283">
          <w:rPr>
            <w:rStyle w:val="Hyperlink"/>
            <w:rFonts w:asciiTheme="majorBidi" w:eastAsia="Times New Roman" w:hAnsiTheme="majorBidi" w:cstheme="majorBidi"/>
            <w:sz w:val="24"/>
            <w:szCs w:val="24"/>
            <w:bdr w:val="none" w:sz="0" w:space="0" w:color="auto" w:frame="1"/>
            <w:lang w:eastAsia="lv-LV"/>
          </w:rPr>
          <w:t>Sadarbība\Statistikas</w:t>
        </w:r>
        <w:proofErr w:type="spellEnd"/>
        <w:r w:rsidR="008D0283" w:rsidRPr="008D0283">
          <w:rPr>
            <w:rStyle w:val="Hyperlink"/>
            <w:rFonts w:asciiTheme="majorBidi" w:eastAsia="Times New Roman" w:hAnsiTheme="majorBidi" w:cstheme="majorBidi"/>
            <w:sz w:val="24"/>
            <w:szCs w:val="24"/>
            <w:bdr w:val="none" w:sz="0" w:space="0" w:color="auto" w:frame="1"/>
            <w:lang w:eastAsia="lv-LV"/>
          </w:rPr>
          <w:t xml:space="preserve"> </w:t>
        </w:r>
        <w:proofErr w:type="spellStart"/>
        <w:r w:rsidR="008D0283" w:rsidRPr="008D0283">
          <w:rPr>
            <w:rStyle w:val="Hyperlink"/>
            <w:rFonts w:asciiTheme="majorBidi" w:eastAsia="Times New Roman" w:hAnsiTheme="majorBidi" w:cstheme="majorBidi"/>
            <w:sz w:val="24"/>
            <w:szCs w:val="24"/>
            <w:bdr w:val="none" w:sz="0" w:space="0" w:color="auto" w:frame="1"/>
            <w:lang w:eastAsia="lv-LV"/>
          </w:rPr>
          <w:t>respondentiem\</w:t>
        </w:r>
        <w:r w:rsidR="00487D8A" w:rsidRPr="00B775D2">
          <w:rPr>
            <w:rStyle w:val="Hyperlink"/>
            <w:rFonts w:asciiTheme="majorBidi" w:eastAsia="Times New Roman" w:hAnsiTheme="majorBidi" w:cstheme="majorBidi"/>
            <w:sz w:val="24"/>
            <w:szCs w:val="24"/>
            <w:bdr w:val="none" w:sz="0" w:space="0" w:color="auto" w:frame="1"/>
            <w:lang w:eastAsia="lv-LV"/>
          </w:rPr>
          <w:t>Bankām</w:t>
        </w:r>
        <w:proofErr w:type="spellEnd"/>
        <w:r w:rsidR="00487D8A" w:rsidRPr="00B775D2">
          <w:rPr>
            <w:rStyle w:val="Hyperlink"/>
            <w:rFonts w:asciiTheme="majorBidi" w:eastAsia="Times New Roman" w:hAnsiTheme="majorBidi" w:cstheme="majorBidi"/>
            <w:sz w:val="24"/>
            <w:szCs w:val="24"/>
            <w:bdr w:val="none" w:sz="0" w:space="0" w:color="auto" w:frame="1"/>
            <w:lang w:eastAsia="lv-LV"/>
          </w:rPr>
          <w:t xml:space="preserve"> un ārvalstu banku </w:t>
        </w:r>
        <w:proofErr w:type="spellStart"/>
        <w:r w:rsidR="00487D8A" w:rsidRPr="00B775D2">
          <w:rPr>
            <w:rStyle w:val="Hyperlink"/>
            <w:rFonts w:asciiTheme="majorBidi" w:eastAsia="Times New Roman" w:hAnsiTheme="majorBidi" w:cstheme="majorBidi"/>
            <w:sz w:val="24"/>
            <w:szCs w:val="24"/>
            <w:bdr w:val="none" w:sz="0" w:space="0" w:color="auto" w:frame="1"/>
            <w:lang w:eastAsia="lv-LV"/>
          </w:rPr>
          <w:t>filiālēm</w:t>
        </w:r>
        <w:r w:rsidR="009F192F">
          <w:rPr>
            <w:rStyle w:val="Hyperlink"/>
            <w:rFonts w:asciiTheme="majorBidi" w:eastAsia="Times New Roman" w:hAnsiTheme="majorBidi" w:cstheme="majorBidi"/>
            <w:sz w:val="24"/>
            <w:szCs w:val="24"/>
            <w:bdr w:val="none" w:sz="0" w:space="0" w:color="auto" w:frame="1"/>
            <w:lang w:eastAsia="lv-LV"/>
          </w:rPr>
          <w:t>\</w:t>
        </w:r>
        <w:r w:rsidR="00487D8A" w:rsidRPr="00B775D2">
          <w:rPr>
            <w:rStyle w:val="Hyperlink"/>
            <w:rFonts w:asciiTheme="majorBidi" w:eastAsia="Times New Roman" w:hAnsiTheme="majorBidi" w:cstheme="majorBidi"/>
            <w:sz w:val="24"/>
            <w:szCs w:val="24"/>
            <w:bdr w:val="none" w:sz="0" w:space="0" w:color="auto" w:frame="1"/>
            <w:lang w:eastAsia="lv-LV"/>
          </w:rPr>
          <w:t>Rezervju</w:t>
        </w:r>
        <w:proofErr w:type="spellEnd"/>
        <w:r w:rsidR="00487D8A" w:rsidRPr="00B775D2">
          <w:rPr>
            <w:rStyle w:val="Hyperlink"/>
            <w:rFonts w:asciiTheme="majorBidi" w:eastAsia="Times New Roman" w:hAnsiTheme="majorBidi" w:cstheme="majorBidi"/>
            <w:sz w:val="24"/>
            <w:szCs w:val="24"/>
            <w:bdr w:val="none" w:sz="0" w:space="0" w:color="auto" w:frame="1"/>
            <w:lang w:eastAsia="lv-LV"/>
          </w:rPr>
          <w:t xml:space="preserve"> bāzes un prasību aprēķina sagatavošana</w:t>
        </w:r>
      </w:hyperlink>
      <w:r w:rsidR="009F192F">
        <w:rPr>
          <w:rStyle w:val="Hyperlink"/>
          <w:rFonts w:asciiTheme="majorBidi" w:eastAsia="Times New Roman" w:hAnsiTheme="majorBidi" w:cstheme="majorBidi"/>
          <w:sz w:val="24"/>
          <w:szCs w:val="24"/>
          <w:bdr w:val="none" w:sz="0" w:space="0" w:color="auto" w:frame="1"/>
          <w:lang w:eastAsia="lv-LV"/>
        </w:rPr>
        <w:t xml:space="preserve"> </w:t>
      </w:r>
      <w:r w:rsidR="008D0283" w:rsidRPr="00B775D2">
        <w:rPr>
          <w:rStyle w:val="Hyperlink"/>
          <w:rFonts w:asciiTheme="majorBidi" w:eastAsia="Times New Roman" w:hAnsiTheme="majorBidi" w:cstheme="majorBidi"/>
          <w:sz w:val="24"/>
          <w:szCs w:val="24"/>
          <w:bdr w:val="none" w:sz="0" w:space="0" w:color="auto" w:frame="1"/>
          <w:lang w:eastAsia="lv-LV"/>
        </w:rPr>
        <w:t xml:space="preserve">un sadaļā </w:t>
      </w:r>
      <w:hyperlink r:id="rId18" w:history="1">
        <w:proofErr w:type="spellStart"/>
        <w:r w:rsidR="008D0283" w:rsidRPr="00B775D2">
          <w:rPr>
            <w:rStyle w:val="Hyperlink"/>
            <w:rFonts w:asciiTheme="majorBidi" w:eastAsia="Times New Roman" w:hAnsiTheme="majorBidi" w:cstheme="majorBidi"/>
            <w:sz w:val="24"/>
            <w:szCs w:val="24"/>
            <w:bdr w:val="none" w:sz="0" w:space="0" w:color="auto" w:frame="1"/>
            <w:lang w:eastAsia="lv-LV"/>
          </w:rPr>
          <w:t>Sadarbība\statistikas</w:t>
        </w:r>
        <w:proofErr w:type="spellEnd"/>
        <w:r w:rsidR="008D0283" w:rsidRPr="00B775D2">
          <w:rPr>
            <w:rStyle w:val="Hyperlink"/>
            <w:rFonts w:asciiTheme="majorBidi" w:eastAsia="Times New Roman" w:hAnsiTheme="majorBidi" w:cstheme="majorBidi"/>
            <w:sz w:val="24"/>
            <w:szCs w:val="24"/>
            <w:bdr w:val="none" w:sz="0" w:space="0" w:color="auto" w:frame="1"/>
            <w:lang w:eastAsia="lv-LV"/>
          </w:rPr>
          <w:t xml:space="preserve"> </w:t>
        </w:r>
        <w:proofErr w:type="spellStart"/>
        <w:r w:rsidR="008D0283" w:rsidRPr="00B775D2">
          <w:rPr>
            <w:rStyle w:val="Hyperlink"/>
            <w:rFonts w:asciiTheme="majorBidi" w:eastAsia="Times New Roman" w:hAnsiTheme="majorBidi" w:cstheme="majorBidi"/>
            <w:sz w:val="24"/>
            <w:szCs w:val="24"/>
            <w:bdr w:val="none" w:sz="0" w:space="0" w:color="auto" w:frame="1"/>
            <w:lang w:eastAsia="lv-LV"/>
          </w:rPr>
          <w:t>respondentiem\Krājaizdevu</w:t>
        </w:r>
        <w:proofErr w:type="spellEnd"/>
        <w:r w:rsidR="008D0283" w:rsidRPr="00B775D2">
          <w:rPr>
            <w:rStyle w:val="Hyperlink"/>
            <w:rFonts w:asciiTheme="majorBidi" w:eastAsia="Times New Roman" w:hAnsiTheme="majorBidi" w:cstheme="majorBidi"/>
            <w:sz w:val="24"/>
            <w:szCs w:val="24"/>
            <w:bdr w:val="none" w:sz="0" w:space="0" w:color="auto" w:frame="1"/>
            <w:lang w:eastAsia="lv-LV"/>
          </w:rPr>
          <w:t xml:space="preserve"> </w:t>
        </w:r>
        <w:proofErr w:type="spellStart"/>
        <w:r w:rsidR="008D0283" w:rsidRPr="00B775D2">
          <w:rPr>
            <w:rStyle w:val="Hyperlink"/>
            <w:rFonts w:asciiTheme="majorBidi" w:eastAsia="Times New Roman" w:hAnsiTheme="majorBidi" w:cstheme="majorBidi"/>
            <w:sz w:val="24"/>
            <w:szCs w:val="24"/>
            <w:bdr w:val="none" w:sz="0" w:space="0" w:color="auto" w:frame="1"/>
            <w:lang w:eastAsia="lv-LV"/>
          </w:rPr>
          <w:t>sabiedrībām\Rezervju</w:t>
        </w:r>
        <w:proofErr w:type="spellEnd"/>
        <w:r w:rsidR="008D0283" w:rsidRPr="00B775D2">
          <w:rPr>
            <w:rStyle w:val="Hyperlink"/>
            <w:rFonts w:asciiTheme="majorBidi" w:eastAsia="Times New Roman" w:hAnsiTheme="majorBidi" w:cstheme="majorBidi"/>
            <w:sz w:val="24"/>
            <w:szCs w:val="24"/>
            <w:bdr w:val="none" w:sz="0" w:space="0" w:color="auto" w:frame="1"/>
            <w:lang w:eastAsia="lv-LV"/>
          </w:rPr>
          <w:t xml:space="preserve"> bāzes un prasību aprēķins</w:t>
        </w:r>
      </w:hyperlink>
      <w:r w:rsidRPr="00B775D2">
        <w:rPr>
          <w:rStyle w:val="Hyperlink"/>
          <w:bdr w:val="none" w:sz="0" w:space="0" w:color="auto" w:frame="1"/>
        </w:rPr>
        <w:t>)</w:t>
      </w:r>
      <w:r w:rsidRPr="00955EA7">
        <w:rPr>
          <w:rFonts w:asciiTheme="majorBidi" w:eastAsia="Times New Roman" w:hAnsiTheme="majorBidi" w:cstheme="majorBidi"/>
          <w:sz w:val="24"/>
          <w:szCs w:val="24"/>
          <w:lang w:eastAsia="lv-LV"/>
        </w:rPr>
        <w:t>.</w:t>
      </w:r>
    </w:p>
    <w:p w14:paraId="310DF44A" w14:textId="77777777" w:rsidR="00EA0DD7" w:rsidRDefault="00EA0DD7" w:rsidP="00955EA7">
      <w:pPr>
        <w:spacing w:after="0" w:line="240" w:lineRule="auto"/>
        <w:jc w:val="both"/>
        <w:rPr>
          <w:rFonts w:asciiTheme="majorBidi" w:eastAsia="Times New Roman" w:hAnsiTheme="majorBidi" w:cstheme="majorBidi"/>
          <w:sz w:val="24"/>
          <w:szCs w:val="24"/>
          <w:lang w:eastAsia="lv-LV"/>
        </w:rPr>
      </w:pPr>
    </w:p>
    <w:p w14:paraId="67ECB778" w14:textId="67D9A27F" w:rsidR="008B4ADE" w:rsidRPr="00955EA7" w:rsidRDefault="008B4ADE" w:rsidP="00955EA7">
      <w:pPr>
        <w:spacing w:after="0" w:line="240" w:lineRule="auto"/>
        <w:jc w:val="both"/>
        <w:rPr>
          <w:rFonts w:asciiTheme="majorBidi" w:eastAsia="Times New Roman" w:hAnsiTheme="majorBidi" w:cstheme="majorBidi"/>
          <w:sz w:val="24"/>
          <w:szCs w:val="24"/>
          <w:lang w:eastAsia="lv-LV"/>
        </w:rPr>
      </w:pPr>
      <w:r w:rsidRPr="00955EA7">
        <w:rPr>
          <w:rFonts w:asciiTheme="majorBidi" w:eastAsia="Times New Roman" w:hAnsiTheme="majorBidi" w:cstheme="majorBidi"/>
          <w:sz w:val="24"/>
          <w:szCs w:val="24"/>
          <w:lang w:eastAsia="lv-LV"/>
        </w:rPr>
        <w:t xml:space="preserve">15. Izpildes periodā Latvijas Republikā reģistrētas kredītiestādes un citās valstīs reģistrētu kredītiestāžu filiāles, kuras reģistrētas Latvijas Republikā (tālāk tekstā – kredītiestāde), pilda tās aprēķinātās rezervju prasības, kas noteiktas, ņemot vērā aprēķināto rezervju bāzi tā </w:t>
      </w:r>
      <w:r w:rsidR="00E64230">
        <w:rPr>
          <w:rFonts w:asciiTheme="majorBidi" w:eastAsia="Times New Roman" w:hAnsiTheme="majorBidi" w:cstheme="majorBidi"/>
          <w:sz w:val="24"/>
          <w:szCs w:val="24"/>
          <w:lang w:eastAsia="lv-LV"/>
        </w:rPr>
        <w:t xml:space="preserve">kalendārā </w:t>
      </w:r>
      <w:r w:rsidRPr="00955EA7">
        <w:rPr>
          <w:rFonts w:asciiTheme="majorBidi" w:eastAsia="Times New Roman" w:hAnsiTheme="majorBidi" w:cstheme="majorBidi"/>
          <w:sz w:val="24"/>
          <w:szCs w:val="24"/>
          <w:lang w:eastAsia="lv-LV"/>
        </w:rPr>
        <w:t xml:space="preserve">mēneša pēdējā datumā, kurš ir divus </w:t>
      </w:r>
      <w:r w:rsidR="00E64230">
        <w:rPr>
          <w:rFonts w:asciiTheme="majorBidi" w:eastAsia="Times New Roman" w:hAnsiTheme="majorBidi" w:cstheme="majorBidi"/>
          <w:sz w:val="24"/>
          <w:szCs w:val="24"/>
          <w:lang w:eastAsia="lv-LV"/>
        </w:rPr>
        <w:t xml:space="preserve">kalendāros </w:t>
      </w:r>
      <w:r w:rsidRPr="00955EA7">
        <w:rPr>
          <w:rFonts w:asciiTheme="majorBidi" w:eastAsia="Times New Roman" w:hAnsiTheme="majorBidi" w:cstheme="majorBidi"/>
          <w:sz w:val="24"/>
          <w:szCs w:val="24"/>
          <w:lang w:eastAsia="lv-LV"/>
        </w:rPr>
        <w:t xml:space="preserve">mēnešus pirms </w:t>
      </w:r>
      <w:r w:rsidR="00E64230">
        <w:rPr>
          <w:rFonts w:asciiTheme="majorBidi" w:eastAsia="Times New Roman" w:hAnsiTheme="majorBidi" w:cstheme="majorBidi"/>
          <w:sz w:val="24"/>
          <w:szCs w:val="24"/>
          <w:lang w:eastAsia="lv-LV"/>
        </w:rPr>
        <w:t xml:space="preserve">kalendārā </w:t>
      </w:r>
      <w:r w:rsidRPr="00955EA7">
        <w:rPr>
          <w:rFonts w:asciiTheme="majorBidi" w:eastAsia="Times New Roman" w:hAnsiTheme="majorBidi" w:cstheme="majorBidi"/>
          <w:sz w:val="24"/>
          <w:szCs w:val="24"/>
          <w:lang w:eastAsia="lv-LV"/>
        </w:rPr>
        <w:t>mēneša, kurā sākās izpildes periods. Piemēram, izpildes periodam, kas sākas janvāra vidū, rezervju prasības aprēķina, ņemot vērā respondenta mēneša bilances pārskata datus par novembri.</w:t>
      </w:r>
    </w:p>
    <w:p w14:paraId="3E07CC6A" w14:textId="77777777" w:rsidR="00EA0DD7" w:rsidRDefault="00EA0DD7" w:rsidP="00955EA7">
      <w:pPr>
        <w:spacing w:after="0" w:line="240" w:lineRule="auto"/>
        <w:jc w:val="both"/>
        <w:rPr>
          <w:rFonts w:asciiTheme="majorBidi" w:eastAsia="Times New Roman" w:hAnsiTheme="majorBidi" w:cstheme="majorBidi"/>
          <w:sz w:val="24"/>
          <w:szCs w:val="24"/>
          <w:lang w:eastAsia="lv-LV"/>
        </w:rPr>
      </w:pPr>
    </w:p>
    <w:p w14:paraId="7F4769D4" w14:textId="0E6A8188" w:rsidR="008B4ADE" w:rsidRPr="00955EA7" w:rsidRDefault="008B4ADE" w:rsidP="00955EA7">
      <w:pPr>
        <w:spacing w:after="0" w:line="240" w:lineRule="auto"/>
        <w:jc w:val="both"/>
        <w:rPr>
          <w:rFonts w:asciiTheme="majorBidi" w:eastAsia="Times New Roman" w:hAnsiTheme="majorBidi" w:cstheme="majorBidi"/>
          <w:sz w:val="24"/>
          <w:szCs w:val="24"/>
          <w:lang w:eastAsia="lv-LV"/>
        </w:rPr>
      </w:pPr>
      <w:r w:rsidRPr="00955EA7">
        <w:rPr>
          <w:rFonts w:asciiTheme="majorBidi" w:eastAsia="Times New Roman" w:hAnsiTheme="majorBidi" w:cstheme="majorBidi"/>
          <w:sz w:val="24"/>
          <w:szCs w:val="24"/>
          <w:lang w:eastAsia="lv-LV"/>
        </w:rPr>
        <w:t xml:space="preserve">16. Latvijas Republikā reģistrēta krājaizdevu sabiedrība (tālāk tekstā – krājaizdevu sabiedrība), kas "Mēneša bilances pārskatu" Latvijas Bankai iesniedz tikai par stāvokli 31. martā, 30. jūnijā, 30. septembrī un 31. decembrī, rezervju prasības aprēķina diviem izpildes periodiem, sākot ar izpildes periodu, kurš sākas trešajā </w:t>
      </w:r>
      <w:r w:rsidR="00D5673F">
        <w:rPr>
          <w:rFonts w:asciiTheme="majorBidi" w:eastAsia="Times New Roman" w:hAnsiTheme="majorBidi" w:cstheme="majorBidi"/>
          <w:sz w:val="24"/>
          <w:szCs w:val="24"/>
          <w:lang w:eastAsia="lv-LV"/>
        </w:rPr>
        <w:t xml:space="preserve">kalendārajā </w:t>
      </w:r>
      <w:r w:rsidRPr="00955EA7">
        <w:rPr>
          <w:rFonts w:asciiTheme="majorBidi" w:eastAsia="Times New Roman" w:hAnsiTheme="majorBidi" w:cstheme="majorBidi"/>
          <w:sz w:val="24"/>
          <w:szCs w:val="24"/>
          <w:lang w:eastAsia="lv-LV"/>
        </w:rPr>
        <w:t>mēnesī pēc ceturkšņa beigām, pamatojoties uz ceturkšņa beigu datiem.</w:t>
      </w:r>
    </w:p>
    <w:p w14:paraId="6216A109" w14:textId="77777777" w:rsidR="00EA0DD7" w:rsidRDefault="00EA0DD7" w:rsidP="00955EA7">
      <w:pPr>
        <w:spacing w:after="0" w:line="240" w:lineRule="auto"/>
        <w:jc w:val="both"/>
        <w:rPr>
          <w:rFonts w:asciiTheme="majorBidi" w:eastAsia="Times New Roman" w:hAnsiTheme="majorBidi" w:cstheme="majorBidi"/>
          <w:sz w:val="24"/>
          <w:szCs w:val="24"/>
          <w:lang w:eastAsia="lv-LV"/>
        </w:rPr>
      </w:pPr>
    </w:p>
    <w:p w14:paraId="71B3F827" w14:textId="4C39D7BF" w:rsidR="008B4ADE" w:rsidRPr="00955EA7" w:rsidRDefault="008B4ADE" w:rsidP="00955EA7">
      <w:pPr>
        <w:spacing w:after="0" w:line="240" w:lineRule="auto"/>
        <w:jc w:val="both"/>
        <w:rPr>
          <w:rFonts w:asciiTheme="majorBidi" w:eastAsia="Times New Roman" w:hAnsiTheme="majorBidi" w:cstheme="majorBidi"/>
          <w:sz w:val="24"/>
          <w:szCs w:val="24"/>
          <w:lang w:eastAsia="lv-LV"/>
        </w:rPr>
      </w:pPr>
      <w:r w:rsidRPr="00955EA7">
        <w:rPr>
          <w:rFonts w:asciiTheme="majorBidi" w:eastAsia="Times New Roman" w:hAnsiTheme="majorBidi" w:cstheme="majorBidi"/>
          <w:sz w:val="24"/>
          <w:szCs w:val="24"/>
          <w:lang w:eastAsia="lv-LV"/>
        </w:rPr>
        <w:t xml:space="preserve">17. Respondenta dienas beigu atlikums rezervju kontā Latvijas Bankā tiek ņemts vērā, nosakot rezervju prasību izpildi, atlīdzības izmaksu (par rezervju prasību izpildi) un soda naudas lielumu rezervju prasību neizpildes gadījumā. Rezervju prasību izpildes noteikšanai tiek aprēķināts vidējais rezervju konta Latvijas Bankā dienas beigu atlikums par visu izpildes periodu. </w:t>
      </w:r>
      <w:bookmarkStart w:id="0" w:name="_Hlk75953771"/>
      <w:r w:rsidRPr="00955EA7">
        <w:rPr>
          <w:rFonts w:asciiTheme="majorBidi" w:eastAsia="Times New Roman" w:hAnsiTheme="majorBidi" w:cstheme="majorBidi"/>
          <w:sz w:val="24"/>
          <w:szCs w:val="24"/>
          <w:lang w:eastAsia="lv-LV"/>
        </w:rPr>
        <w:t>Atbilstoši Regulā Nr. </w:t>
      </w:r>
      <w:r w:rsidR="003F72D2" w:rsidRPr="00955EA7">
        <w:rPr>
          <w:rFonts w:asciiTheme="majorBidi" w:eastAsia="Times New Roman" w:hAnsiTheme="majorBidi" w:cstheme="majorBidi"/>
          <w:sz w:val="24"/>
          <w:szCs w:val="24"/>
          <w:lang w:eastAsia="lv-LV"/>
        </w:rPr>
        <w:t xml:space="preserve">2021/378 </w:t>
      </w:r>
      <w:r w:rsidRPr="00955EA7">
        <w:rPr>
          <w:rFonts w:asciiTheme="majorBidi" w:eastAsia="Times New Roman" w:hAnsiTheme="majorBidi" w:cstheme="majorBidi"/>
          <w:sz w:val="24"/>
          <w:szCs w:val="24"/>
          <w:lang w:eastAsia="lv-LV"/>
        </w:rPr>
        <w:t xml:space="preserve">noteiktajai </w:t>
      </w:r>
      <w:bookmarkEnd w:id="0"/>
      <w:r w:rsidRPr="00955EA7">
        <w:rPr>
          <w:rFonts w:asciiTheme="majorBidi" w:eastAsia="Times New Roman" w:hAnsiTheme="majorBidi" w:cstheme="majorBidi"/>
          <w:sz w:val="24"/>
          <w:szCs w:val="24"/>
          <w:lang w:eastAsia="lv-LV"/>
        </w:rPr>
        <w:t>kārtībai respondents var izmantot iespēju turēt obligātās rezerves netieši ar starpnieka palīdzību.</w:t>
      </w:r>
    </w:p>
    <w:p w14:paraId="674C7BB7" w14:textId="77777777" w:rsidR="00EA0DD7" w:rsidRDefault="00EA0DD7" w:rsidP="00955EA7">
      <w:pPr>
        <w:spacing w:after="0" w:line="240" w:lineRule="auto"/>
        <w:jc w:val="both"/>
        <w:rPr>
          <w:rFonts w:asciiTheme="majorBidi" w:eastAsia="Times New Roman" w:hAnsiTheme="majorBidi" w:cstheme="majorBidi"/>
          <w:sz w:val="24"/>
          <w:szCs w:val="24"/>
          <w:lang w:eastAsia="lv-LV"/>
        </w:rPr>
      </w:pPr>
    </w:p>
    <w:p w14:paraId="7CD2D849" w14:textId="192CD0A1" w:rsidR="003E2B9E" w:rsidRPr="00EA0DD7" w:rsidRDefault="003E2B9E" w:rsidP="00EA0DD7">
      <w:pPr>
        <w:spacing w:after="0" w:line="240" w:lineRule="auto"/>
        <w:jc w:val="both"/>
        <w:rPr>
          <w:rFonts w:asciiTheme="majorBidi" w:eastAsia="Times New Roman" w:hAnsiTheme="majorBidi" w:cstheme="majorBidi"/>
          <w:sz w:val="24"/>
          <w:szCs w:val="24"/>
          <w:lang w:eastAsia="lv-LV"/>
        </w:rPr>
      </w:pPr>
      <w:r w:rsidRPr="00955EA7">
        <w:rPr>
          <w:rFonts w:asciiTheme="majorBidi" w:eastAsia="Times New Roman" w:hAnsiTheme="majorBidi" w:cstheme="majorBidi"/>
          <w:sz w:val="24"/>
          <w:szCs w:val="24"/>
          <w:lang w:eastAsia="lv-LV"/>
        </w:rPr>
        <w:t xml:space="preserve">18. Atbilstoši Regulā Nr. 2021/378 noteiktajam, no rezervju izpildes izslēdz līdzekļus, kuriem piemērojami jebkādi juridiski, līgumiski, reglamentējoši vai citi ierobežojumi, kas liegtu kredītiestādei vai krājaizdevu sabiedrībai likvidēt, nodot, cedēt vai atsavināt </w:t>
      </w:r>
      <w:r w:rsidRPr="00EA0DD7">
        <w:rPr>
          <w:rFonts w:asciiTheme="majorBidi" w:eastAsia="Times New Roman" w:hAnsiTheme="majorBidi" w:cstheme="majorBidi"/>
          <w:sz w:val="24"/>
          <w:szCs w:val="24"/>
          <w:lang w:eastAsia="lv-LV"/>
        </w:rPr>
        <w:t>šādus līdzekļus attiecīgajā rezervju izpildes periodā.</w:t>
      </w:r>
    </w:p>
    <w:p w14:paraId="24802828" w14:textId="77777777" w:rsidR="00154939" w:rsidRPr="00EA0DD7" w:rsidRDefault="00154939" w:rsidP="00EA0DD7">
      <w:pPr>
        <w:spacing w:after="0" w:line="240" w:lineRule="auto"/>
        <w:jc w:val="both"/>
        <w:rPr>
          <w:rFonts w:asciiTheme="majorBidi" w:eastAsia="Times New Roman" w:hAnsiTheme="majorBidi" w:cstheme="majorBidi"/>
          <w:sz w:val="24"/>
          <w:szCs w:val="24"/>
          <w:lang w:eastAsia="lv-LV"/>
        </w:rPr>
      </w:pPr>
    </w:p>
    <w:p w14:paraId="66F69A73" w14:textId="61DB64BB" w:rsidR="008B4ADE" w:rsidRPr="00EA0DD7" w:rsidRDefault="008B4ADE" w:rsidP="00EA0DD7">
      <w:pPr>
        <w:spacing w:after="0" w:line="240" w:lineRule="auto"/>
        <w:jc w:val="both"/>
        <w:rPr>
          <w:rFonts w:asciiTheme="majorBidi" w:eastAsia="Times New Roman" w:hAnsiTheme="majorBidi" w:cstheme="majorBidi"/>
          <w:b/>
          <w:bCs/>
          <w:sz w:val="24"/>
          <w:szCs w:val="24"/>
          <w:bdr w:val="none" w:sz="0" w:space="0" w:color="auto" w:frame="1"/>
          <w:lang w:eastAsia="lv-LV"/>
        </w:rPr>
      </w:pPr>
      <w:r w:rsidRPr="00EA0DD7">
        <w:rPr>
          <w:rFonts w:asciiTheme="majorBidi" w:eastAsia="Times New Roman" w:hAnsiTheme="majorBidi" w:cstheme="majorBidi"/>
          <w:b/>
          <w:bCs/>
          <w:sz w:val="24"/>
          <w:szCs w:val="24"/>
          <w:bdr w:val="none" w:sz="0" w:space="0" w:color="auto" w:frame="1"/>
          <w:lang w:eastAsia="lv-LV"/>
        </w:rPr>
        <w:t>V. Sankciju piemērošana</w:t>
      </w:r>
    </w:p>
    <w:p w14:paraId="40DC6354" w14:textId="77777777" w:rsidR="00EA0DD7" w:rsidRDefault="00EA0DD7" w:rsidP="00EA0DD7">
      <w:pPr>
        <w:spacing w:after="0" w:line="240" w:lineRule="auto"/>
        <w:jc w:val="both"/>
        <w:rPr>
          <w:rFonts w:asciiTheme="majorBidi" w:eastAsia="Times New Roman" w:hAnsiTheme="majorBidi" w:cstheme="majorBidi"/>
          <w:sz w:val="24"/>
          <w:szCs w:val="24"/>
          <w:bdr w:val="none" w:sz="0" w:space="0" w:color="auto" w:frame="1"/>
          <w:lang w:eastAsia="lv-LV"/>
        </w:rPr>
      </w:pPr>
    </w:p>
    <w:p w14:paraId="1D901E2C" w14:textId="614C22B5" w:rsidR="008B4ADE" w:rsidRPr="00EA0DD7" w:rsidRDefault="008B4ADE" w:rsidP="00EA0DD7">
      <w:pPr>
        <w:spacing w:after="0" w:line="240" w:lineRule="auto"/>
        <w:jc w:val="both"/>
        <w:rPr>
          <w:rFonts w:asciiTheme="majorBidi" w:eastAsia="Times New Roman" w:hAnsiTheme="majorBidi" w:cstheme="majorBidi"/>
          <w:sz w:val="24"/>
          <w:szCs w:val="24"/>
          <w:lang w:eastAsia="lv-LV"/>
        </w:rPr>
      </w:pPr>
      <w:r w:rsidRPr="00EA0DD7">
        <w:rPr>
          <w:rFonts w:asciiTheme="majorBidi" w:eastAsia="Times New Roman" w:hAnsiTheme="majorBidi" w:cstheme="majorBidi"/>
          <w:sz w:val="24"/>
          <w:szCs w:val="24"/>
          <w:bdr w:val="none" w:sz="0" w:space="0" w:color="auto" w:frame="1"/>
          <w:lang w:eastAsia="lv-LV"/>
        </w:rPr>
        <w:t>1</w:t>
      </w:r>
      <w:r w:rsidR="002F4A9B" w:rsidRPr="00EA0DD7">
        <w:rPr>
          <w:rFonts w:asciiTheme="majorBidi" w:eastAsia="Times New Roman" w:hAnsiTheme="majorBidi" w:cstheme="majorBidi"/>
          <w:sz w:val="24"/>
          <w:szCs w:val="24"/>
          <w:bdr w:val="none" w:sz="0" w:space="0" w:color="auto" w:frame="1"/>
          <w:lang w:eastAsia="lv-LV"/>
        </w:rPr>
        <w:t>9</w:t>
      </w:r>
      <w:r w:rsidRPr="00EA0DD7">
        <w:rPr>
          <w:rFonts w:asciiTheme="majorBidi" w:eastAsia="Times New Roman" w:hAnsiTheme="majorBidi" w:cstheme="majorBidi"/>
          <w:sz w:val="24"/>
          <w:szCs w:val="24"/>
          <w:bdr w:val="none" w:sz="0" w:space="0" w:color="auto" w:frame="1"/>
          <w:lang w:eastAsia="lv-LV"/>
        </w:rPr>
        <w:t>.</w:t>
      </w:r>
      <w:r w:rsidRPr="00EA0DD7">
        <w:rPr>
          <w:rFonts w:asciiTheme="majorBidi" w:eastAsia="Times New Roman" w:hAnsiTheme="majorBidi" w:cstheme="majorBidi"/>
          <w:sz w:val="24"/>
          <w:szCs w:val="24"/>
          <w:lang w:eastAsia="lv-LV"/>
        </w:rPr>
        <w:t xml:space="preserve"> Latvijas Banka salīdzina respondenta rezervju konta Latvijas Bankā dienas beigu vidējo atlikumu ar respondenta iesniegto aprēķināto rezervju prasību summu. Latvijas Banka informē respondentu par rezervju prasību neizpildi un atbilstošo ECB piemēroto sankciju, nosūtot vēstuli.</w:t>
      </w:r>
    </w:p>
    <w:p w14:paraId="76AB6826" w14:textId="77777777" w:rsidR="00EA0DD7" w:rsidRDefault="00EA0DD7" w:rsidP="00EA0DD7">
      <w:pPr>
        <w:spacing w:after="0" w:line="240" w:lineRule="auto"/>
        <w:jc w:val="both"/>
        <w:rPr>
          <w:rFonts w:asciiTheme="majorBidi" w:eastAsia="Times New Roman" w:hAnsiTheme="majorBidi" w:cstheme="majorBidi"/>
          <w:sz w:val="24"/>
          <w:szCs w:val="24"/>
          <w:lang w:eastAsia="lv-LV"/>
        </w:rPr>
      </w:pPr>
    </w:p>
    <w:p w14:paraId="3CE24325" w14:textId="7CD8980E" w:rsidR="008B4ADE" w:rsidRDefault="002F4A9B" w:rsidP="00EA0DD7">
      <w:pPr>
        <w:spacing w:after="0" w:line="240" w:lineRule="auto"/>
        <w:jc w:val="both"/>
        <w:rPr>
          <w:rFonts w:asciiTheme="majorBidi" w:hAnsiTheme="majorBidi" w:cstheme="majorBidi"/>
          <w:sz w:val="24"/>
          <w:szCs w:val="24"/>
        </w:rPr>
      </w:pPr>
      <w:r w:rsidRPr="00EA0DD7">
        <w:rPr>
          <w:rFonts w:asciiTheme="majorBidi" w:eastAsia="Times New Roman" w:hAnsiTheme="majorBidi" w:cstheme="majorBidi"/>
          <w:sz w:val="24"/>
          <w:szCs w:val="24"/>
          <w:lang w:eastAsia="lv-LV"/>
        </w:rPr>
        <w:t>20</w:t>
      </w:r>
      <w:r w:rsidR="008B4ADE" w:rsidRPr="00EA0DD7">
        <w:rPr>
          <w:rFonts w:asciiTheme="majorBidi" w:eastAsia="Times New Roman" w:hAnsiTheme="majorBidi" w:cstheme="majorBidi"/>
          <w:sz w:val="24"/>
          <w:szCs w:val="24"/>
          <w:lang w:eastAsia="lv-LV"/>
        </w:rPr>
        <w:t xml:space="preserve">. ECB pilnvaras piemērot sankcijas, kad konstatēta rezervju prasību neizpilde, nosaka ECB 1999. gada 23. septembra Regula Nr. 2157/1999 par ECB pilnvarām piemērot sankcijas (sk. </w:t>
      </w:r>
      <w:r w:rsidR="006E3467" w:rsidRPr="00EA0DD7">
        <w:rPr>
          <w:rFonts w:asciiTheme="majorBidi" w:eastAsia="Times New Roman" w:hAnsiTheme="majorBidi" w:cstheme="majorBidi"/>
          <w:sz w:val="24"/>
          <w:szCs w:val="24"/>
          <w:lang w:eastAsia="lv-LV"/>
        </w:rPr>
        <w:t>Eiropas Savienības tiesību elektroniskajā datubāzē</w:t>
      </w:r>
      <w:r w:rsidR="008B4ADE" w:rsidRPr="00EA0DD7">
        <w:rPr>
          <w:rFonts w:asciiTheme="majorBidi" w:eastAsia="Times New Roman" w:hAnsiTheme="majorBidi" w:cstheme="majorBidi"/>
          <w:sz w:val="24"/>
          <w:szCs w:val="24"/>
          <w:lang w:eastAsia="lv-LV"/>
        </w:rPr>
        <w:t>: </w:t>
      </w:r>
      <w:hyperlink r:id="rId19" w:history="1">
        <w:r w:rsidR="006E3467" w:rsidRPr="00EA0DD7">
          <w:rPr>
            <w:rStyle w:val="Hyperlink"/>
            <w:rFonts w:asciiTheme="majorBidi" w:hAnsiTheme="majorBidi" w:cstheme="majorBidi"/>
            <w:sz w:val="24"/>
            <w:szCs w:val="24"/>
          </w:rPr>
          <w:t>EUR-</w:t>
        </w:r>
        <w:proofErr w:type="spellStart"/>
        <w:r w:rsidR="006E3467" w:rsidRPr="00EA0DD7">
          <w:rPr>
            <w:rStyle w:val="Hyperlink"/>
            <w:rFonts w:asciiTheme="majorBidi" w:hAnsiTheme="majorBidi" w:cstheme="majorBidi"/>
            <w:sz w:val="24"/>
            <w:szCs w:val="24"/>
          </w:rPr>
          <w:t>Lex</w:t>
        </w:r>
        <w:proofErr w:type="spellEnd"/>
        <w:r w:rsidR="006E3467" w:rsidRPr="00EA0DD7">
          <w:rPr>
            <w:rStyle w:val="Hyperlink"/>
            <w:rFonts w:asciiTheme="majorBidi" w:hAnsiTheme="majorBidi" w:cstheme="majorBidi"/>
            <w:sz w:val="24"/>
            <w:szCs w:val="24"/>
          </w:rPr>
          <w:t xml:space="preserve"> - 31999R2157 - EN - EUR-</w:t>
        </w:r>
        <w:proofErr w:type="spellStart"/>
        <w:r w:rsidR="006E3467" w:rsidRPr="00EA0DD7">
          <w:rPr>
            <w:rStyle w:val="Hyperlink"/>
            <w:rFonts w:asciiTheme="majorBidi" w:hAnsiTheme="majorBidi" w:cstheme="majorBidi"/>
            <w:sz w:val="24"/>
            <w:szCs w:val="24"/>
          </w:rPr>
          <w:t>Lex</w:t>
        </w:r>
        <w:proofErr w:type="spellEnd"/>
        <w:r w:rsidR="006E3467" w:rsidRPr="00EA0DD7">
          <w:rPr>
            <w:rStyle w:val="Hyperlink"/>
            <w:rFonts w:asciiTheme="majorBidi" w:hAnsiTheme="majorBidi" w:cstheme="majorBidi"/>
            <w:sz w:val="24"/>
            <w:szCs w:val="24"/>
          </w:rPr>
          <w:t xml:space="preserve"> (</w:t>
        </w:r>
        <w:proofErr w:type="spellStart"/>
        <w:r w:rsidR="006E3467" w:rsidRPr="00EA0DD7">
          <w:rPr>
            <w:rStyle w:val="Hyperlink"/>
            <w:rFonts w:asciiTheme="majorBidi" w:hAnsiTheme="majorBidi" w:cstheme="majorBidi"/>
            <w:sz w:val="24"/>
            <w:szCs w:val="24"/>
          </w:rPr>
          <w:t>europa.eu</w:t>
        </w:r>
        <w:proofErr w:type="spellEnd"/>
        <w:r w:rsidR="006E3467" w:rsidRPr="00EA0DD7">
          <w:rPr>
            <w:rStyle w:val="Hyperlink"/>
            <w:rFonts w:asciiTheme="majorBidi" w:hAnsiTheme="majorBidi" w:cstheme="majorBidi"/>
            <w:sz w:val="24"/>
            <w:szCs w:val="24"/>
          </w:rPr>
          <w:t>)</w:t>
        </w:r>
      </w:hyperlink>
      <w:r w:rsidR="006E3467" w:rsidRPr="00EA0DD7">
        <w:rPr>
          <w:rFonts w:asciiTheme="majorBidi" w:hAnsiTheme="majorBidi" w:cstheme="majorBidi"/>
          <w:sz w:val="24"/>
          <w:szCs w:val="24"/>
        </w:rPr>
        <w:t>).</w:t>
      </w:r>
    </w:p>
    <w:p w14:paraId="03EBDB28" w14:textId="77777777" w:rsidR="00EA0DD7" w:rsidRPr="00EA0DD7" w:rsidRDefault="00EA0DD7" w:rsidP="00EA0DD7">
      <w:pPr>
        <w:spacing w:after="0" w:line="240" w:lineRule="auto"/>
        <w:jc w:val="both"/>
        <w:rPr>
          <w:rFonts w:asciiTheme="majorBidi" w:eastAsia="Times New Roman" w:hAnsiTheme="majorBidi" w:cstheme="majorBidi"/>
          <w:sz w:val="24"/>
          <w:szCs w:val="24"/>
          <w:lang w:eastAsia="lv-LV"/>
        </w:rPr>
      </w:pPr>
    </w:p>
    <w:p w14:paraId="4F36AF04" w14:textId="1014A904" w:rsidR="008B4ADE" w:rsidRDefault="008B4ADE" w:rsidP="00EA0DD7">
      <w:pPr>
        <w:spacing w:after="0" w:line="240" w:lineRule="auto"/>
        <w:jc w:val="both"/>
        <w:rPr>
          <w:rFonts w:asciiTheme="majorBidi" w:eastAsia="Times New Roman" w:hAnsiTheme="majorBidi" w:cstheme="majorBidi"/>
          <w:sz w:val="24"/>
          <w:szCs w:val="24"/>
          <w:lang w:eastAsia="lv-LV"/>
        </w:rPr>
      </w:pPr>
      <w:r w:rsidRPr="00EA0DD7">
        <w:rPr>
          <w:rFonts w:asciiTheme="majorBidi" w:eastAsia="Times New Roman" w:hAnsiTheme="majorBidi" w:cstheme="majorBidi"/>
          <w:sz w:val="24"/>
          <w:szCs w:val="24"/>
          <w:lang w:eastAsia="lv-LV"/>
        </w:rPr>
        <w:t>2</w:t>
      </w:r>
      <w:r w:rsidR="002F4A9B" w:rsidRPr="00EA0DD7">
        <w:rPr>
          <w:rFonts w:asciiTheme="majorBidi" w:eastAsia="Times New Roman" w:hAnsiTheme="majorBidi" w:cstheme="majorBidi"/>
          <w:sz w:val="24"/>
          <w:szCs w:val="24"/>
          <w:lang w:eastAsia="lv-LV"/>
        </w:rPr>
        <w:t>1</w:t>
      </w:r>
      <w:r w:rsidRPr="00EA0DD7">
        <w:rPr>
          <w:rFonts w:asciiTheme="majorBidi" w:eastAsia="Times New Roman" w:hAnsiTheme="majorBidi" w:cstheme="majorBidi"/>
          <w:sz w:val="24"/>
          <w:szCs w:val="24"/>
          <w:lang w:eastAsia="lv-LV"/>
        </w:rPr>
        <w:t xml:space="preserve">. Maksas par rezervju prasību neizpildi piemērošanu un aprēķināšanu nosaka </w:t>
      </w:r>
      <w:r w:rsidR="004E46FD" w:rsidRPr="00B775D2">
        <w:rPr>
          <w:rFonts w:asciiTheme="majorBidi" w:eastAsia="Times New Roman" w:hAnsiTheme="majorBidi" w:cstheme="majorBidi"/>
          <w:sz w:val="24"/>
          <w:szCs w:val="24"/>
          <w:lang w:eastAsia="lv-LV"/>
        </w:rPr>
        <w:t>ECB 2021. gada 7. oktobra lēmum</w:t>
      </w:r>
      <w:r w:rsidR="003E3B5B">
        <w:rPr>
          <w:rFonts w:asciiTheme="majorBidi" w:eastAsia="Times New Roman" w:hAnsiTheme="majorBidi" w:cstheme="majorBidi"/>
          <w:sz w:val="24"/>
          <w:szCs w:val="24"/>
          <w:lang w:eastAsia="lv-LV"/>
        </w:rPr>
        <w:t>s</w:t>
      </w:r>
      <w:r w:rsidR="004E46FD" w:rsidRPr="00B775D2">
        <w:rPr>
          <w:rFonts w:asciiTheme="majorBidi" w:eastAsia="Times New Roman" w:hAnsiTheme="majorBidi" w:cstheme="majorBidi"/>
          <w:sz w:val="24"/>
          <w:szCs w:val="24"/>
          <w:lang w:eastAsia="lv-LV"/>
        </w:rPr>
        <w:t xml:space="preserve"> </w:t>
      </w:r>
      <w:r w:rsidR="00DF2205">
        <w:rPr>
          <w:rFonts w:asciiTheme="majorBidi" w:eastAsia="Times New Roman" w:hAnsiTheme="majorBidi" w:cstheme="majorBidi"/>
          <w:sz w:val="24"/>
          <w:szCs w:val="24"/>
          <w:lang w:eastAsia="lv-LV"/>
        </w:rPr>
        <w:t xml:space="preserve">Nr. </w:t>
      </w:r>
      <w:r w:rsidR="00DF2205" w:rsidRPr="00B775D2">
        <w:rPr>
          <w:rFonts w:asciiTheme="majorBidi" w:eastAsia="Times New Roman" w:hAnsiTheme="majorBidi" w:cstheme="majorBidi"/>
          <w:sz w:val="24"/>
          <w:szCs w:val="24"/>
          <w:lang w:eastAsia="lv-LV"/>
        </w:rPr>
        <w:t>2021/1815</w:t>
      </w:r>
      <w:r w:rsidR="004E46FD" w:rsidRPr="00B775D2">
        <w:rPr>
          <w:rFonts w:asciiTheme="majorBidi" w:eastAsia="Times New Roman" w:hAnsiTheme="majorBidi" w:cstheme="majorBidi"/>
          <w:sz w:val="24"/>
          <w:szCs w:val="24"/>
          <w:lang w:eastAsia="lv-LV"/>
        </w:rPr>
        <w:t xml:space="preserve"> par metodiku, ko piemēro, lai aprēķinātu sankcijas par obligāto rezervju turēšanas prasību un ar tām saistīto obligāto rezervju prasību neievērošanu </w:t>
      </w:r>
      <w:r w:rsidRPr="00EA0DD7">
        <w:rPr>
          <w:rFonts w:asciiTheme="majorBidi" w:eastAsia="Times New Roman" w:hAnsiTheme="majorBidi" w:cstheme="majorBidi"/>
          <w:sz w:val="24"/>
          <w:szCs w:val="24"/>
          <w:lang w:eastAsia="lv-LV"/>
        </w:rPr>
        <w:t xml:space="preserve">(sk. </w:t>
      </w:r>
      <w:r w:rsidR="006E3467" w:rsidRPr="00EA0DD7">
        <w:rPr>
          <w:rFonts w:asciiTheme="majorBidi" w:eastAsia="Times New Roman" w:hAnsiTheme="majorBidi" w:cstheme="majorBidi"/>
          <w:sz w:val="24"/>
          <w:szCs w:val="24"/>
          <w:lang w:eastAsia="lv-LV"/>
        </w:rPr>
        <w:t>Eiropas Savienības tiesību elektroniskajā datubāzē</w:t>
      </w:r>
      <w:r w:rsidRPr="00EA0DD7">
        <w:rPr>
          <w:rFonts w:asciiTheme="majorBidi" w:eastAsia="Times New Roman" w:hAnsiTheme="majorBidi" w:cstheme="majorBidi"/>
          <w:sz w:val="24"/>
          <w:szCs w:val="24"/>
          <w:lang w:eastAsia="lv-LV"/>
        </w:rPr>
        <w:t>: </w:t>
      </w:r>
      <w:hyperlink r:id="rId20" w:history="1">
        <w:r w:rsidR="00DF2205" w:rsidRPr="00B775D2">
          <w:rPr>
            <w:rStyle w:val="Hyperlink"/>
            <w:rFonts w:asciiTheme="majorBidi" w:hAnsiTheme="majorBidi" w:cstheme="majorBidi"/>
            <w:sz w:val="24"/>
            <w:szCs w:val="24"/>
          </w:rPr>
          <w:t>L_2021367LV.01000401.xml (</w:t>
        </w:r>
        <w:proofErr w:type="spellStart"/>
        <w:r w:rsidR="00DF2205" w:rsidRPr="00B775D2">
          <w:rPr>
            <w:rStyle w:val="Hyperlink"/>
            <w:rFonts w:asciiTheme="majorBidi" w:hAnsiTheme="majorBidi" w:cstheme="majorBidi"/>
            <w:sz w:val="24"/>
            <w:szCs w:val="24"/>
          </w:rPr>
          <w:t>europa.eu</w:t>
        </w:r>
        <w:proofErr w:type="spellEnd"/>
        <w:r w:rsidR="00DF2205" w:rsidRPr="00B775D2">
          <w:rPr>
            <w:rStyle w:val="Hyperlink"/>
            <w:rFonts w:asciiTheme="majorBidi" w:hAnsiTheme="majorBidi" w:cstheme="majorBidi"/>
            <w:sz w:val="24"/>
            <w:szCs w:val="24"/>
          </w:rPr>
          <w:t>)</w:t>
        </w:r>
      </w:hyperlink>
      <w:r w:rsidRPr="00EA0DD7">
        <w:rPr>
          <w:rFonts w:asciiTheme="majorBidi" w:eastAsia="Times New Roman" w:hAnsiTheme="majorBidi" w:cstheme="majorBidi"/>
          <w:sz w:val="24"/>
          <w:szCs w:val="24"/>
          <w:lang w:eastAsia="lv-LV"/>
        </w:rPr>
        <w:t>).</w:t>
      </w:r>
    </w:p>
    <w:p w14:paraId="4CD3A51A" w14:textId="77777777" w:rsidR="00EA0DD7" w:rsidRPr="00EA0DD7" w:rsidRDefault="00EA0DD7" w:rsidP="00EA0DD7">
      <w:pPr>
        <w:spacing w:after="0" w:line="240" w:lineRule="auto"/>
        <w:jc w:val="both"/>
        <w:rPr>
          <w:rFonts w:asciiTheme="majorBidi" w:eastAsia="Times New Roman" w:hAnsiTheme="majorBidi" w:cstheme="majorBidi"/>
          <w:sz w:val="24"/>
          <w:szCs w:val="24"/>
          <w:lang w:eastAsia="lv-LV"/>
        </w:rPr>
      </w:pPr>
    </w:p>
    <w:p w14:paraId="7FE51EB7" w14:textId="2BA99D15" w:rsidR="008B4ADE" w:rsidRDefault="008B4ADE" w:rsidP="00EA0DD7">
      <w:pPr>
        <w:spacing w:after="0" w:line="240" w:lineRule="auto"/>
        <w:jc w:val="both"/>
        <w:rPr>
          <w:rFonts w:asciiTheme="majorBidi" w:eastAsia="Times New Roman" w:hAnsiTheme="majorBidi" w:cstheme="majorBidi"/>
          <w:sz w:val="24"/>
          <w:szCs w:val="24"/>
          <w:lang w:eastAsia="lv-LV"/>
        </w:rPr>
      </w:pPr>
      <w:r w:rsidRPr="00EA0DD7">
        <w:rPr>
          <w:rFonts w:asciiTheme="majorBidi" w:eastAsia="Times New Roman" w:hAnsiTheme="majorBidi" w:cstheme="majorBidi"/>
          <w:sz w:val="24"/>
          <w:szCs w:val="24"/>
          <w:lang w:eastAsia="lv-LV"/>
        </w:rPr>
        <w:lastRenderedPageBreak/>
        <w:t>2</w:t>
      </w:r>
      <w:r w:rsidR="002F4A9B" w:rsidRPr="00EA0DD7">
        <w:rPr>
          <w:rFonts w:asciiTheme="majorBidi" w:eastAsia="Times New Roman" w:hAnsiTheme="majorBidi" w:cstheme="majorBidi"/>
          <w:sz w:val="24"/>
          <w:szCs w:val="24"/>
          <w:lang w:eastAsia="lv-LV"/>
        </w:rPr>
        <w:t>1</w:t>
      </w:r>
      <w:r w:rsidRPr="00EA0DD7">
        <w:rPr>
          <w:rFonts w:asciiTheme="majorBidi" w:eastAsia="Times New Roman" w:hAnsiTheme="majorBidi" w:cstheme="majorBidi"/>
          <w:sz w:val="24"/>
          <w:szCs w:val="24"/>
          <w:lang w:eastAsia="lv-LV"/>
        </w:rPr>
        <w:t xml:space="preserve">.1. Saskaņā ar </w:t>
      </w:r>
      <w:r w:rsidR="00EF6A01">
        <w:rPr>
          <w:rFonts w:asciiTheme="majorBidi" w:eastAsia="Times New Roman" w:hAnsiTheme="majorBidi" w:cstheme="majorBidi"/>
          <w:sz w:val="24"/>
          <w:szCs w:val="24"/>
          <w:lang w:eastAsia="lv-LV"/>
        </w:rPr>
        <w:t>iepriekš</w:t>
      </w:r>
      <w:r w:rsidRPr="00EA0DD7">
        <w:rPr>
          <w:rFonts w:asciiTheme="majorBidi" w:eastAsia="Times New Roman" w:hAnsiTheme="majorBidi" w:cstheme="majorBidi"/>
          <w:sz w:val="24"/>
          <w:szCs w:val="24"/>
          <w:lang w:eastAsia="lv-LV"/>
        </w:rPr>
        <w:t xml:space="preserve"> minēto </w:t>
      </w:r>
      <w:r w:rsidR="00EF6A01">
        <w:rPr>
          <w:rFonts w:asciiTheme="majorBidi" w:eastAsia="Times New Roman" w:hAnsiTheme="majorBidi" w:cstheme="majorBidi"/>
          <w:sz w:val="24"/>
          <w:szCs w:val="24"/>
          <w:lang w:eastAsia="lv-LV"/>
        </w:rPr>
        <w:t>lēmumu</w:t>
      </w:r>
      <w:r w:rsidR="00EF6A01" w:rsidRPr="00EA0DD7">
        <w:rPr>
          <w:rFonts w:asciiTheme="majorBidi" w:eastAsia="Times New Roman" w:hAnsiTheme="majorBidi" w:cstheme="majorBidi"/>
          <w:sz w:val="24"/>
          <w:szCs w:val="24"/>
          <w:lang w:eastAsia="lv-LV"/>
        </w:rPr>
        <w:t xml:space="preserve"> </w:t>
      </w:r>
      <w:r w:rsidRPr="00EA0DD7">
        <w:rPr>
          <w:rFonts w:asciiTheme="majorBidi" w:eastAsia="Times New Roman" w:hAnsiTheme="majorBidi" w:cstheme="majorBidi"/>
          <w:sz w:val="24"/>
          <w:szCs w:val="24"/>
          <w:lang w:eastAsia="lv-LV"/>
        </w:rPr>
        <w:t>ECB piemēro respondentam soda sankciju, ko aprēķina saskaņā ar šādu formulu:</w:t>
      </w:r>
    </w:p>
    <w:p w14:paraId="13D852C3" w14:textId="3EFC827F" w:rsidR="008B4ADE" w:rsidRPr="008B4ADE" w:rsidRDefault="008B4ADE" w:rsidP="006051D3">
      <w:pPr>
        <w:spacing w:after="0" w:line="360" w:lineRule="auto"/>
        <w:rPr>
          <w:rFonts w:ascii="Arial" w:eastAsia="Times New Roman" w:hAnsi="Arial" w:cs="Arial"/>
          <w:sz w:val="27"/>
          <w:szCs w:val="27"/>
          <w:lang w:eastAsia="lv-LV"/>
        </w:rPr>
      </w:pPr>
      <w:r w:rsidRPr="008B4ADE">
        <w:rPr>
          <w:rFonts w:ascii="Arial" w:eastAsia="Times New Roman" w:hAnsi="Arial" w:cs="Arial"/>
          <w:noProof/>
          <w:sz w:val="27"/>
          <w:szCs w:val="27"/>
          <w:bdr w:val="none" w:sz="0" w:space="0" w:color="auto" w:frame="1"/>
          <w:lang w:eastAsia="lv-LV"/>
        </w:rPr>
        <w:drawing>
          <wp:inline distT="0" distB="0" distL="0" distR="0" wp14:anchorId="28002268" wp14:editId="3E82E79F">
            <wp:extent cx="2080260" cy="693420"/>
            <wp:effectExtent l="0" t="0" r="0" b="0"/>
            <wp:docPr id="3" name="Picture 3" descr="Soda_apmera_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a_apmera_formul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0260" cy="693420"/>
                    </a:xfrm>
                    <a:prstGeom prst="rect">
                      <a:avLst/>
                    </a:prstGeom>
                    <a:noFill/>
                    <a:ln>
                      <a:noFill/>
                    </a:ln>
                  </pic:spPr>
                </pic:pic>
              </a:graphicData>
            </a:graphic>
          </wp:inline>
        </w:drawing>
      </w:r>
    </w:p>
    <w:p w14:paraId="6CEBB51D" w14:textId="77777777" w:rsidR="008B4ADE" w:rsidRPr="00EA0DD7" w:rsidRDefault="008B4ADE" w:rsidP="00EA0DD7">
      <w:pPr>
        <w:spacing w:after="0" w:line="240" w:lineRule="auto"/>
        <w:jc w:val="both"/>
        <w:rPr>
          <w:rFonts w:asciiTheme="majorBidi" w:eastAsia="Times New Roman" w:hAnsiTheme="majorBidi" w:cstheme="majorBidi"/>
          <w:sz w:val="24"/>
          <w:szCs w:val="24"/>
          <w:lang w:eastAsia="lv-LV"/>
        </w:rPr>
      </w:pPr>
      <w:r w:rsidRPr="00EA0DD7">
        <w:rPr>
          <w:rFonts w:asciiTheme="majorBidi" w:eastAsia="Times New Roman" w:hAnsiTheme="majorBidi" w:cstheme="majorBidi"/>
          <w:sz w:val="24"/>
          <w:szCs w:val="24"/>
          <w:lang w:eastAsia="lv-LV"/>
        </w:rPr>
        <w:t>kur:</w:t>
      </w:r>
    </w:p>
    <w:p w14:paraId="2990152B" w14:textId="77777777" w:rsidR="008B4ADE" w:rsidRPr="00EA0DD7" w:rsidRDefault="008B4ADE" w:rsidP="00EA0DD7">
      <w:pPr>
        <w:spacing w:after="0" w:line="240" w:lineRule="auto"/>
        <w:jc w:val="both"/>
        <w:rPr>
          <w:rFonts w:asciiTheme="majorBidi" w:eastAsia="Times New Roman" w:hAnsiTheme="majorBidi" w:cstheme="majorBidi"/>
          <w:sz w:val="24"/>
          <w:szCs w:val="24"/>
          <w:lang w:eastAsia="lv-LV"/>
        </w:rPr>
      </w:pPr>
      <w:proofErr w:type="spellStart"/>
      <w:r w:rsidRPr="00EA0DD7">
        <w:rPr>
          <w:rFonts w:asciiTheme="majorBidi" w:eastAsia="Times New Roman" w:hAnsiTheme="majorBidi" w:cstheme="majorBidi"/>
          <w:sz w:val="24"/>
          <w:szCs w:val="24"/>
          <w:lang w:eastAsia="lv-LV"/>
        </w:rPr>
        <w:t>P</w:t>
      </w:r>
      <w:r w:rsidRPr="00EA0DD7">
        <w:rPr>
          <w:rFonts w:asciiTheme="majorBidi" w:eastAsia="Times New Roman" w:hAnsiTheme="majorBidi" w:cstheme="majorBidi"/>
          <w:sz w:val="24"/>
          <w:szCs w:val="24"/>
          <w:bdr w:val="none" w:sz="0" w:space="0" w:color="auto" w:frame="1"/>
          <w:vertAlign w:val="subscript"/>
          <w:lang w:eastAsia="lv-LV"/>
        </w:rPr>
        <w:t>t</w:t>
      </w:r>
      <w:proofErr w:type="spellEnd"/>
      <w:r w:rsidRPr="00EA0DD7">
        <w:rPr>
          <w:rFonts w:asciiTheme="majorBidi" w:eastAsia="Times New Roman" w:hAnsiTheme="majorBidi" w:cstheme="majorBidi"/>
          <w:sz w:val="24"/>
          <w:szCs w:val="24"/>
          <w:lang w:eastAsia="lv-LV"/>
        </w:rPr>
        <w:t> – sods par rezervju prasību neizpildi t izpildes periodā;</w:t>
      </w:r>
    </w:p>
    <w:p w14:paraId="1788E160" w14:textId="77777777" w:rsidR="008B4ADE" w:rsidRPr="00EA0DD7" w:rsidRDefault="008B4ADE" w:rsidP="00EA0DD7">
      <w:pPr>
        <w:spacing w:after="0" w:line="240" w:lineRule="auto"/>
        <w:jc w:val="both"/>
        <w:rPr>
          <w:rFonts w:asciiTheme="majorBidi" w:eastAsia="Times New Roman" w:hAnsiTheme="majorBidi" w:cstheme="majorBidi"/>
          <w:sz w:val="24"/>
          <w:szCs w:val="24"/>
          <w:lang w:eastAsia="lv-LV"/>
        </w:rPr>
      </w:pPr>
      <w:proofErr w:type="spellStart"/>
      <w:r w:rsidRPr="00EA0DD7">
        <w:rPr>
          <w:rFonts w:asciiTheme="majorBidi" w:eastAsia="Times New Roman" w:hAnsiTheme="majorBidi" w:cstheme="majorBidi"/>
          <w:sz w:val="24"/>
          <w:szCs w:val="24"/>
          <w:lang w:eastAsia="lv-LV"/>
        </w:rPr>
        <w:t>D</w:t>
      </w:r>
      <w:r w:rsidRPr="00EA0DD7">
        <w:rPr>
          <w:rFonts w:asciiTheme="majorBidi" w:eastAsia="Times New Roman" w:hAnsiTheme="majorBidi" w:cstheme="majorBidi"/>
          <w:sz w:val="24"/>
          <w:szCs w:val="24"/>
          <w:bdr w:val="none" w:sz="0" w:space="0" w:color="auto" w:frame="1"/>
          <w:vertAlign w:val="subscript"/>
          <w:lang w:eastAsia="lv-LV"/>
        </w:rPr>
        <w:t>t</w:t>
      </w:r>
      <w:proofErr w:type="spellEnd"/>
      <w:r w:rsidRPr="00EA0DD7">
        <w:rPr>
          <w:rFonts w:asciiTheme="majorBidi" w:eastAsia="Times New Roman" w:hAnsiTheme="majorBidi" w:cstheme="majorBidi"/>
          <w:sz w:val="24"/>
          <w:szCs w:val="24"/>
          <w:lang w:eastAsia="lv-LV"/>
        </w:rPr>
        <w:t> – rezervju prasību neizpildes apjoms t izpildes periodā (vidēji dienā);</w:t>
      </w:r>
    </w:p>
    <w:p w14:paraId="793ACFAD" w14:textId="77777777" w:rsidR="008B4ADE" w:rsidRPr="00EA0DD7" w:rsidRDefault="008B4ADE" w:rsidP="00EA0DD7">
      <w:pPr>
        <w:spacing w:after="0" w:line="240" w:lineRule="auto"/>
        <w:jc w:val="both"/>
        <w:rPr>
          <w:rFonts w:asciiTheme="majorBidi" w:eastAsia="Times New Roman" w:hAnsiTheme="majorBidi" w:cstheme="majorBidi"/>
          <w:sz w:val="24"/>
          <w:szCs w:val="24"/>
          <w:lang w:eastAsia="lv-LV"/>
        </w:rPr>
      </w:pPr>
      <w:r w:rsidRPr="00EA0DD7">
        <w:rPr>
          <w:rFonts w:asciiTheme="majorBidi" w:eastAsia="Times New Roman" w:hAnsiTheme="majorBidi" w:cstheme="majorBidi"/>
          <w:sz w:val="24"/>
          <w:szCs w:val="24"/>
          <w:lang w:eastAsia="lv-LV"/>
        </w:rPr>
        <w:t>n</w:t>
      </w:r>
      <w:r w:rsidRPr="00EA0DD7">
        <w:rPr>
          <w:rFonts w:asciiTheme="majorBidi" w:eastAsia="Times New Roman" w:hAnsiTheme="majorBidi" w:cstheme="majorBidi"/>
          <w:sz w:val="24"/>
          <w:szCs w:val="24"/>
          <w:bdr w:val="none" w:sz="0" w:space="0" w:color="auto" w:frame="1"/>
          <w:vertAlign w:val="subscript"/>
          <w:lang w:eastAsia="lv-LV"/>
        </w:rPr>
        <w:t>t </w:t>
      </w:r>
      <w:r w:rsidRPr="00EA0DD7">
        <w:rPr>
          <w:rFonts w:asciiTheme="majorBidi" w:eastAsia="Times New Roman" w:hAnsiTheme="majorBidi" w:cstheme="majorBidi"/>
          <w:sz w:val="24"/>
          <w:szCs w:val="24"/>
          <w:lang w:eastAsia="lv-LV"/>
        </w:rPr>
        <w:t>– kalendāro dienu skaits t izpildes periodā;</w:t>
      </w:r>
    </w:p>
    <w:p w14:paraId="603E1BB4" w14:textId="77777777" w:rsidR="008B4ADE" w:rsidRPr="00EA0DD7" w:rsidRDefault="008B4ADE" w:rsidP="00EA0DD7">
      <w:pPr>
        <w:spacing w:after="0" w:line="240" w:lineRule="auto"/>
        <w:jc w:val="both"/>
        <w:rPr>
          <w:rFonts w:asciiTheme="majorBidi" w:eastAsia="Times New Roman" w:hAnsiTheme="majorBidi" w:cstheme="majorBidi"/>
          <w:sz w:val="24"/>
          <w:szCs w:val="24"/>
          <w:lang w:eastAsia="lv-LV"/>
        </w:rPr>
      </w:pPr>
      <w:r w:rsidRPr="00EA0DD7">
        <w:rPr>
          <w:rFonts w:asciiTheme="majorBidi" w:eastAsia="Times New Roman" w:hAnsiTheme="majorBidi" w:cstheme="majorBidi"/>
          <w:sz w:val="24"/>
          <w:szCs w:val="24"/>
          <w:lang w:eastAsia="lv-LV"/>
        </w:rPr>
        <w:t>i – t izpildes perioda i kalendārā diena;</w:t>
      </w:r>
    </w:p>
    <w:p w14:paraId="49B9ABF8" w14:textId="77777777" w:rsidR="008B4ADE" w:rsidRPr="00EA0DD7" w:rsidRDefault="008B4ADE" w:rsidP="00EA0DD7">
      <w:pPr>
        <w:spacing w:after="0" w:line="240" w:lineRule="auto"/>
        <w:jc w:val="both"/>
        <w:rPr>
          <w:rFonts w:asciiTheme="majorBidi" w:eastAsia="Times New Roman" w:hAnsiTheme="majorBidi" w:cstheme="majorBidi"/>
          <w:sz w:val="24"/>
          <w:szCs w:val="24"/>
          <w:lang w:eastAsia="lv-LV"/>
        </w:rPr>
      </w:pPr>
      <w:proofErr w:type="spellStart"/>
      <w:r w:rsidRPr="00EA0DD7">
        <w:rPr>
          <w:rFonts w:asciiTheme="majorBidi" w:eastAsia="Times New Roman" w:hAnsiTheme="majorBidi" w:cstheme="majorBidi"/>
          <w:sz w:val="24"/>
          <w:szCs w:val="24"/>
          <w:lang w:eastAsia="lv-LV"/>
        </w:rPr>
        <w:t>MLR</w:t>
      </w:r>
      <w:r w:rsidRPr="00EA0DD7">
        <w:rPr>
          <w:rFonts w:asciiTheme="majorBidi" w:eastAsia="Times New Roman" w:hAnsiTheme="majorBidi" w:cstheme="majorBidi"/>
          <w:sz w:val="24"/>
          <w:szCs w:val="24"/>
          <w:bdr w:val="none" w:sz="0" w:space="0" w:color="auto" w:frame="1"/>
          <w:vertAlign w:val="subscript"/>
          <w:lang w:eastAsia="lv-LV"/>
        </w:rPr>
        <w:t>i</w:t>
      </w:r>
      <w:proofErr w:type="spellEnd"/>
      <w:r w:rsidRPr="00EA0DD7">
        <w:rPr>
          <w:rFonts w:asciiTheme="majorBidi" w:eastAsia="Times New Roman" w:hAnsiTheme="majorBidi" w:cstheme="majorBidi"/>
          <w:sz w:val="24"/>
          <w:szCs w:val="24"/>
          <w:lang w:eastAsia="lv-LV"/>
        </w:rPr>
        <w:t> – i dienas aizdevumu iespējas uz nakti procentu likme.</w:t>
      </w:r>
    </w:p>
    <w:p w14:paraId="18936891" w14:textId="77777777" w:rsidR="00EA0DD7" w:rsidRDefault="00EA0DD7" w:rsidP="00EA0DD7">
      <w:pPr>
        <w:spacing w:after="0" w:line="240" w:lineRule="auto"/>
        <w:jc w:val="both"/>
        <w:rPr>
          <w:rFonts w:asciiTheme="majorBidi" w:eastAsia="Times New Roman" w:hAnsiTheme="majorBidi" w:cstheme="majorBidi"/>
          <w:sz w:val="24"/>
          <w:szCs w:val="24"/>
          <w:lang w:eastAsia="lv-LV"/>
        </w:rPr>
      </w:pPr>
    </w:p>
    <w:p w14:paraId="71615078" w14:textId="0247785B" w:rsidR="00D64C5E" w:rsidRPr="00EA0DD7" w:rsidRDefault="008B4ADE" w:rsidP="00EA0DD7">
      <w:pPr>
        <w:spacing w:after="0" w:line="240" w:lineRule="auto"/>
        <w:jc w:val="both"/>
        <w:rPr>
          <w:rFonts w:asciiTheme="majorBidi" w:eastAsia="Times New Roman" w:hAnsiTheme="majorBidi" w:cstheme="majorBidi"/>
          <w:sz w:val="24"/>
          <w:szCs w:val="24"/>
          <w:lang w:eastAsia="lv-LV"/>
        </w:rPr>
      </w:pPr>
      <w:r w:rsidRPr="00EA0DD7">
        <w:rPr>
          <w:rFonts w:asciiTheme="majorBidi" w:eastAsia="Times New Roman" w:hAnsiTheme="majorBidi" w:cstheme="majorBidi"/>
          <w:sz w:val="24"/>
          <w:szCs w:val="24"/>
          <w:lang w:eastAsia="lv-LV"/>
        </w:rPr>
        <w:t>2</w:t>
      </w:r>
      <w:r w:rsidR="002F4A9B" w:rsidRPr="00EA0DD7">
        <w:rPr>
          <w:rFonts w:asciiTheme="majorBidi" w:eastAsia="Times New Roman" w:hAnsiTheme="majorBidi" w:cstheme="majorBidi"/>
          <w:sz w:val="24"/>
          <w:szCs w:val="24"/>
          <w:lang w:eastAsia="lv-LV"/>
        </w:rPr>
        <w:t>1</w:t>
      </w:r>
      <w:r w:rsidRPr="00EA0DD7">
        <w:rPr>
          <w:rFonts w:asciiTheme="majorBidi" w:eastAsia="Times New Roman" w:hAnsiTheme="majorBidi" w:cstheme="majorBidi"/>
          <w:sz w:val="24"/>
          <w:szCs w:val="24"/>
          <w:lang w:eastAsia="lv-LV"/>
        </w:rPr>
        <w:t>.2. Ja respondents neizpilda rezervju prasības vairāk nekā divas reizes 12 mēnešu periodā, tas tiek uzskatīts par atkārtotu pārkāpumu. Par katru atkārtotu pārkāpumu piemēro soda sankciju, ko aprēķina saskaņā ar šā ceļveža 2</w:t>
      </w:r>
      <w:r w:rsidR="002F4A9B" w:rsidRPr="00EA0DD7">
        <w:rPr>
          <w:rFonts w:asciiTheme="majorBidi" w:eastAsia="Times New Roman" w:hAnsiTheme="majorBidi" w:cstheme="majorBidi"/>
          <w:sz w:val="24"/>
          <w:szCs w:val="24"/>
          <w:lang w:eastAsia="lv-LV"/>
        </w:rPr>
        <w:t>1</w:t>
      </w:r>
      <w:r w:rsidRPr="00EA0DD7">
        <w:rPr>
          <w:rFonts w:asciiTheme="majorBidi" w:eastAsia="Times New Roman" w:hAnsiTheme="majorBidi" w:cstheme="majorBidi"/>
          <w:sz w:val="24"/>
          <w:szCs w:val="24"/>
          <w:lang w:eastAsia="lv-LV"/>
        </w:rPr>
        <w:t>.1. apakšpunktā minēto formulu, skaitli 2.5 tajā aizstājot ar skaitli 5.0.</w:t>
      </w:r>
    </w:p>
    <w:sectPr w:rsidR="00D64C5E" w:rsidRPr="00EA0D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828A5" w14:textId="77777777" w:rsidR="008A7FF5" w:rsidRDefault="008A7FF5" w:rsidP="00902B84">
      <w:pPr>
        <w:spacing w:after="0" w:line="240" w:lineRule="auto"/>
      </w:pPr>
      <w:r>
        <w:separator/>
      </w:r>
    </w:p>
  </w:endnote>
  <w:endnote w:type="continuationSeparator" w:id="0">
    <w:p w14:paraId="722CC4C7" w14:textId="77777777" w:rsidR="008A7FF5" w:rsidRDefault="008A7FF5" w:rsidP="00902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CEE0" w14:textId="77777777" w:rsidR="008A7FF5" w:rsidRDefault="008A7FF5" w:rsidP="00902B84">
      <w:pPr>
        <w:spacing w:after="0" w:line="240" w:lineRule="auto"/>
      </w:pPr>
      <w:r>
        <w:separator/>
      </w:r>
    </w:p>
  </w:footnote>
  <w:footnote w:type="continuationSeparator" w:id="0">
    <w:p w14:paraId="54FD3784" w14:textId="77777777" w:rsidR="008A7FF5" w:rsidRDefault="008A7FF5" w:rsidP="00902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04F18"/>
    <w:multiLevelType w:val="multilevel"/>
    <w:tmpl w:val="0CAEB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123E5D"/>
    <w:multiLevelType w:val="multilevel"/>
    <w:tmpl w:val="49EE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8146713">
    <w:abstractNumId w:val="1"/>
  </w:num>
  <w:num w:numId="2" w16cid:durableId="155631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DE"/>
    <w:rsid w:val="000D5D59"/>
    <w:rsid w:val="0010360F"/>
    <w:rsid w:val="00104296"/>
    <w:rsid w:val="00105B9D"/>
    <w:rsid w:val="00154939"/>
    <w:rsid w:val="001845A2"/>
    <w:rsid w:val="00211934"/>
    <w:rsid w:val="00212F36"/>
    <w:rsid w:val="00213BAC"/>
    <w:rsid w:val="0022777C"/>
    <w:rsid w:val="00267152"/>
    <w:rsid w:val="002712CB"/>
    <w:rsid w:val="002A6145"/>
    <w:rsid w:val="002F4A9B"/>
    <w:rsid w:val="00376802"/>
    <w:rsid w:val="003A7121"/>
    <w:rsid w:val="003C1E2A"/>
    <w:rsid w:val="003D4E29"/>
    <w:rsid w:val="003D5C9A"/>
    <w:rsid w:val="003E2B9E"/>
    <w:rsid w:val="003E3B5B"/>
    <w:rsid w:val="003F72D2"/>
    <w:rsid w:val="00404A3C"/>
    <w:rsid w:val="00422375"/>
    <w:rsid w:val="00451906"/>
    <w:rsid w:val="00487D8A"/>
    <w:rsid w:val="004C3ECB"/>
    <w:rsid w:val="004E2B97"/>
    <w:rsid w:val="004E46FD"/>
    <w:rsid w:val="005271B9"/>
    <w:rsid w:val="0056787A"/>
    <w:rsid w:val="00576C47"/>
    <w:rsid w:val="005D2635"/>
    <w:rsid w:val="005E126B"/>
    <w:rsid w:val="006051D3"/>
    <w:rsid w:val="00641847"/>
    <w:rsid w:val="00676779"/>
    <w:rsid w:val="006E3467"/>
    <w:rsid w:val="0076484B"/>
    <w:rsid w:val="007B27F4"/>
    <w:rsid w:val="007B2B44"/>
    <w:rsid w:val="007C71B7"/>
    <w:rsid w:val="00855B78"/>
    <w:rsid w:val="008A7FF5"/>
    <w:rsid w:val="008B4ADE"/>
    <w:rsid w:val="008C2F1F"/>
    <w:rsid w:val="008D0283"/>
    <w:rsid w:val="008E759B"/>
    <w:rsid w:val="00902B84"/>
    <w:rsid w:val="009443B1"/>
    <w:rsid w:val="00955EA7"/>
    <w:rsid w:val="009F192F"/>
    <w:rsid w:val="00A43D29"/>
    <w:rsid w:val="00B05283"/>
    <w:rsid w:val="00B70810"/>
    <w:rsid w:val="00B775D2"/>
    <w:rsid w:val="00BF5841"/>
    <w:rsid w:val="00C969B6"/>
    <w:rsid w:val="00CB04A6"/>
    <w:rsid w:val="00D5673F"/>
    <w:rsid w:val="00D63411"/>
    <w:rsid w:val="00D64C5E"/>
    <w:rsid w:val="00D9383B"/>
    <w:rsid w:val="00DF2205"/>
    <w:rsid w:val="00E64230"/>
    <w:rsid w:val="00EA0DD7"/>
    <w:rsid w:val="00EC0A92"/>
    <w:rsid w:val="00EE532F"/>
    <w:rsid w:val="00EF6A01"/>
    <w:rsid w:val="00F12E28"/>
    <w:rsid w:val="00F21638"/>
    <w:rsid w:val="00F428E5"/>
    <w:rsid w:val="00F76B69"/>
    <w:rsid w:val="00FB5295"/>
    <w:rsid w:val="00FE0F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A3750"/>
  <w15:chartTrackingRefBased/>
  <w15:docId w15:val="{07CDED40-4B79-4753-A12C-7CB2E687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4A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link w:val="Heading2Char"/>
    <w:uiPriority w:val="9"/>
    <w:qFormat/>
    <w:rsid w:val="008B4ADE"/>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link w:val="Heading3Char"/>
    <w:uiPriority w:val="9"/>
    <w:qFormat/>
    <w:rsid w:val="008B4ADE"/>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8B4ADE"/>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paragraph" w:styleId="Heading5">
    <w:name w:val="heading 5"/>
    <w:basedOn w:val="Normal"/>
    <w:link w:val="Heading5Char"/>
    <w:uiPriority w:val="9"/>
    <w:qFormat/>
    <w:rsid w:val="008B4ADE"/>
    <w:pPr>
      <w:spacing w:before="100" w:beforeAutospacing="1" w:after="100" w:afterAutospacing="1" w:line="240" w:lineRule="auto"/>
      <w:outlineLvl w:val="4"/>
    </w:pPr>
    <w:rPr>
      <w:rFonts w:ascii="Times New Roman" w:eastAsia="Times New Roman" w:hAnsi="Times New Roman" w:cs="Times New Roman"/>
      <w:b/>
      <w:bCs/>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ADE"/>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8B4ADE"/>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rsid w:val="008B4ADE"/>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8B4ADE"/>
    <w:rPr>
      <w:rFonts w:ascii="Times New Roman" w:eastAsia="Times New Roman" w:hAnsi="Times New Roman" w:cs="Times New Roman"/>
      <w:b/>
      <w:bCs/>
      <w:sz w:val="24"/>
      <w:szCs w:val="24"/>
      <w:lang w:eastAsia="lv-LV"/>
    </w:rPr>
  </w:style>
  <w:style w:type="character" w:customStyle="1" w:styleId="Heading5Char">
    <w:name w:val="Heading 5 Char"/>
    <w:basedOn w:val="DefaultParagraphFont"/>
    <w:link w:val="Heading5"/>
    <w:uiPriority w:val="9"/>
    <w:rsid w:val="008B4ADE"/>
    <w:rPr>
      <w:rFonts w:ascii="Times New Roman" w:eastAsia="Times New Roman" w:hAnsi="Times New Roman" w:cs="Times New Roman"/>
      <w:b/>
      <w:bCs/>
      <w:sz w:val="20"/>
      <w:szCs w:val="20"/>
      <w:lang w:eastAsia="lv-LV"/>
    </w:rPr>
  </w:style>
  <w:style w:type="character" w:styleId="Hyperlink">
    <w:name w:val="Hyperlink"/>
    <w:basedOn w:val="DefaultParagraphFont"/>
    <w:unhideWhenUsed/>
    <w:rsid w:val="008B4ADE"/>
    <w:rPr>
      <w:color w:val="0000FF"/>
      <w:u w:val="single"/>
    </w:rPr>
  </w:style>
  <w:style w:type="character" w:customStyle="1" w:styleId="text">
    <w:name w:val="text"/>
    <w:basedOn w:val="DefaultParagraphFont"/>
    <w:rsid w:val="008B4ADE"/>
  </w:style>
  <w:style w:type="character" w:customStyle="1" w:styleId="publish-date">
    <w:name w:val="publish-date"/>
    <w:basedOn w:val="DefaultParagraphFont"/>
    <w:rsid w:val="008B4ADE"/>
  </w:style>
  <w:style w:type="paragraph" w:styleId="NormalWeb">
    <w:name w:val="Normal (Web)"/>
    <w:basedOn w:val="Normal"/>
    <w:uiPriority w:val="99"/>
    <w:semiHidden/>
    <w:unhideWhenUsed/>
    <w:rsid w:val="008B4AD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8B4ADE"/>
    <w:rPr>
      <w:b/>
      <w:bCs/>
    </w:rPr>
  </w:style>
  <w:style w:type="character" w:styleId="Emphasis">
    <w:name w:val="Emphasis"/>
    <w:basedOn w:val="DefaultParagraphFont"/>
    <w:uiPriority w:val="20"/>
    <w:qFormat/>
    <w:rsid w:val="008B4ADE"/>
    <w:rPr>
      <w:i/>
      <w:iCs/>
    </w:rPr>
  </w:style>
  <w:style w:type="paragraph" w:customStyle="1" w:styleId="parent">
    <w:name w:val="parent"/>
    <w:basedOn w:val="Normal"/>
    <w:rsid w:val="008B4AD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saukums1">
    <w:name w:val="Nosaukums1"/>
    <w:basedOn w:val="DefaultParagraphFont"/>
    <w:rsid w:val="008B4ADE"/>
  </w:style>
  <w:style w:type="paragraph" w:customStyle="1" w:styleId="link">
    <w:name w:val="link"/>
    <w:basedOn w:val="Normal"/>
    <w:rsid w:val="008B4AD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scription">
    <w:name w:val="description"/>
    <w:basedOn w:val="Normal"/>
    <w:rsid w:val="008B4AD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z-TopofForm">
    <w:name w:val="HTML Top of Form"/>
    <w:basedOn w:val="Normal"/>
    <w:next w:val="Normal"/>
    <w:link w:val="z-TopofFormChar"/>
    <w:hidden/>
    <w:uiPriority w:val="99"/>
    <w:semiHidden/>
    <w:unhideWhenUsed/>
    <w:rsid w:val="008B4ADE"/>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8B4ADE"/>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B4ADE"/>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semiHidden/>
    <w:rsid w:val="008B4ADE"/>
    <w:rPr>
      <w:rFonts w:ascii="Arial" w:eastAsia="Times New Roman" w:hAnsi="Arial" w:cs="Arial"/>
      <w:vanish/>
      <w:sz w:val="16"/>
      <w:szCs w:val="16"/>
      <w:lang w:eastAsia="lv-LV"/>
    </w:rPr>
  </w:style>
  <w:style w:type="character" w:styleId="CommentReference">
    <w:name w:val="annotation reference"/>
    <w:basedOn w:val="DefaultParagraphFont"/>
    <w:uiPriority w:val="99"/>
    <w:semiHidden/>
    <w:unhideWhenUsed/>
    <w:rsid w:val="00576C47"/>
    <w:rPr>
      <w:sz w:val="16"/>
      <w:szCs w:val="16"/>
    </w:rPr>
  </w:style>
  <w:style w:type="paragraph" w:styleId="CommentText">
    <w:name w:val="annotation text"/>
    <w:basedOn w:val="Normal"/>
    <w:link w:val="CommentTextChar"/>
    <w:uiPriority w:val="99"/>
    <w:unhideWhenUsed/>
    <w:rsid w:val="00576C47"/>
    <w:pPr>
      <w:spacing w:line="240" w:lineRule="auto"/>
    </w:pPr>
    <w:rPr>
      <w:sz w:val="20"/>
      <w:szCs w:val="20"/>
    </w:rPr>
  </w:style>
  <w:style w:type="character" w:customStyle="1" w:styleId="CommentTextChar">
    <w:name w:val="Comment Text Char"/>
    <w:basedOn w:val="DefaultParagraphFont"/>
    <w:link w:val="CommentText"/>
    <w:uiPriority w:val="99"/>
    <w:rsid w:val="00576C47"/>
    <w:rPr>
      <w:sz w:val="20"/>
      <w:szCs w:val="20"/>
    </w:rPr>
  </w:style>
  <w:style w:type="paragraph" w:styleId="CommentSubject">
    <w:name w:val="annotation subject"/>
    <w:basedOn w:val="CommentText"/>
    <w:next w:val="CommentText"/>
    <w:link w:val="CommentSubjectChar"/>
    <w:uiPriority w:val="99"/>
    <w:semiHidden/>
    <w:unhideWhenUsed/>
    <w:rsid w:val="00576C47"/>
    <w:rPr>
      <w:b/>
      <w:bCs/>
    </w:rPr>
  </w:style>
  <w:style w:type="character" w:customStyle="1" w:styleId="CommentSubjectChar">
    <w:name w:val="Comment Subject Char"/>
    <w:basedOn w:val="CommentTextChar"/>
    <w:link w:val="CommentSubject"/>
    <w:uiPriority w:val="99"/>
    <w:semiHidden/>
    <w:rsid w:val="00576C47"/>
    <w:rPr>
      <w:b/>
      <w:bCs/>
      <w:sz w:val="20"/>
      <w:szCs w:val="20"/>
    </w:rPr>
  </w:style>
  <w:style w:type="paragraph" w:styleId="Revision">
    <w:name w:val="Revision"/>
    <w:hidden/>
    <w:uiPriority w:val="99"/>
    <w:semiHidden/>
    <w:rsid w:val="00576C47"/>
    <w:pPr>
      <w:spacing w:after="0" w:line="240" w:lineRule="auto"/>
    </w:pPr>
  </w:style>
  <w:style w:type="character" w:styleId="UnresolvedMention">
    <w:name w:val="Unresolved Mention"/>
    <w:basedOn w:val="DefaultParagraphFont"/>
    <w:uiPriority w:val="99"/>
    <w:semiHidden/>
    <w:unhideWhenUsed/>
    <w:rsid w:val="0076484B"/>
    <w:rPr>
      <w:color w:val="605E5C"/>
      <w:shd w:val="clear" w:color="auto" w:fill="E1DFDD"/>
    </w:rPr>
  </w:style>
  <w:style w:type="character" w:styleId="FollowedHyperlink">
    <w:name w:val="FollowedHyperlink"/>
    <w:basedOn w:val="DefaultParagraphFont"/>
    <w:uiPriority w:val="99"/>
    <w:semiHidden/>
    <w:unhideWhenUsed/>
    <w:rsid w:val="00902B84"/>
    <w:rPr>
      <w:color w:val="954F72" w:themeColor="followedHyperlink"/>
      <w:u w:val="single"/>
    </w:rPr>
  </w:style>
  <w:style w:type="paragraph" w:styleId="NoSpacing">
    <w:name w:val="No Spacing"/>
    <w:uiPriority w:val="1"/>
    <w:qFormat/>
    <w:rsid w:val="00955E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9348">
      <w:bodyDiv w:val="1"/>
      <w:marLeft w:val="0"/>
      <w:marRight w:val="0"/>
      <w:marTop w:val="0"/>
      <w:marBottom w:val="0"/>
      <w:divBdr>
        <w:top w:val="none" w:sz="0" w:space="0" w:color="auto"/>
        <w:left w:val="none" w:sz="0" w:space="0" w:color="auto"/>
        <w:bottom w:val="none" w:sz="0" w:space="0" w:color="auto"/>
        <w:right w:val="none" w:sz="0" w:space="0" w:color="auto"/>
      </w:divBdr>
    </w:div>
    <w:div w:id="250629326">
      <w:bodyDiv w:val="1"/>
      <w:marLeft w:val="0"/>
      <w:marRight w:val="0"/>
      <w:marTop w:val="0"/>
      <w:marBottom w:val="0"/>
      <w:divBdr>
        <w:top w:val="none" w:sz="0" w:space="0" w:color="auto"/>
        <w:left w:val="none" w:sz="0" w:space="0" w:color="auto"/>
        <w:bottom w:val="none" w:sz="0" w:space="0" w:color="auto"/>
        <w:right w:val="none" w:sz="0" w:space="0" w:color="auto"/>
      </w:divBdr>
    </w:div>
    <w:div w:id="1137263613">
      <w:bodyDiv w:val="1"/>
      <w:marLeft w:val="0"/>
      <w:marRight w:val="0"/>
      <w:marTop w:val="0"/>
      <w:marBottom w:val="0"/>
      <w:divBdr>
        <w:top w:val="none" w:sz="0" w:space="0" w:color="auto"/>
        <w:left w:val="none" w:sz="0" w:space="0" w:color="auto"/>
        <w:bottom w:val="none" w:sz="0" w:space="0" w:color="auto"/>
        <w:right w:val="none" w:sz="0" w:space="0" w:color="auto"/>
      </w:divBdr>
    </w:div>
    <w:div w:id="1218515060">
      <w:bodyDiv w:val="1"/>
      <w:marLeft w:val="0"/>
      <w:marRight w:val="0"/>
      <w:marTop w:val="0"/>
      <w:marBottom w:val="0"/>
      <w:divBdr>
        <w:top w:val="none" w:sz="0" w:space="0" w:color="auto"/>
        <w:left w:val="none" w:sz="0" w:space="0" w:color="auto"/>
        <w:bottom w:val="none" w:sz="0" w:space="0" w:color="auto"/>
        <w:right w:val="none" w:sz="0" w:space="0" w:color="auto"/>
      </w:divBdr>
    </w:div>
    <w:div w:id="1381786990">
      <w:bodyDiv w:val="1"/>
      <w:marLeft w:val="0"/>
      <w:marRight w:val="0"/>
      <w:marTop w:val="0"/>
      <w:marBottom w:val="0"/>
      <w:divBdr>
        <w:top w:val="none" w:sz="0" w:space="0" w:color="auto"/>
        <w:left w:val="none" w:sz="0" w:space="0" w:color="auto"/>
        <w:bottom w:val="none" w:sz="0" w:space="0" w:color="auto"/>
        <w:right w:val="none" w:sz="0" w:space="0" w:color="auto"/>
      </w:divBdr>
    </w:div>
    <w:div w:id="1564439165">
      <w:bodyDiv w:val="1"/>
      <w:marLeft w:val="0"/>
      <w:marRight w:val="0"/>
      <w:marTop w:val="0"/>
      <w:marBottom w:val="0"/>
      <w:divBdr>
        <w:top w:val="none" w:sz="0" w:space="0" w:color="auto"/>
        <w:left w:val="none" w:sz="0" w:space="0" w:color="auto"/>
        <w:bottom w:val="none" w:sz="0" w:space="0" w:color="auto"/>
        <w:right w:val="none" w:sz="0" w:space="0" w:color="auto"/>
      </w:divBdr>
    </w:div>
    <w:div w:id="1784305534">
      <w:bodyDiv w:val="1"/>
      <w:marLeft w:val="0"/>
      <w:marRight w:val="0"/>
      <w:marTop w:val="0"/>
      <w:marBottom w:val="0"/>
      <w:divBdr>
        <w:top w:val="none" w:sz="0" w:space="0" w:color="auto"/>
        <w:left w:val="none" w:sz="0" w:space="0" w:color="auto"/>
        <w:bottom w:val="none" w:sz="0" w:space="0" w:color="auto"/>
        <w:right w:val="none" w:sz="0" w:space="0" w:color="auto"/>
      </w:divBdr>
      <w:divsChild>
        <w:div w:id="325673367">
          <w:marLeft w:val="0"/>
          <w:marRight w:val="0"/>
          <w:marTop w:val="0"/>
          <w:marBottom w:val="0"/>
          <w:divBdr>
            <w:top w:val="none" w:sz="0" w:space="0" w:color="auto"/>
            <w:left w:val="none" w:sz="0" w:space="0" w:color="auto"/>
            <w:bottom w:val="none" w:sz="0" w:space="0" w:color="auto"/>
            <w:right w:val="none" w:sz="0" w:space="0" w:color="auto"/>
          </w:divBdr>
        </w:div>
        <w:div w:id="219096383">
          <w:marLeft w:val="0"/>
          <w:marRight w:val="0"/>
          <w:marTop w:val="0"/>
          <w:marBottom w:val="0"/>
          <w:divBdr>
            <w:top w:val="none" w:sz="0" w:space="0" w:color="auto"/>
            <w:left w:val="single" w:sz="6" w:space="0" w:color="D9DBED"/>
            <w:bottom w:val="none" w:sz="0" w:space="0" w:color="auto"/>
            <w:right w:val="single" w:sz="6" w:space="0" w:color="D9DBED"/>
          </w:divBdr>
        </w:div>
        <w:div w:id="399984656">
          <w:marLeft w:val="0"/>
          <w:marRight w:val="0"/>
          <w:marTop w:val="300"/>
          <w:marBottom w:val="0"/>
          <w:divBdr>
            <w:top w:val="none" w:sz="0" w:space="0" w:color="auto"/>
            <w:left w:val="none" w:sz="0" w:space="0" w:color="auto"/>
            <w:bottom w:val="none" w:sz="0" w:space="0" w:color="auto"/>
            <w:right w:val="none" w:sz="0" w:space="0" w:color="auto"/>
          </w:divBdr>
        </w:div>
        <w:div w:id="1707026895">
          <w:marLeft w:val="0"/>
          <w:marRight w:val="0"/>
          <w:marTop w:val="0"/>
          <w:marBottom w:val="0"/>
          <w:divBdr>
            <w:top w:val="none" w:sz="0" w:space="0" w:color="auto"/>
            <w:left w:val="none" w:sz="0" w:space="0" w:color="auto"/>
            <w:bottom w:val="none" w:sz="0" w:space="0" w:color="auto"/>
            <w:right w:val="none" w:sz="0" w:space="0" w:color="auto"/>
          </w:divBdr>
          <w:divsChild>
            <w:div w:id="1668904264">
              <w:marLeft w:val="0"/>
              <w:marRight w:val="0"/>
              <w:marTop w:val="0"/>
              <w:marBottom w:val="0"/>
              <w:divBdr>
                <w:top w:val="none" w:sz="0" w:space="0" w:color="auto"/>
                <w:left w:val="none" w:sz="0" w:space="0" w:color="auto"/>
                <w:bottom w:val="none" w:sz="0" w:space="0" w:color="auto"/>
                <w:right w:val="none" w:sz="0" w:space="0" w:color="auto"/>
              </w:divBdr>
            </w:div>
            <w:div w:id="2021732233">
              <w:marLeft w:val="0"/>
              <w:marRight w:val="0"/>
              <w:marTop w:val="0"/>
              <w:marBottom w:val="525"/>
              <w:divBdr>
                <w:top w:val="none" w:sz="0" w:space="0" w:color="auto"/>
                <w:left w:val="none" w:sz="0" w:space="0" w:color="auto"/>
                <w:bottom w:val="none" w:sz="0" w:space="0" w:color="auto"/>
                <w:right w:val="none" w:sz="0" w:space="0" w:color="auto"/>
              </w:divBdr>
            </w:div>
            <w:div w:id="914824393">
              <w:marLeft w:val="0"/>
              <w:marRight w:val="0"/>
              <w:marTop w:val="0"/>
              <w:marBottom w:val="0"/>
              <w:divBdr>
                <w:top w:val="none" w:sz="0" w:space="0" w:color="auto"/>
                <w:left w:val="none" w:sz="0" w:space="0" w:color="auto"/>
                <w:bottom w:val="none" w:sz="0" w:space="0" w:color="auto"/>
                <w:right w:val="none" w:sz="0" w:space="0" w:color="auto"/>
              </w:divBdr>
            </w:div>
            <w:div w:id="1794129280">
              <w:marLeft w:val="0"/>
              <w:marRight w:val="0"/>
              <w:marTop w:val="750"/>
              <w:marBottom w:val="0"/>
              <w:divBdr>
                <w:top w:val="none" w:sz="0" w:space="0" w:color="auto"/>
                <w:left w:val="none" w:sz="0" w:space="0" w:color="auto"/>
                <w:bottom w:val="none" w:sz="0" w:space="0" w:color="auto"/>
                <w:right w:val="none" w:sz="0" w:space="0" w:color="auto"/>
              </w:divBdr>
            </w:div>
          </w:divsChild>
        </w:div>
        <w:div w:id="1835484938">
          <w:marLeft w:val="0"/>
          <w:marRight w:val="0"/>
          <w:marTop w:val="0"/>
          <w:marBottom w:val="0"/>
          <w:divBdr>
            <w:top w:val="none" w:sz="0" w:space="0" w:color="auto"/>
            <w:left w:val="none" w:sz="0" w:space="0" w:color="auto"/>
            <w:bottom w:val="none" w:sz="0" w:space="0" w:color="auto"/>
            <w:right w:val="none" w:sz="0" w:space="0" w:color="auto"/>
          </w:divBdr>
          <w:divsChild>
            <w:div w:id="207425363">
              <w:marLeft w:val="-300"/>
              <w:marRight w:val="0"/>
              <w:marTop w:val="0"/>
              <w:marBottom w:val="0"/>
              <w:divBdr>
                <w:top w:val="none" w:sz="0" w:space="0" w:color="auto"/>
                <w:left w:val="single" w:sz="12" w:space="15" w:color="D9DBED"/>
                <w:bottom w:val="none" w:sz="0" w:space="0" w:color="auto"/>
                <w:right w:val="none" w:sz="0" w:space="0" w:color="auto"/>
              </w:divBdr>
              <w:divsChild>
                <w:div w:id="206455390">
                  <w:marLeft w:val="0"/>
                  <w:marRight w:val="0"/>
                  <w:marTop w:val="0"/>
                  <w:marBottom w:val="120"/>
                  <w:divBdr>
                    <w:top w:val="none" w:sz="0" w:space="0" w:color="auto"/>
                    <w:left w:val="none" w:sz="0" w:space="0" w:color="auto"/>
                    <w:bottom w:val="none" w:sz="0" w:space="0" w:color="auto"/>
                    <w:right w:val="none" w:sz="0" w:space="0" w:color="auto"/>
                  </w:divBdr>
                  <w:divsChild>
                    <w:div w:id="1990622447">
                      <w:marLeft w:val="450"/>
                      <w:marRight w:val="0"/>
                      <w:marTop w:val="150"/>
                      <w:marBottom w:val="150"/>
                      <w:divBdr>
                        <w:top w:val="none" w:sz="0" w:space="0" w:color="auto"/>
                        <w:left w:val="none" w:sz="0" w:space="0" w:color="auto"/>
                        <w:bottom w:val="none" w:sz="0" w:space="0" w:color="auto"/>
                        <w:right w:val="none" w:sz="0" w:space="0" w:color="auto"/>
                      </w:divBdr>
                    </w:div>
                  </w:divsChild>
                </w:div>
                <w:div w:id="688533512">
                  <w:marLeft w:val="0"/>
                  <w:marRight w:val="0"/>
                  <w:marTop w:val="0"/>
                  <w:marBottom w:val="120"/>
                  <w:divBdr>
                    <w:top w:val="none" w:sz="0" w:space="0" w:color="auto"/>
                    <w:left w:val="none" w:sz="0" w:space="0" w:color="auto"/>
                    <w:bottom w:val="none" w:sz="0" w:space="0" w:color="auto"/>
                    <w:right w:val="none" w:sz="0" w:space="0" w:color="auto"/>
                  </w:divBdr>
                </w:div>
                <w:div w:id="742215425">
                  <w:marLeft w:val="0"/>
                  <w:marRight w:val="0"/>
                  <w:marTop w:val="0"/>
                  <w:marBottom w:val="120"/>
                  <w:divBdr>
                    <w:top w:val="none" w:sz="0" w:space="0" w:color="auto"/>
                    <w:left w:val="none" w:sz="0" w:space="0" w:color="auto"/>
                    <w:bottom w:val="none" w:sz="0" w:space="0" w:color="auto"/>
                    <w:right w:val="none" w:sz="0" w:space="0" w:color="auto"/>
                  </w:divBdr>
                </w:div>
                <w:div w:id="2089569588">
                  <w:marLeft w:val="0"/>
                  <w:marRight w:val="0"/>
                  <w:marTop w:val="0"/>
                  <w:marBottom w:val="120"/>
                  <w:divBdr>
                    <w:top w:val="none" w:sz="0" w:space="0" w:color="auto"/>
                    <w:left w:val="none" w:sz="0" w:space="0" w:color="auto"/>
                    <w:bottom w:val="none" w:sz="0" w:space="0" w:color="auto"/>
                    <w:right w:val="none" w:sz="0" w:space="0" w:color="auto"/>
                  </w:divBdr>
                </w:div>
                <w:div w:id="1765148034">
                  <w:marLeft w:val="0"/>
                  <w:marRight w:val="0"/>
                  <w:marTop w:val="0"/>
                  <w:marBottom w:val="120"/>
                  <w:divBdr>
                    <w:top w:val="none" w:sz="0" w:space="0" w:color="auto"/>
                    <w:left w:val="none" w:sz="0" w:space="0" w:color="auto"/>
                    <w:bottom w:val="none" w:sz="0" w:space="0" w:color="auto"/>
                    <w:right w:val="none" w:sz="0" w:space="0" w:color="auto"/>
                  </w:divBdr>
                </w:div>
                <w:div w:id="1513104814">
                  <w:marLeft w:val="0"/>
                  <w:marRight w:val="0"/>
                  <w:marTop w:val="0"/>
                  <w:marBottom w:val="120"/>
                  <w:divBdr>
                    <w:top w:val="none" w:sz="0" w:space="0" w:color="auto"/>
                    <w:left w:val="none" w:sz="0" w:space="0" w:color="auto"/>
                    <w:bottom w:val="none" w:sz="0" w:space="0" w:color="auto"/>
                    <w:right w:val="none" w:sz="0" w:space="0" w:color="auto"/>
                  </w:divBdr>
                </w:div>
                <w:div w:id="627393504">
                  <w:marLeft w:val="0"/>
                  <w:marRight w:val="0"/>
                  <w:marTop w:val="0"/>
                  <w:marBottom w:val="120"/>
                  <w:divBdr>
                    <w:top w:val="none" w:sz="0" w:space="0" w:color="auto"/>
                    <w:left w:val="none" w:sz="0" w:space="0" w:color="auto"/>
                    <w:bottom w:val="none" w:sz="0" w:space="0" w:color="auto"/>
                    <w:right w:val="none" w:sz="0" w:space="0" w:color="auto"/>
                  </w:divBdr>
                </w:div>
                <w:div w:id="121463900">
                  <w:marLeft w:val="0"/>
                  <w:marRight w:val="0"/>
                  <w:marTop w:val="0"/>
                  <w:marBottom w:val="120"/>
                  <w:divBdr>
                    <w:top w:val="none" w:sz="0" w:space="0" w:color="auto"/>
                    <w:left w:val="none" w:sz="0" w:space="0" w:color="auto"/>
                    <w:bottom w:val="none" w:sz="0" w:space="0" w:color="auto"/>
                    <w:right w:val="none" w:sz="0" w:space="0" w:color="auto"/>
                  </w:divBdr>
                </w:div>
                <w:div w:id="860584075">
                  <w:marLeft w:val="0"/>
                  <w:marRight w:val="0"/>
                  <w:marTop w:val="0"/>
                  <w:marBottom w:val="120"/>
                  <w:divBdr>
                    <w:top w:val="none" w:sz="0" w:space="0" w:color="auto"/>
                    <w:left w:val="none" w:sz="0" w:space="0" w:color="auto"/>
                    <w:bottom w:val="none" w:sz="0" w:space="0" w:color="auto"/>
                    <w:right w:val="none" w:sz="0" w:space="0" w:color="auto"/>
                  </w:divBdr>
                </w:div>
                <w:div w:id="703746232">
                  <w:marLeft w:val="0"/>
                  <w:marRight w:val="0"/>
                  <w:marTop w:val="0"/>
                  <w:marBottom w:val="120"/>
                  <w:divBdr>
                    <w:top w:val="none" w:sz="0" w:space="0" w:color="auto"/>
                    <w:left w:val="none" w:sz="0" w:space="0" w:color="auto"/>
                    <w:bottom w:val="none" w:sz="0" w:space="0" w:color="auto"/>
                    <w:right w:val="none" w:sz="0" w:space="0" w:color="auto"/>
                  </w:divBdr>
                </w:div>
                <w:div w:id="13115988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66033771">
          <w:marLeft w:val="0"/>
          <w:marRight w:val="0"/>
          <w:marTop w:val="540"/>
          <w:marBottom w:val="0"/>
          <w:divBdr>
            <w:top w:val="none" w:sz="0" w:space="0" w:color="auto"/>
            <w:left w:val="none" w:sz="0" w:space="0" w:color="auto"/>
            <w:bottom w:val="none" w:sz="0" w:space="0" w:color="auto"/>
            <w:right w:val="none" w:sz="0" w:space="0" w:color="auto"/>
          </w:divBdr>
          <w:divsChild>
            <w:div w:id="2036074623">
              <w:marLeft w:val="0"/>
              <w:marRight w:val="0"/>
              <w:marTop w:val="0"/>
              <w:marBottom w:val="0"/>
              <w:divBdr>
                <w:top w:val="single" w:sz="6" w:space="0" w:color="D9DBED"/>
                <w:left w:val="none" w:sz="0" w:space="0" w:color="auto"/>
                <w:bottom w:val="none" w:sz="0" w:space="0" w:color="auto"/>
                <w:right w:val="none" w:sz="0" w:space="0" w:color="auto"/>
              </w:divBdr>
            </w:div>
          </w:divsChild>
        </w:div>
        <w:div w:id="440302033">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
            <w:div w:id="770974309">
              <w:marLeft w:val="0"/>
              <w:marRight w:val="0"/>
              <w:marTop w:val="345"/>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
              </w:divsChild>
            </w:div>
            <w:div w:id="157818292">
              <w:marLeft w:val="0"/>
              <w:marRight w:val="0"/>
              <w:marTop w:val="345"/>
              <w:marBottom w:val="0"/>
              <w:divBdr>
                <w:top w:val="none" w:sz="0" w:space="0" w:color="auto"/>
                <w:left w:val="none" w:sz="0" w:space="0" w:color="auto"/>
                <w:bottom w:val="none" w:sz="0" w:space="0" w:color="auto"/>
                <w:right w:val="none" w:sz="0" w:space="0" w:color="auto"/>
              </w:divBdr>
            </w:div>
            <w:div w:id="556211891">
              <w:marLeft w:val="0"/>
              <w:marRight w:val="0"/>
              <w:marTop w:val="345"/>
              <w:marBottom w:val="0"/>
              <w:divBdr>
                <w:top w:val="none" w:sz="0" w:space="0" w:color="auto"/>
                <w:left w:val="none" w:sz="0" w:space="0" w:color="auto"/>
                <w:bottom w:val="none" w:sz="0" w:space="0" w:color="auto"/>
                <w:right w:val="none" w:sz="0" w:space="0" w:color="auto"/>
              </w:divBdr>
            </w:div>
            <w:div w:id="1994985958">
              <w:marLeft w:val="0"/>
              <w:marRight w:val="0"/>
              <w:marTop w:val="345"/>
              <w:marBottom w:val="0"/>
              <w:divBdr>
                <w:top w:val="none" w:sz="0" w:space="0" w:color="auto"/>
                <w:left w:val="none" w:sz="0" w:space="0" w:color="auto"/>
                <w:bottom w:val="none" w:sz="0" w:space="0" w:color="auto"/>
                <w:right w:val="none" w:sz="0" w:space="0" w:color="auto"/>
              </w:divBdr>
              <w:divsChild>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single" w:sz="6" w:space="26" w:color="D9DBED"/>
                        <w:left w:val="none" w:sz="0" w:space="15" w:color="auto"/>
                        <w:bottom w:val="none" w:sz="0" w:space="26" w:color="auto"/>
                        <w:right w:val="none" w:sz="0" w:space="15"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 w:id="2079403447">
                          <w:marLeft w:val="0"/>
                          <w:marRight w:val="0"/>
                          <w:marTop w:val="225"/>
                          <w:marBottom w:val="0"/>
                          <w:divBdr>
                            <w:top w:val="none" w:sz="0" w:space="0" w:color="auto"/>
                            <w:left w:val="none" w:sz="0" w:space="0" w:color="auto"/>
                            <w:bottom w:val="none" w:sz="0" w:space="0" w:color="auto"/>
                            <w:right w:val="none" w:sz="0" w:space="0" w:color="auto"/>
                          </w:divBdr>
                          <w:divsChild>
                            <w:div w:id="1678389284">
                              <w:marLeft w:val="0"/>
                              <w:marRight w:val="0"/>
                              <w:marTop w:val="300"/>
                              <w:marBottom w:val="0"/>
                              <w:divBdr>
                                <w:top w:val="none" w:sz="0" w:space="0" w:color="auto"/>
                                <w:left w:val="none" w:sz="0" w:space="0" w:color="auto"/>
                                <w:bottom w:val="none" w:sz="0" w:space="0" w:color="auto"/>
                                <w:right w:val="none" w:sz="0" w:space="0" w:color="auto"/>
                              </w:divBdr>
                              <w:divsChild>
                                <w:div w:id="1662805287">
                                  <w:marLeft w:val="0"/>
                                  <w:marRight w:val="0"/>
                                  <w:marTop w:val="150"/>
                                  <w:marBottom w:val="0"/>
                                  <w:divBdr>
                                    <w:top w:val="none" w:sz="0" w:space="0" w:color="auto"/>
                                    <w:left w:val="none" w:sz="0" w:space="0" w:color="auto"/>
                                    <w:bottom w:val="none" w:sz="0" w:space="0" w:color="auto"/>
                                    <w:right w:val="none" w:sz="0" w:space="0" w:color="auto"/>
                                  </w:divBdr>
                                </w:div>
                                <w:div w:id="736785985">
                                  <w:marLeft w:val="0"/>
                                  <w:marRight w:val="0"/>
                                  <w:marTop w:val="150"/>
                                  <w:marBottom w:val="0"/>
                                  <w:divBdr>
                                    <w:top w:val="none" w:sz="0" w:space="0" w:color="auto"/>
                                    <w:left w:val="none" w:sz="0" w:space="0" w:color="auto"/>
                                    <w:bottom w:val="none" w:sz="0" w:space="0" w:color="auto"/>
                                    <w:right w:val="none" w:sz="0" w:space="0" w:color="auto"/>
                                  </w:divBdr>
                                </w:div>
                                <w:div w:id="9709423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841">
              <w:marLeft w:val="0"/>
              <w:marRight w:val="0"/>
              <w:marTop w:val="300"/>
              <w:marBottom w:val="0"/>
              <w:divBdr>
                <w:top w:val="none" w:sz="0" w:space="0" w:color="auto"/>
                <w:left w:val="none" w:sz="0" w:space="0" w:color="auto"/>
                <w:bottom w:val="none" w:sz="0" w:space="0" w:color="auto"/>
                <w:right w:val="none" w:sz="0" w:space="0" w:color="auto"/>
              </w:divBdr>
            </w:div>
          </w:divsChild>
        </w:div>
        <w:div w:id="1915315236">
          <w:marLeft w:val="0"/>
          <w:marRight w:val="0"/>
          <w:marTop w:val="0"/>
          <w:marBottom w:val="0"/>
          <w:divBdr>
            <w:top w:val="none" w:sz="0" w:space="0" w:color="auto"/>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b.europa.eu/stats/money/mfi/general/html/monthly_list.en.html" TargetMode="External"/><Relationship Id="rId13" Type="http://schemas.openxmlformats.org/officeDocument/2006/relationships/hyperlink" Target="http://www.ecb.int/mopo/implement/mr/html/calc.en.html" TargetMode="External"/><Relationship Id="rId18" Type="http://schemas.openxmlformats.org/officeDocument/2006/relationships/hyperlink" Target="https://www.bank.lv/auditorijas/respondentiem/krajaizdevu-sabiedribam"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www.ecb.europa.eu/stats/money/mfi/general/html/monthly_list.en.html" TargetMode="External"/><Relationship Id="rId17" Type="http://schemas.openxmlformats.org/officeDocument/2006/relationships/hyperlink" Target="https://www.bank.lv/auditorijas/respondentiem/bankam-un-arvalstu-banku-filialem" TargetMode="External"/><Relationship Id="rId2" Type="http://schemas.openxmlformats.org/officeDocument/2006/relationships/numbering" Target="numbering.xml"/><Relationship Id="rId16" Type="http://schemas.openxmlformats.org/officeDocument/2006/relationships/hyperlink" Target="http://www.ecb.europa.eu/press/calendars/reserve/html/index.en.html" TargetMode="External"/><Relationship Id="rId20" Type="http://schemas.openxmlformats.org/officeDocument/2006/relationships/hyperlink" Target="https://eur-lex.europa.eu/legal-content/LV/TXT/HTML/?uri=CELEX:32021D1815&amp;fro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58769-rezervju-bazes-un-prasibu-aprekina-sagatavosanas-noteikumi" TargetMode="External"/><Relationship Id="rId5" Type="http://schemas.openxmlformats.org/officeDocument/2006/relationships/webSettings" Target="webSettings.xml"/><Relationship Id="rId15" Type="http://schemas.openxmlformats.org/officeDocument/2006/relationships/hyperlink" Target="http://www.ecb.int/mopo/implement/mr/html/calc.en.html" TargetMode="External"/><Relationship Id="rId23" Type="http://schemas.openxmlformats.org/officeDocument/2006/relationships/theme" Target="theme/theme1.xml"/><Relationship Id="rId10" Type="http://schemas.openxmlformats.org/officeDocument/2006/relationships/hyperlink" Target="https://eur-lex.europa.eu/eli/reg/2021/379/oj/?locale=LV" TargetMode="External"/><Relationship Id="rId19" Type="http://schemas.openxmlformats.org/officeDocument/2006/relationships/hyperlink" Target="https://eur-lex.europa.eu/legal-content/EN/TXT/?uri=CELEX:31999R2157" TargetMode="External"/><Relationship Id="rId4" Type="http://schemas.openxmlformats.org/officeDocument/2006/relationships/settings" Target="settings.xml"/><Relationship Id="rId9" Type="http://schemas.openxmlformats.org/officeDocument/2006/relationships/hyperlink" Target="https://eur-lex.europa.eu/legal-content/LV/TXT/?uri=CELEX:32021R0378&amp;qid=1625035109159" TargetMode="External"/><Relationship Id="rId14" Type="http://schemas.openxmlformats.org/officeDocument/2006/relationships/hyperlink" Target="https://www.ecb.europa.eu/mopo/implement/mr/html/calc.en.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DFA2E-45FE-435D-8467-A48A1D5B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6907</Words>
  <Characters>3938</Characters>
  <Application>Microsoft Office Word</Application>
  <DocSecurity>4</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Gunārs Bērziņš</dc:creator>
  <cp:keywords/>
  <dc:description/>
  <cp:lastModifiedBy>Gunta Andersone</cp:lastModifiedBy>
  <cp:revision>2</cp:revision>
  <dcterms:created xsi:type="dcterms:W3CDTF">2022-12-12T09:37:00Z</dcterms:created>
  <dcterms:modified xsi:type="dcterms:W3CDTF">2022-12-12T09:37:00Z</dcterms:modified>
</cp:coreProperties>
</file>