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08F6F8" w14:textId="77777777" w:rsidR="009C42A8" w:rsidRPr="0079205D" w:rsidRDefault="00922586"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38825AE357F141DA826325C94A7DB109"/>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1FF73C65"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3228E7AF" w14:textId="77777777" w:rsidTr="00811BE5">
        <w:sdt>
          <w:sdtPr>
            <w:rPr>
              <w:rFonts w:cs="Times New Roman"/>
            </w:rPr>
            <w:id w:val="25447574"/>
            <w:lock w:val="sdtLocked"/>
            <w:placeholder>
              <w:docPart w:val="7C062199D1294741A75A59B5A2C0CAB1"/>
            </w:placeholder>
            <w:showingPlcHdr/>
          </w:sdtPr>
          <w:sdtEndPr/>
          <w:sdtContent>
            <w:tc>
              <w:tcPr>
                <w:tcW w:w="4360" w:type="dxa"/>
                <w:vAlign w:val="bottom"/>
              </w:tcPr>
              <w:p w14:paraId="6AD4C049" w14:textId="77777777" w:rsidR="003C1EF2" w:rsidRDefault="00E36793" w:rsidP="00811BE5">
                <w:pPr>
                  <w:pStyle w:val="NoSpacing"/>
                  <w:spacing w:before="240"/>
                  <w:ind w:left="-107"/>
                  <w:rPr>
                    <w:rFonts w:cs="Times New Roman"/>
                  </w:rPr>
                </w:pPr>
                <w:r w:rsidRPr="00811BE5">
                  <w:rPr>
                    <w:color w:val="808080" w:themeColor="background1" w:themeShade="80"/>
                  </w:rPr>
                  <w:t>[Datums]</w:t>
                </w:r>
              </w:p>
            </w:tc>
          </w:sdtContent>
        </w:sdt>
        <w:tc>
          <w:tcPr>
            <w:tcW w:w="4360" w:type="dxa"/>
            <w:vAlign w:val="bottom"/>
          </w:tcPr>
          <w:p w14:paraId="7EE1A94D" w14:textId="77777777" w:rsidR="003C1EF2" w:rsidRDefault="00922586" w:rsidP="00C523D5">
            <w:pPr>
              <w:pStyle w:val="NoSpacing"/>
              <w:ind w:right="-111"/>
              <w:jc w:val="right"/>
            </w:pPr>
            <w:sdt>
              <w:sdtPr>
                <w:id w:val="32932642"/>
                <w:lock w:val="sdtContentLocked"/>
                <w:placeholder>
                  <w:docPart w:val="3CC6D5A87AEB4202880FFC912594CCE4"/>
                </w:placeholder>
                <w:showingPlcHdr/>
              </w:sdtPr>
              <w:sdtEndPr/>
              <w:sdtContent>
                <w:r w:rsidR="00F13DD7">
                  <w:t xml:space="preserve">Noteikumi </w:t>
                </w:r>
              </w:sdtContent>
            </w:sdt>
            <w:sdt>
              <w:sdtPr>
                <w:id w:val="25447619"/>
                <w:lock w:val="sdtContentLocked"/>
                <w:placeholder>
                  <w:docPart w:val="0BF8AD24C5564DAFB2D3F4D3C52040ED"/>
                </w:placeholder>
                <w:showingPlcHdr/>
              </w:sdtPr>
              <w:sdtEndPr/>
              <w:sdtContent>
                <w:r w:rsidR="003C1EF2">
                  <w:t xml:space="preserve">Nr. </w:t>
                </w:r>
              </w:sdtContent>
            </w:sdt>
            <w:sdt>
              <w:sdtPr>
                <w:id w:val="25447645"/>
                <w:lock w:val="sdtLocked"/>
                <w:placeholder>
                  <w:docPart w:val="E2E1A397DF2C4348A98B0CA2452F88D8"/>
                </w:placeholder>
                <w:showingPlcHdr/>
              </w:sdtPr>
              <w:sdtEndPr/>
              <w:sdtContent>
                <w:r w:rsidR="007A4159">
                  <w:t>_____</w:t>
                </w:r>
              </w:sdtContent>
            </w:sdt>
          </w:p>
        </w:tc>
      </w:tr>
    </w:tbl>
    <w:sdt>
      <w:sdtPr>
        <w:rPr>
          <w:rFonts w:cs="Times New Roman"/>
          <w:szCs w:val="24"/>
        </w:rPr>
        <w:id w:val="25447675"/>
        <w:lock w:val="sdtContentLocked"/>
        <w:placeholder>
          <w:docPart w:val="BF5DE37566DD4B3A9D53214DD0C6848E"/>
        </w:placeholder>
        <w:showingPlcHdr/>
      </w:sdtPr>
      <w:sdtEndPr/>
      <w:sdtContent>
        <w:p w14:paraId="664CF006" w14:textId="77777777" w:rsidR="003C1EF2" w:rsidRDefault="00C2284A" w:rsidP="00C2284A">
          <w:pPr>
            <w:rPr>
              <w:rFonts w:cs="Times New Roman"/>
              <w:szCs w:val="24"/>
            </w:rPr>
          </w:pPr>
          <w:r>
            <w:rPr>
              <w:rFonts w:cs="Times New Roman"/>
              <w:szCs w:val="24"/>
            </w:rPr>
            <w:t>Rīgā</w:t>
          </w:r>
        </w:p>
      </w:sdtContent>
    </w:sdt>
    <w:bookmarkStart w:id="1" w:name="_Hlk164408035"/>
    <w:bookmarkStart w:id="2" w:name="_Hlk164346798"/>
    <w:p w14:paraId="30A11303" w14:textId="5861BD4F" w:rsidR="00C2284A" w:rsidRDefault="00922586" w:rsidP="00C2284A">
      <w:pPr>
        <w:spacing w:before="240" w:after="240"/>
        <w:rPr>
          <w:rFonts w:cs="Times New Roman"/>
          <w:b/>
          <w:szCs w:val="24"/>
        </w:rPr>
      </w:pPr>
      <w:sdt>
        <w:sdtPr>
          <w:rPr>
            <w:rFonts w:cs="Times New Roman"/>
            <w:b/>
            <w:szCs w:val="24"/>
          </w:rPr>
          <w:alias w:val="Nosaukums"/>
          <w:tag w:val="Nosaukums"/>
          <w:id w:val="25447728"/>
          <w:placeholder>
            <w:docPart w:val="8C01BBFC5B17433C869244EDDAD1ECCF"/>
          </w:placeholder>
        </w:sdtPr>
        <w:sdtEndPr/>
        <w:sdtContent>
          <w:r w:rsidR="002C4053">
            <w:rPr>
              <w:rFonts w:cs="Times New Roman"/>
              <w:b/>
              <w:szCs w:val="24"/>
            </w:rPr>
            <w:t>N</w:t>
          </w:r>
          <w:r w:rsidR="00DA55AD" w:rsidRPr="00DA55AD">
            <w:rPr>
              <w:rFonts w:cs="Times New Roman"/>
              <w:b/>
              <w:szCs w:val="24"/>
            </w:rPr>
            <w:t>oteikumi par ieguldījumu brokeru sabiedrību atalgojuma politiku un praksi</w:t>
          </w:r>
        </w:sdtContent>
      </w:sdt>
      <w:bookmarkEnd w:id="1"/>
    </w:p>
    <w:bookmarkEnd w:id="2"/>
    <w:p w14:paraId="2E632518" w14:textId="77777777" w:rsidR="00C2284A" w:rsidRDefault="00922586" w:rsidP="00DB385B">
      <w:pPr>
        <w:jc w:val="right"/>
        <w:rPr>
          <w:rFonts w:cs="Times New Roman"/>
          <w:szCs w:val="24"/>
        </w:rPr>
      </w:pPr>
      <w:sdt>
        <w:sdtPr>
          <w:rPr>
            <w:rFonts w:cs="Times New Roman"/>
            <w:color w:val="808080"/>
            <w:szCs w:val="24"/>
          </w:rPr>
          <w:id w:val="32932717"/>
          <w:lock w:val="sdtContentLocked"/>
          <w:placeholder>
            <w:docPart w:val="841EE5B51BDB47139D6D63A41ED17CBE"/>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7DBA5A6257064C8FAF44CE02CF44F30F"/>
          </w:placeholder>
          <w:showingPlcHdr/>
        </w:sdtPr>
        <w:sdtEndPr/>
        <w:sdtContent>
          <w:r w:rsidR="00301089">
            <w:rPr>
              <w:rFonts w:cs="Times New Roman"/>
              <w:szCs w:val="24"/>
            </w:rPr>
            <w:t>saskaņā ar</w:t>
          </w:r>
        </w:sdtContent>
      </w:sdt>
    </w:p>
    <w:sdt>
      <w:sdtPr>
        <w:rPr>
          <w:rFonts w:cs="Times New Roman"/>
          <w:szCs w:val="24"/>
        </w:rPr>
        <w:id w:val="25447800"/>
        <w:placeholder>
          <w:docPart w:val="1BA0230B88E04E379AED5829129900EC"/>
        </w:placeholder>
      </w:sdtPr>
      <w:sdtEndPr/>
      <w:sdtContent>
        <w:p w14:paraId="0CD6816F" w14:textId="5DD7058A" w:rsidR="00292F12" w:rsidRPr="00292F12" w:rsidRDefault="00292F12" w:rsidP="00292F12">
          <w:pPr>
            <w:jc w:val="right"/>
            <w:rPr>
              <w:rFonts w:cs="Times New Roman"/>
              <w:szCs w:val="24"/>
            </w:rPr>
          </w:pPr>
          <w:r w:rsidRPr="00292F12">
            <w:rPr>
              <w:rFonts w:cs="Times New Roman"/>
              <w:szCs w:val="24"/>
            </w:rPr>
            <w:t>Ieguldījumu brokeru sabiedrību likuma</w:t>
          </w:r>
        </w:p>
        <w:p w14:paraId="2C92DCBE" w14:textId="44A69D40" w:rsidR="00301089" w:rsidRDefault="00292F12" w:rsidP="00292F12">
          <w:pPr>
            <w:jc w:val="right"/>
            <w:rPr>
              <w:rFonts w:cs="Times New Roman"/>
              <w:szCs w:val="24"/>
            </w:rPr>
          </w:pPr>
          <w:r w:rsidRPr="00292F12">
            <w:rPr>
              <w:rFonts w:cs="Times New Roman"/>
              <w:szCs w:val="24"/>
            </w:rPr>
            <w:t>31.</w:t>
          </w:r>
          <w:r w:rsidR="00C5398F">
            <w:rPr>
              <w:rFonts w:cs="Times New Roman"/>
              <w:szCs w:val="24"/>
            </w:rPr>
            <w:t> </w:t>
          </w:r>
          <w:r w:rsidRPr="00292F12">
            <w:rPr>
              <w:rFonts w:cs="Times New Roman"/>
              <w:szCs w:val="24"/>
            </w:rPr>
            <w:t>panta ceturto daļu un 37.</w:t>
          </w:r>
          <w:r w:rsidR="00C5398F">
            <w:rPr>
              <w:rFonts w:cs="Times New Roman"/>
              <w:szCs w:val="24"/>
            </w:rPr>
            <w:t> </w:t>
          </w:r>
          <w:r w:rsidRPr="00292F12">
            <w:rPr>
              <w:rFonts w:cs="Times New Roman"/>
              <w:szCs w:val="24"/>
            </w:rPr>
            <w:t>panta pirmo daļu</w:t>
          </w:r>
        </w:p>
      </w:sdtContent>
    </w:sdt>
    <w:p w14:paraId="26D3271A" w14:textId="77777777" w:rsidR="00840034" w:rsidRDefault="00840034" w:rsidP="00702E6D">
      <w:pPr>
        <w:pStyle w:val="NAnodalaromiesucipari"/>
      </w:pPr>
      <w:r w:rsidRPr="00796018">
        <w:t>Vispārīgie jautājumi</w:t>
      </w:r>
    </w:p>
    <w:p w14:paraId="096B6757" w14:textId="77777777" w:rsidR="003C7FEA" w:rsidRDefault="002C15BE" w:rsidP="002C15BE">
      <w:pPr>
        <w:pStyle w:val="NApunkts1"/>
      </w:pPr>
      <w:r>
        <w:t>Noteikumi nosaka</w:t>
      </w:r>
      <w:r w:rsidR="003C7FEA">
        <w:t>:</w:t>
      </w:r>
    </w:p>
    <w:p w14:paraId="783F1344" w14:textId="134D2AAC" w:rsidR="00D37936" w:rsidRDefault="00D37936" w:rsidP="00D37936">
      <w:pPr>
        <w:pStyle w:val="NApunkts2"/>
      </w:pPr>
      <w:r>
        <w:t xml:space="preserve">prasības </w:t>
      </w:r>
      <w:r w:rsidR="00A67EEF">
        <w:t xml:space="preserve">Latvijas Republikā licencētas </w:t>
      </w:r>
      <w:r w:rsidRPr="000F53F4">
        <w:t>ieguldījumu brokeru sabiedrīb</w:t>
      </w:r>
      <w:r>
        <w:t xml:space="preserve">as </w:t>
      </w:r>
      <w:r w:rsidRPr="000F53F4">
        <w:t>(</w:t>
      </w:r>
      <w:r>
        <w:t>turpmāk </w:t>
      </w:r>
      <w:r w:rsidRPr="000F53F4">
        <w:t>– sabiedrība)</w:t>
      </w:r>
      <w:r>
        <w:t xml:space="preserve"> atalgojuma politikai un praksei;</w:t>
      </w:r>
    </w:p>
    <w:p w14:paraId="26D2FF8E" w14:textId="2C1EDBC7" w:rsidR="00D37936" w:rsidRDefault="00D37936" w:rsidP="00D37936">
      <w:pPr>
        <w:pStyle w:val="NApunkts2"/>
      </w:pPr>
      <w:r>
        <w:t>sabiedrības pārskat</w:t>
      </w:r>
      <w:r w:rsidR="003873DD">
        <w:t>u</w:t>
      </w:r>
      <w:r>
        <w:t xml:space="preserve"> par atalgojumu sagatavošanas un iesniegšanas kārtību.</w:t>
      </w:r>
    </w:p>
    <w:p w14:paraId="07A2BB23" w14:textId="77777777" w:rsidR="00D37936" w:rsidRDefault="00D37936" w:rsidP="00D37936">
      <w:pPr>
        <w:pStyle w:val="NApunkts1"/>
      </w:pPr>
      <w:r>
        <w:t>Šos noteikumus nepiemēro:</w:t>
      </w:r>
    </w:p>
    <w:p w14:paraId="08F1EB4F" w14:textId="45E2DF45" w:rsidR="00D37936" w:rsidRDefault="00D37936" w:rsidP="00D37936">
      <w:pPr>
        <w:pStyle w:val="NApunkts2"/>
      </w:pPr>
      <w:r w:rsidRPr="00F9289F">
        <w:t>neliel</w:t>
      </w:r>
      <w:r>
        <w:t>ām</w:t>
      </w:r>
      <w:r w:rsidRPr="00F9289F">
        <w:t xml:space="preserve"> un savstarpēji nesaistīt</w:t>
      </w:r>
      <w:r>
        <w:t>ām sabiedrībām</w:t>
      </w:r>
      <w:r w:rsidRPr="00F9289F">
        <w:t xml:space="preserve"> Eiropas Parlamenta un Padomes 2019.</w:t>
      </w:r>
      <w:r>
        <w:t> </w:t>
      </w:r>
      <w:r w:rsidRPr="00F9289F">
        <w:t>gada 27.</w:t>
      </w:r>
      <w:r>
        <w:t> </w:t>
      </w:r>
      <w:r w:rsidRPr="00F9289F">
        <w:t>novembra regulas (ES)</w:t>
      </w:r>
      <w:r>
        <w:t> </w:t>
      </w:r>
      <w:r w:rsidRPr="00F9289F">
        <w:t>2019/2033 par prudenciālajām prasībām ieguldījumu brokeru sabiedrībām un ar ko groza regulas (ES)</w:t>
      </w:r>
      <w:r w:rsidR="008B20EC">
        <w:t xml:space="preserve"> </w:t>
      </w:r>
      <w:r w:rsidRPr="00F9289F">
        <w:t>Nr.</w:t>
      </w:r>
      <w:r>
        <w:t> </w:t>
      </w:r>
      <w:r w:rsidRPr="00F9289F">
        <w:t>1093/2010, (ES)</w:t>
      </w:r>
      <w:r w:rsidR="008B20EC">
        <w:t xml:space="preserve"> </w:t>
      </w:r>
      <w:r w:rsidRPr="00F9289F">
        <w:t>Nr.</w:t>
      </w:r>
      <w:r>
        <w:t> </w:t>
      </w:r>
      <w:r w:rsidRPr="00F9289F">
        <w:t>575/2013, (ES)</w:t>
      </w:r>
      <w:r w:rsidR="008B20EC">
        <w:t xml:space="preserve"> </w:t>
      </w:r>
      <w:r w:rsidRPr="00F9289F">
        <w:t>Nr.</w:t>
      </w:r>
      <w:r>
        <w:t> </w:t>
      </w:r>
      <w:r w:rsidRPr="00F9289F">
        <w:t>600/2014 un (ES)</w:t>
      </w:r>
      <w:r>
        <w:t> </w:t>
      </w:r>
      <w:r w:rsidRPr="00F9289F">
        <w:t>Nr.</w:t>
      </w:r>
      <w:r>
        <w:t> </w:t>
      </w:r>
      <w:r w:rsidRPr="00F9289F">
        <w:t>806/2014 (turpmāk</w:t>
      </w:r>
      <w:r>
        <w:t> </w:t>
      </w:r>
      <w:r w:rsidRPr="00F9289F">
        <w:t>– Regula 2019/2033) 12.</w:t>
      </w:r>
      <w:r>
        <w:t> </w:t>
      </w:r>
      <w:r w:rsidRPr="00F9289F">
        <w:t>pant</w:t>
      </w:r>
      <w:r>
        <w:t>a izpratnē;</w:t>
      </w:r>
    </w:p>
    <w:p w14:paraId="43DCF504" w14:textId="77777777" w:rsidR="00D37936" w:rsidRDefault="00D37936" w:rsidP="00D37936">
      <w:pPr>
        <w:pStyle w:val="NApunkts2"/>
      </w:pPr>
      <w:r w:rsidRPr="00F9289F">
        <w:t>Ieguldījumu brokeru sabiedrību likuma 3.</w:t>
      </w:r>
      <w:r>
        <w:t> </w:t>
      </w:r>
      <w:r w:rsidRPr="00F9289F">
        <w:t>panta trešajā un ceturtajā daļā minēt</w:t>
      </w:r>
      <w:r>
        <w:t>ajām</w:t>
      </w:r>
      <w:r w:rsidRPr="00F9289F">
        <w:t xml:space="preserve"> sabiedrīb</w:t>
      </w:r>
      <w:r>
        <w:t>ām.</w:t>
      </w:r>
    </w:p>
    <w:p w14:paraId="3B6224AB" w14:textId="7A364257" w:rsidR="00D8530E" w:rsidRDefault="00693525" w:rsidP="005B6B56">
      <w:pPr>
        <w:pStyle w:val="NApunkts1"/>
      </w:pPr>
      <w:r>
        <w:t xml:space="preserve">Par </w:t>
      </w:r>
      <w:r w:rsidR="0028232F">
        <w:t>sabiedrības</w:t>
      </w:r>
      <w:r>
        <w:t xml:space="preserve"> amatpersonām vai darbiniekiem, kuru profesionālā darbība būtiski ietekmē sabiedrības</w:t>
      </w:r>
      <w:r w:rsidR="0028232F">
        <w:t xml:space="preserve"> riska profilu </w:t>
      </w:r>
      <w:r>
        <w:t>(turpmāk</w:t>
      </w:r>
      <w:r w:rsidR="00C5398F">
        <w:t> </w:t>
      </w:r>
      <w:r>
        <w:t xml:space="preserve">– sabiedrības riska profilu </w:t>
      </w:r>
      <w:r w:rsidR="0028232F">
        <w:t>ietekmējošie amati</w:t>
      </w:r>
      <w:r>
        <w:t>)</w:t>
      </w:r>
      <w:r w:rsidR="00A82647">
        <w:t>,</w:t>
      </w:r>
      <w:r>
        <w:t xml:space="preserve"> uzskata</w:t>
      </w:r>
      <w:r w:rsidR="00D8530E">
        <w:t>:</w:t>
      </w:r>
    </w:p>
    <w:p w14:paraId="558D19A0" w14:textId="1B257BFA" w:rsidR="00D8530E" w:rsidRDefault="004A2867" w:rsidP="00D8530E">
      <w:pPr>
        <w:pStyle w:val="NApunkts2"/>
      </w:pPr>
      <w:r>
        <w:t xml:space="preserve">amatpersonas </w:t>
      </w:r>
      <w:r w:rsidR="0028232F">
        <w:t xml:space="preserve">vai </w:t>
      </w:r>
      <w:r w:rsidR="00693525">
        <w:t>darbiniekus</w:t>
      </w:r>
      <w:r w:rsidR="0028232F">
        <w:t>, kuri atbilstoši Komisijas 2021.</w:t>
      </w:r>
      <w:r w:rsidR="002031C8">
        <w:t> </w:t>
      </w:r>
      <w:r w:rsidR="0028232F">
        <w:t>gada 13.</w:t>
      </w:r>
      <w:r w:rsidR="002031C8">
        <w:t> </w:t>
      </w:r>
      <w:r w:rsidR="0028232F">
        <w:t xml:space="preserve">augusta </w:t>
      </w:r>
      <w:r w:rsidR="00C5398F">
        <w:t>d</w:t>
      </w:r>
      <w:r w:rsidR="0028232F">
        <w:t>eleģētajā regulā (ES) </w:t>
      </w:r>
      <w:r w:rsidR="0028232F" w:rsidRPr="00572791">
        <w:t>2021/2154</w:t>
      </w:r>
      <w:r w:rsidR="0028232F">
        <w:t xml:space="preserve">, ar kuru papildina Eiropas Parlamenta un Padomes </w:t>
      </w:r>
      <w:r w:rsidR="00C5398F">
        <w:t>d</w:t>
      </w:r>
      <w:r w:rsidR="0028232F">
        <w:t>irektīvu (ES) </w:t>
      </w:r>
      <w:r w:rsidR="0028232F" w:rsidRPr="00572791">
        <w:t>2019/2034</w:t>
      </w:r>
      <w:r w:rsidR="00C5398F">
        <w:t xml:space="preserve"> </w:t>
      </w:r>
      <w:r w:rsidR="0028232F">
        <w:t>attiecībā uz regulatīvajiem tehniskajiem standartiem, ar ko precizē atbilstošus kritērijus to darbinieku kategoriju identificēšanai, kuru profesionālā darbība būtiski ietekmē ieguldījumu brokeru sabiedrības vai tās pārvaldīto aktīvu riska profilu (</w:t>
      </w:r>
      <w:r w:rsidR="004D7FB0">
        <w:t>turpmāk</w:t>
      </w:r>
      <w:r w:rsidR="00C5398F">
        <w:t> </w:t>
      </w:r>
      <w:r w:rsidR="0028232F">
        <w:t>– Regula </w:t>
      </w:r>
      <w:r w:rsidR="0028232F" w:rsidRPr="005B6B56">
        <w:t>2021/2154</w:t>
      </w:r>
      <w:r w:rsidR="0028232F">
        <w:t xml:space="preserve">) minētajiem kritērijiem ir identificējami kā </w:t>
      </w:r>
      <w:r w:rsidR="0029508F">
        <w:t xml:space="preserve">darbinieki, kuriem ir būtiska ietekme uz </w:t>
      </w:r>
      <w:r w:rsidR="0028232F">
        <w:t>sabiedrības vai tās pārvaldīto aktīvu riska profilu</w:t>
      </w:r>
      <w:r w:rsidR="00D8530E">
        <w:t>;</w:t>
      </w:r>
    </w:p>
    <w:p w14:paraId="300BDEC1" w14:textId="4AA0A540" w:rsidR="0028232F" w:rsidRDefault="0028232F" w:rsidP="00D8530E">
      <w:pPr>
        <w:pStyle w:val="NApunkts2"/>
      </w:pPr>
      <w:r>
        <w:t>cit</w:t>
      </w:r>
      <w:r w:rsidR="00D8530E">
        <w:t>us</w:t>
      </w:r>
      <w:r>
        <w:t xml:space="preserve"> darbiniek</w:t>
      </w:r>
      <w:r w:rsidR="00D8530E">
        <w:t>us</w:t>
      </w:r>
      <w:r>
        <w:t xml:space="preserve">, kuru atalgojums ir vienāds ar vai lielāks par </w:t>
      </w:r>
      <w:r w:rsidR="00FD07F3">
        <w:t xml:space="preserve">šo noteikumu 3.1. apakšpunktā </w:t>
      </w:r>
      <w:r>
        <w:t xml:space="preserve">minēto </w:t>
      </w:r>
      <w:r w:rsidR="00883FDF">
        <w:t>amatpersonu</w:t>
      </w:r>
      <w:r>
        <w:t xml:space="preserve"> vai darbinieku zemāko atalgojuma līmeni</w:t>
      </w:r>
      <w:r w:rsidR="001C3ADC">
        <w:t>.</w:t>
      </w:r>
    </w:p>
    <w:p w14:paraId="5639476B" w14:textId="3721BDC0" w:rsidR="003473BD" w:rsidRDefault="00BB775F" w:rsidP="004D7FB0">
      <w:pPr>
        <w:pStyle w:val="NApunkts1"/>
      </w:pPr>
      <w:r>
        <w:t xml:space="preserve">Sabiedrība </w:t>
      </w:r>
      <w:r w:rsidR="003C7FEA">
        <w:t>ievēro šo noteikumu prasības individuāli</w:t>
      </w:r>
      <w:r w:rsidR="0095676D">
        <w:t xml:space="preserve"> vai</w:t>
      </w:r>
      <w:r w:rsidR="003C7FEA">
        <w:t xml:space="preserve"> </w:t>
      </w:r>
      <w:r w:rsidR="003473BD">
        <w:t xml:space="preserve">prudenciālās </w:t>
      </w:r>
      <w:r w:rsidR="003C7FEA">
        <w:t>konsolidācijas grupas līmenī</w:t>
      </w:r>
      <w:r w:rsidR="004D7FB0">
        <w:t xml:space="preserve"> </w:t>
      </w:r>
      <w:r w:rsidR="000B501D" w:rsidRPr="000F53F4">
        <w:t>Regula</w:t>
      </w:r>
      <w:r w:rsidR="000B501D">
        <w:t>s</w:t>
      </w:r>
      <w:r w:rsidR="00C5398F">
        <w:t> </w:t>
      </w:r>
      <w:r w:rsidR="000B501D" w:rsidRPr="000F53F4">
        <w:t>2019/2033</w:t>
      </w:r>
      <w:r w:rsidR="000B501D">
        <w:t xml:space="preserve"> </w:t>
      </w:r>
      <w:r w:rsidR="004D7FB0">
        <w:t>izpratnē.</w:t>
      </w:r>
    </w:p>
    <w:p w14:paraId="59BB819F" w14:textId="77777777" w:rsidR="00127D88" w:rsidRDefault="00127D88" w:rsidP="00127D88">
      <w:pPr>
        <w:pStyle w:val="NApunkts1"/>
      </w:pPr>
      <w:r>
        <w:t>Sabiedrība nodrošina, ka:</w:t>
      </w:r>
    </w:p>
    <w:p w14:paraId="09688895" w14:textId="3373C931" w:rsidR="00127D88" w:rsidRDefault="004D7FB0" w:rsidP="00A024C2">
      <w:pPr>
        <w:pStyle w:val="NApunkts2"/>
        <w:keepLines w:val="0"/>
      </w:pPr>
      <w:r>
        <w:t xml:space="preserve">amatpersonas un </w:t>
      </w:r>
      <w:r w:rsidR="002031C8">
        <w:t>d</w:t>
      </w:r>
      <w:r w:rsidR="00127D88">
        <w:t>arbinieki</w:t>
      </w:r>
      <w:r>
        <w:t>,</w:t>
      </w:r>
      <w:r w:rsidR="00127D88">
        <w:t xml:space="preserve"> </w:t>
      </w:r>
      <w:r>
        <w:t xml:space="preserve">uzsākot darba tiesiskās attiecības ar sabiedrību, rakstveidā apliecina, ka </w:t>
      </w:r>
      <w:r w:rsidR="00127D88">
        <w:t xml:space="preserve">apņemas neizmantot personīgās riska ierobežošanas stratēģijas </w:t>
      </w:r>
      <w:r w:rsidR="00127D88">
        <w:lastRenderedPageBreak/>
        <w:t>vai tādu atalgojuma un atbildības apdrošināšanu, kas mazin</w:t>
      </w:r>
      <w:r w:rsidR="00BC6623">
        <w:t>a</w:t>
      </w:r>
      <w:r w:rsidR="00127D88">
        <w:t xml:space="preserve"> </w:t>
      </w:r>
      <w:r>
        <w:t xml:space="preserve">atalgojuma politikā noteiktās riska </w:t>
      </w:r>
      <w:r w:rsidR="00127D88">
        <w:t>korekcij</w:t>
      </w:r>
      <w:r>
        <w:t>as</w:t>
      </w:r>
      <w:r w:rsidR="00127D88">
        <w:t xml:space="preserve"> ietekmi uz atalgojumu;</w:t>
      </w:r>
    </w:p>
    <w:p w14:paraId="0A4C6B1D" w14:textId="2A40414F" w:rsidR="00127D88" w:rsidRDefault="00162BE4" w:rsidP="00127D88">
      <w:pPr>
        <w:pStyle w:val="NApunkts2"/>
      </w:pPr>
      <w:r>
        <w:t>izmaksājot atalgojuma mainīgo daļu</w:t>
      </w:r>
      <w:r w:rsidR="00127D88">
        <w:t>, netiek izmantoti tādi instrumenti vai metodes, kas veicina izvairīšanos no</w:t>
      </w:r>
      <w:r w:rsidR="00C5398F">
        <w:t xml:space="preserve"> </w:t>
      </w:r>
      <w:r w:rsidR="00127D88" w:rsidRPr="00127D88">
        <w:t>Ieguldījumu brokeru sabiedrību likumā</w:t>
      </w:r>
      <w:r w:rsidR="00127D88">
        <w:t>, šajos noteikumos vai tieši piemērojamajos Eiropas Savienības tiesību aktos atalgojuma politikai un praksei noteikto prasību ievērošanas;</w:t>
      </w:r>
    </w:p>
    <w:p w14:paraId="640210DD" w14:textId="6DF0825F" w:rsidR="00840034" w:rsidRPr="00527FD8" w:rsidRDefault="00127D88" w:rsidP="00127D88">
      <w:pPr>
        <w:pStyle w:val="NApunkts2"/>
      </w:pPr>
      <w:r>
        <w:t xml:space="preserve">atalgojuma politikas izstrādē un praksē tā ievēro </w:t>
      </w:r>
      <w:r w:rsidR="00BA0102">
        <w:t xml:space="preserve">Eiropas Banku iestādes </w:t>
      </w:r>
      <w:r>
        <w:t>2021.</w:t>
      </w:r>
      <w:r w:rsidR="002031C8">
        <w:t> </w:t>
      </w:r>
      <w:r>
        <w:t>gada 22</w:t>
      </w:r>
      <w:r w:rsidR="002031C8">
        <w:t>. </w:t>
      </w:r>
      <w:r>
        <w:t xml:space="preserve">novembra pamatnostādnes EBA/GL/2021/13 "Pamatnostādnes par pareizu atalgojuma politiku saskaņā ar </w:t>
      </w:r>
      <w:r w:rsidR="00A82647">
        <w:t xml:space="preserve">Direktīvu </w:t>
      </w:r>
      <w:r>
        <w:t>(ES) </w:t>
      </w:r>
      <w:r w:rsidRPr="00127D88">
        <w:t>2019/2034</w:t>
      </w:r>
      <w:r>
        <w:t>".</w:t>
      </w:r>
    </w:p>
    <w:p w14:paraId="3E4DDBE8" w14:textId="37936155" w:rsidR="00840034" w:rsidRDefault="00840034" w:rsidP="00702E6D">
      <w:pPr>
        <w:pStyle w:val="NAnodalaromiesucipari"/>
      </w:pPr>
      <w:r w:rsidRPr="009C4EC3">
        <w:t xml:space="preserve"> </w:t>
      </w:r>
      <w:r w:rsidR="00A21786" w:rsidRPr="00A21786">
        <w:t>Atalgojuma politika</w:t>
      </w:r>
      <w:r w:rsidR="00B16A43">
        <w:t xml:space="preserve"> un tās pamatprincipi</w:t>
      </w:r>
    </w:p>
    <w:p w14:paraId="41183C18" w14:textId="19AFC8AE" w:rsidR="00127D88" w:rsidRDefault="00127D88" w:rsidP="00127D88">
      <w:pPr>
        <w:pStyle w:val="NApunkts1"/>
      </w:pPr>
      <w:r>
        <w:t>Sabiedrība nodrošina tādas atalgojuma politikas izstrādi, ieviešanu un pastāvīgu uzturēšanu, kas attiecas uz vis</w:t>
      </w:r>
      <w:r w:rsidR="00743CEC">
        <w:t>ām amatpersonām un</w:t>
      </w:r>
      <w:r>
        <w:t xml:space="preserve"> darbiniekiem un:</w:t>
      </w:r>
    </w:p>
    <w:p w14:paraId="26D6348D" w14:textId="2019D040" w:rsidR="00127D88" w:rsidRDefault="00127D88" w:rsidP="00127D88">
      <w:pPr>
        <w:pStyle w:val="NApunkts2"/>
      </w:pPr>
      <w:r>
        <w:t xml:space="preserve">atbilst </w:t>
      </w:r>
      <w:r w:rsidR="00D30B28">
        <w:t>sabiedrības</w:t>
      </w:r>
      <w:r>
        <w:t xml:space="preserve"> organizatoriskajai struktūrai, darbības apjomam, veidam, sarežģītībai un specifikai;</w:t>
      </w:r>
    </w:p>
    <w:p w14:paraId="6F228728" w14:textId="05F0B4A1" w:rsidR="00127D88" w:rsidRDefault="00127D88" w:rsidP="00127D88">
      <w:pPr>
        <w:pStyle w:val="NApunkts2"/>
      </w:pPr>
      <w:r>
        <w:t>nodrošina dzimumneitralitāti ne tikai visos atalgojuma politikas aspektos, bet arī piemērojot to praksē</w:t>
      </w:r>
      <w:r w:rsidR="00C5398F">
        <w:t xml:space="preserve"> (</w:t>
      </w:r>
      <w:r>
        <w:t xml:space="preserve">ir balstīta uz vienāda atalgojuma noteikumu piemērošanu </w:t>
      </w:r>
      <w:r w:rsidR="00743CEC">
        <w:t xml:space="preserve">amatpersonām un </w:t>
      </w:r>
      <w:r>
        <w:t>darbiniekiem par vienādu vai vienādi vērtīgu darbu</w:t>
      </w:r>
      <w:r w:rsidR="00D945EA">
        <w:t xml:space="preserve"> neatkarīgi no </w:t>
      </w:r>
      <w:r w:rsidR="00743CEC">
        <w:t xml:space="preserve">amatpersonas vai </w:t>
      </w:r>
      <w:r w:rsidR="00D945EA">
        <w:t>darbinieka dzimuma</w:t>
      </w:r>
      <w:r w:rsidR="00C5398F">
        <w:t>)</w:t>
      </w:r>
      <w:r>
        <w:t>;</w:t>
      </w:r>
    </w:p>
    <w:p w14:paraId="38C17A0C" w14:textId="250062B8" w:rsidR="00127D88" w:rsidRDefault="00127D88" w:rsidP="00127D88">
      <w:pPr>
        <w:pStyle w:val="NApunkts2"/>
      </w:pPr>
      <w:r>
        <w:t>atbilst piesardzīgai un efektīvai risku pārvaldīšanai un veicina to, bet ierobežo risku uzņemšanos virs noteiktā pieļaujamā risku uzņemšanās līmeņa;</w:t>
      </w:r>
    </w:p>
    <w:p w14:paraId="1BAF5D69" w14:textId="5EB48490" w:rsidR="00127D88" w:rsidRDefault="00127D88" w:rsidP="00127D88">
      <w:pPr>
        <w:pStyle w:val="NApunkts2"/>
      </w:pPr>
      <w:r>
        <w:t xml:space="preserve">atbilst sabiedrības vērtībām, </w:t>
      </w:r>
      <w:r w:rsidR="00C5398F">
        <w:t>tai skaitā</w:t>
      </w:r>
      <w:r w:rsidR="00736AAF">
        <w:t xml:space="preserve"> sabiedrības</w:t>
      </w:r>
      <w:r>
        <w:t xml:space="preserve"> korporatīvajām vērtībām un augstas profesionālās rīcības un ētikas standartiem, ilgtermiņa interesēm</w:t>
      </w:r>
      <w:r w:rsidR="00A82647">
        <w:t xml:space="preserve"> un</w:t>
      </w:r>
      <w:r>
        <w:t xml:space="preserve"> attīstības stratēģijā noteiktajiem darbības mērķiem, kā arī ņem vērā, ka pieņemtajiem lēmumiem par ieguldījumu veikšanu ir ietekme ilgākā laikposmā;</w:t>
      </w:r>
    </w:p>
    <w:p w14:paraId="44B93885" w14:textId="35895641" w:rsidR="00127D88" w:rsidRDefault="00127D88" w:rsidP="00127D88">
      <w:pPr>
        <w:pStyle w:val="NApunkts2"/>
      </w:pPr>
      <w:r>
        <w:t xml:space="preserve">nosaka pasākumus interešu konfliktu novēršanai, </w:t>
      </w:r>
      <w:r w:rsidR="00BA0102">
        <w:t>tai skaitā</w:t>
      </w:r>
      <w:r>
        <w:t xml:space="preserve"> attiecībās ar klientiem, ņemot vērā Eiropas Vērtspapīru un tirgu iestādes </w:t>
      </w:r>
      <w:r w:rsidRPr="0086390D">
        <w:t>2023.</w:t>
      </w:r>
      <w:r w:rsidR="002031C8">
        <w:t> </w:t>
      </w:r>
      <w:r w:rsidRPr="0086390D">
        <w:t>gada 3.</w:t>
      </w:r>
      <w:r w:rsidR="002031C8">
        <w:t> </w:t>
      </w:r>
      <w:r w:rsidRPr="0086390D">
        <w:t xml:space="preserve">aprīļa pamatnostādnes </w:t>
      </w:r>
      <w:r w:rsidR="00BA0102">
        <w:t>Nr.</w:t>
      </w:r>
      <w:r w:rsidR="002031C8">
        <w:t> </w:t>
      </w:r>
      <w:r>
        <w:t xml:space="preserve">ESMA35-43-3565 </w:t>
      </w:r>
      <w:r w:rsidRPr="0086390D">
        <w:t xml:space="preserve">"Pamatnostādnes </w:t>
      </w:r>
      <w:r>
        <w:t>par noteiktiem FITD</w:t>
      </w:r>
      <w:r w:rsidR="00C5398F">
        <w:t> </w:t>
      </w:r>
      <w:r>
        <w:t>II atalgojuma prasību aspektiem</w:t>
      </w:r>
      <w:r w:rsidRPr="0086390D">
        <w:t>"</w:t>
      </w:r>
      <w:r>
        <w:t xml:space="preserve">, </w:t>
      </w:r>
      <w:r w:rsidR="004E5E06">
        <w:t xml:space="preserve">kā arī </w:t>
      </w:r>
      <w:r>
        <w:t xml:space="preserve">veicina </w:t>
      </w:r>
      <w:r w:rsidR="004E5E06">
        <w:t xml:space="preserve">sabiedrības </w:t>
      </w:r>
      <w:r>
        <w:t>darbību regulējošo normu ievērošanu, risku apzināšanos un risku piesardzīgu uzņemšanos;</w:t>
      </w:r>
    </w:p>
    <w:p w14:paraId="4EE67669" w14:textId="2EC5B53E" w:rsidR="00127D88" w:rsidRDefault="00127D88" w:rsidP="00127D88">
      <w:pPr>
        <w:pStyle w:val="NApunkts2"/>
      </w:pPr>
      <w:r>
        <w:t>nav pretrunā ar klientu interešu aizsardzības principiem un citu ieinteresēto pušu interesēm;</w:t>
      </w:r>
    </w:p>
    <w:p w14:paraId="559812A6" w14:textId="5D6B3B42" w:rsidR="00127D88" w:rsidRPr="00A024C2" w:rsidRDefault="00127D88" w:rsidP="00127D88">
      <w:pPr>
        <w:pStyle w:val="NApunkts2"/>
      </w:pPr>
      <w:r>
        <w:t>neparedz garantēt</w:t>
      </w:r>
      <w:r w:rsidR="00B01338">
        <w:t>as</w:t>
      </w:r>
      <w:r>
        <w:t xml:space="preserve"> atalgojuma mainīgās daļas piešķiršanu, kā arī neiekļauj to nākotnes atalgojuma plānos. Garantēta apmēra atalgojuma mainīgo daļu drīkst noteikt tikai izņēmuma kārtā, piemērojot to saistībā ar jaunu amatpersonu vai darbinieku pieņemšanu darbā, ne vairāk kā vienu reizi un ne ilgāk par pirmo darba gadu, </w:t>
      </w:r>
      <w:r w:rsidR="00C5398F">
        <w:t>tai skaitā</w:t>
      </w:r>
      <w:r>
        <w:t xml:space="preserve"> konsolidācijas grupas ietvaros, vienlaikus nodrošinot, ka tas netraucē sabiedrībai uzturēt stipru un stabilu kapitāla bāzi, un vērtējot, vai </w:t>
      </w:r>
      <w:r w:rsidRPr="00A024C2">
        <w:t>šāda maksājuma piešķiršana ir pamatojama ar sabiedrības ilgtermiņa interesēm;</w:t>
      </w:r>
    </w:p>
    <w:p w14:paraId="794C8E86" w14:textId="47D36359" w:rsidR="00127D88" w:rsidRDefault="00127D88" w:rsidP="00127D88">
      <w:pPr>
        <w:pStyle w:val="NApunkts2"/>
      </w:pPr>
      <w:r>
        <w:t>tiek dokumentēta</w:t>
      </w:r>
      <w:r w:rsidR="004E5E06">
        <w:t xml:space="preserve">, kā arī </w:t>
      </w:r>
      <w:r>
        <w:t>ir pieejama vis</w:t>
      </w:r>
      <w:r w:rsidR="00743CEC">
        <w:t>ām</w:t>
      </w:r>
      <w:r>
        <w:t xml:space="preserve"> sabiedrības</w:t>
      </w:r>
      <w:r w:rsidR="00743CEC">
        <w:t xml:space="preserve"> amatpersonām un</w:t>
      </w:r>
      <w:r>
        <w:t xml:space="preserve"> darbiniekiem</w:t>
      </w:r>
      <w:r w:rsidR="00CB15B3">
        <w:t>, ievērojot iekšējos normatīvos aktus konfidencialitātes jomā</w:t>
      </w:r>
      <w:r>
        <w:t>;</w:t>
      </w:r>
    </w:p>
    <w:p w14:paraId="1230BC75" w14:textId="13972DEB" w:rsidR="00127D88" w:rsidRDefault="00CB15B3" w:rsidP="00127D88">
      <w:pPr>
        <w:pStyle w:val="NApunkts2"/>
      </w:pPr>
      <w:r>
        <w:t>paredz</w:t>
      </w:r>
      <w:r w:rsidR="00127D88">
        <w:t>, ka kontroles funkciju veicēji ir pilnvaroti veikt nepieciešamās pārbaudes, tie ir funkcionāli neatkarīgi no sabiedrības struktūrvienībām, kuras tie pārrauga, un to atalgojumu nosaka saskaņā ar kontroles funkcij</w:t>
      </w:r>
      <w:r w:rsidR="004E5E06">
        <w:t>u veicējiem</w:t>
      </w:r>
      <w:r w:rsidR="00127D88">
        <w:t xml:space="preserve"> noteikto mērķu sasniegšanu neatkarīgi no sasniegtajiem darbības rezultātiem</w:t>
      </w:r>
      <w:r w:rsidR="004E5E06">
        <w:t xml:space="preserve"> to kontrolētajās darbības jomās</w:t>
      </w:r>
      <w:r w:rsidR="00127D88">
        <w:t>;</w:t>
      </w:r>
    </w:p>
    <w:p w14:paraId="78DFDB46" w14:textId="16ADEFE7" w:rsidR="00127D88" w:rsidRDefault="00127D88" w:rsidP="00127D88">
      <w:pPr>
        <w:pStyle w:val="NApunkts2"/>
      </w:pPr>
      <w:r>
        <w:t xml:space="preserve">nosaka, ka kontroles funkciju veicēji vismaz reizi gadā veic īstenotās atalgojuma politikas un tās pamatprincipu atbilstības novērtējumu, ja nepieciešams, arī konsolidācijas grupas līmenī, kā arī izvērtē atalgojuma politikas un tās pamatprincipu piemērotību sabiedrības darbības specifikai, ņemot vērā ietekmi uz sabiedrības risku, kapitāla un likviditātes pārvaldīšanas kvalitāti un pārmaiņas ārējos faktoros, </w:t>
      </w:r>
      <w:r w:rsidR="00C5398F">
        <w:t>tai skaitā</w:t>
      </w:r>
      <w:r>
        <w:t xml:space="preserve"> ārējos normatīvajos aktos, un sniedz atbilstības novērtējumu.</w:t>
      </w:r>
    </w:p>
    <w:p w14:paraId="01AA6939" w14:textId="46DCEBF6" w:rsidR="00127D88" w:rsidRDefault="00127D88" w:rsidP="00127D88">
      <w:pPr>
        <w:pStyle w:val="NApunkts1"/>
      </w:pPr>
      <w:r w:rsidRPr="006D426F">
        <w:lastRenderedPageBreak/>
        <w:t>Atalgojuma politikas</w:t>
      </w:r>
      <w:r>
        <w:t xml:space="preserve"> un ar to saistīto iekšējo normatīvo aktu, </w:t>
      </w:r>
      <w:r w:rsidR="00BA0102">
        <w:t>tai skaitā</w:t>
      </w:r>
      <w:r>
        <w:t xml:space="preserve"> sabiedrības riska profilu ietekmējošo amatu izvērtēšanas procedūras, izstrādē, īstenošanā, kā arī uzraudzības un izvērtēšanas procesā iesaista </w:t>
      </w:r>
      <w:r w:rsidR="009E794B">
        <w:t xml:space="preserve">amatpersonas un </w:t>
      </w:r>
      <w:r>
        <w:t>darbiniekus, kas sabiedrībā veic kontroles un personāla vadības funkcijas.</w:t>
      </w:r>
    </w:p>
    <w:p w14:paraId="0CB00681" w14:textId="29C94905" w:rsidR="00127D88" w:rsidRPr="005029F6" w:rsidRDefault="00127D88" w:rsidP="00127D88">
      <w:pPr>
        <w:pStyle w:val="NApunkts1"/>
      </w:pPr>
      <w:r>
        <w:t xml:space="preserve">Sabiedrība nodrošina, ka šo noteikumu </w:t>
      </w:r>
      <w:r w:rsidR="00DD481F" w:rsidRPr="005029F6">
        <w:t>7</w:t>
      </w:r>
      <w:r w:rsidRPr="005029F6">
        <w:t>.</w:t>
      </w:r>
      <w:r w:rsidR="00C5398F" w:rsidRPr="005029F6">
        <w:t> </w:t>
      </w:r>
      <w:r w:rsidRPr="005029F6">
        <w:t>punktā minētajām iesaistītajām personām ir:</w:t>
      </w:r>
    </w:p>
    <w:p w14:paraId="1C80B4ED" w14:textId="0FE90292" w:rsidR="00127D88" w:rsidRDefault="00127D88" w:rsidP="00127D88">
      <w:pPr>
        <w:pStyle w:val="NApunkts2"/>
      </w:pPr>
      <w:r w:rsidRPr="005029F6">
        <w:t>atbilstoša kompetence atalgojuma vai risku pārvaldības</w:t>
      </w:r>
      <w:r>
        <w:t xml:space="preserve"> jomā un pietiekamas zināšanas, prasmes un pieredze tām uzticēto pienākumu veikšanai;</w:t>
      </w:r>
    </w:p>
    <w:p w14:paraId="5AA76FB0" w14:textId="66AB24BE" w:rsidR="00127D88" w:rsidRDefault="00127D88" w:rsidP="00127D88">
      <w:pPr>
        <w:pStyle w:val="NApunkts2"/>
      </w:pPr>
      <w:r>
        <w:t>funkcionāla neatkarība no to kontrolei pakļautajām darbības jomām (struktūrvienībām);</w:t>
      </w:r>
    </w:p>
    <w:p w14:paraId="6729B5E0" w14:textId="2250A15E" w:rsidR="00127D88" w:rsidRDefault="00127D88" w:rsidP="00127D88">
      <w:pPr>
        <w:pStyle w:val="NApunkts2"/>
      </w:pPr>
      <w:r>
        <w:t>nepieciešamās pilnvaras to funkciju veikšanai un informācijas iegūšanai, t</w:t>
      </w:r>
      <w:r w:rsidR="00BA0102">
        <w:t>ai skaitā</w:t>
      </w:r>
      <w:r>
        <w:t xml:space="preserve"> neierobežota piekļuve visai informācijai un datiem, kas saistīti ar atalgojuma politikas izstrādi, īstenošanu, uzraudzību un izvērtēšanu;</w:t>
      </w:r>
    </w:p>
    <w:p w14:paraId="215EB33D" w14:textId="2A030495" w:rsidR="00A21786" w:rsidRDefault="00127D88" w:rsidP="00127D88">
      <w:pPr>
        <w:pStyle w:val="NApunkts2"/>
      </w:pPr>
      <w:r>
        <w:t xml:space="preserve">iespēja sniegt neatkarīgu un kompetentu vērtējumu par atalgojuma politiku un tās piemērošanu praksē, kā arī piemērotību sabiedrības darbībai, </w:t>
      </w:r>
      <w:r w:rsidR="00BA0102">
        <w:t>tai skaitā</w:t>
      </w:r>
      <w:r>
        <w:t xml:space="preserve"> tās ietekmi uz sabiedrības riska profilu un risku, kapitāla un likviditātes pārvaldīšanas kvalitāti.</w:t>
      </w:r>
    </w:p>
    <w:p w14:paraId="7B33745E" w14:textId="77777777" w:rsidR="003B111D" w:rsidRDefault="003B111D" w:rsidP="003B111D">
      <w:pPr>
        <w:pStyle w:val="NApunkts1"/>
      </w:pPr>
      <w:r>
        <w:t>Atalgojuma politikas pamatprincipi nosaka:</w:t>
      </w:r>
    </w:p>
    <w:p w14:paraId="00043B2E" w14:textId="17D953E7" w:rsidR="003B111D" w:rsidRDefault="003B111D" w:rsidP="003B111D">
      <w:pPr>
        <w:pStyle w:val="NApunkts2"/>
      </w:pPr>
      <w:r>
        <w:t>atalgojuma politikas mērķus</w:t>
      </w:r>
      <w:r w:rsidR="00DD481F">
        <w:t xml:space="preserve"> (</w:t>
      </w:r>
      <w:r>
        <w:t>piemēram, attiecīgas kvalifikācijas amatpersonu vai darbinieku piesaistīšanu un motivēšanu sabiedrības noteikto darbības mērķu sasniegšanai</w:t>
      </w:r>
      <w:r w:rsidR="00DD481F">
        <w:t>)</w:t>
      </w:r>
      <w:r>
        <w:t>;</w:t>
      </w:r>
    </w:p>
    <w:p w14:paraId="3D5EFF18" w14:textId="2E98650C" w:rsidR="003B111D" w:rsidRDefault="003B111D" w:rsidP="003B111D">
      <w:pPr>
        <w:pStyle w:val="NApunkts2"/>
      </w:pPr>
      <w:r>
        <w:t>atalgojuma nemainīgās daļas</w:t>
      </w:r>
      <w:r w:rsidR="00BA5EDA">
        <w:t xml:space="preserve"> </w:t>
      </w:r>
      <w:r w:rsidR="00F06B9D">
        <w:t>elementus. Atalgojuma nemainīg</w:t>
      </w:r>
      <w:r w:rsidR="00DD481F">
        <w:t>aj</w:t>
      </w:r>
      <w:r w:rsidR="00F06B9D">
        <w:t>ā daļā sabiedrība ieskaita to</w:t>
      </w:r>
      <w:r w:rsidR="00BA5EDA">
        <w:t xml:space="preserve"> darba samaksas daļ</w:t>
      </w:r>
      <w:r w:rsidR="00F06B9D">
        <w:t>u</w:t>
      </w:r>
      <w:r w:rsidR="00BA5EDA">
        <w:t>, kura nav atkarīga no darbības rezultātiem</w:t>
      </w:r>
      <w:r w:rsidR="00736AAF">
        <w:t xml:space="preserve"> vai snieguma</w:t>
      </w:r>
      <w:r w:rsidR="00BA5EDA">
        <w:t xml:space="preserve"> (parasti</w:t>
      </w:r>
      <w:r w:rsidR="00C5398F">
        <w:t> </w:t>
      </w:r>
      <w:r w:rsidR="00BA5EDA">
        <w:t>– darba alga) un kura ietver</w:t>
      </w:r>
      <w:r w:rsidR="00C5398F">
        <w:t xml:space="preserve"> </w:t>
      </w:r>
      <w:r w:rsidR="00BA5EDA" w:rsidRPr="0028232F">
        <w:t>Darba likumā</w:t>
      </w:r>
      <w:r w:rsidR="00C5398F">
        <w:t xml:space="preserve"> </w:t>
      </w:r>
      <w:r w:rsidR="00BA5EDA">
        <w:t>noteiktos obligātos maksājumus, kā arī tādas iemaksas pensiju plānos vai citus maksājumus, kas noteikti sabiedrības pensiju politik</w:t>
      </w:r>
      <w:r w:rsidR="00F06B9D">
        <w:t>ā</w:t>
      </w:r>
      <w:r w:rsidR="00BA5EDA">
        <w:t xml:space="preserve"> vai paredzēti darba koplīgumā sabiedrības organizācijas līmenī</w:t>
      </w:r>
      <w:r>
        <w:t>;</w:t>
      </w:r>
    </w:p>
    <w:p w14:paraId="77881602" w14:textId="77777777" w:rsidR="00F06B9D" w:rsidRDefault="003B111D" w:rsidP="003B111D">
      <w:pPr>
        <w:pStyle w:val="NApunkts2"/>
      </w:pPr>
      <w:r>
        <w:t>atalgojuma mainīgās daļas (ja tāda ir paredzēta)</w:t>
      </w:r>
      <w:r w:rsidR="00F06B9D">
        <w:t xml:space="preserve"> elementus. Atalgojuma mainīgajā daļā sabiedrība ieskaita</w:t>
      </w:r>
      <w:r w:rsidR="00BA5EDA">
        <w:t xml:space="preserve"> no darbības rezultātiem atkarīg</w:t>
      </w:r>
      <w:r w:rsidR="00F06B9D">
        <w:t>u</w:t>
      </w:r>
      <w:r w:rsidR="00BA5EDA">
        <w:t xml:space="preserve"> darba samaksas daļ</w:t>
      </w:r>
      <w:r w:rsidR="00F06B9D">
        <w:t>u, kuru var veidot:</w:t>
      </w:r>
    </w:p>
    <w:p w14:paraId="4F56ACAC" w14:textId="77777777" w:rsidR="00F06B9D" w:rsidRDefault="00BA5EDA" w:rsidP="00F06B9D">
      <w:pPr>
        <w:pStyle w:val="NApunkts3"/>
      </w:pPr>
      <w:r>
        <w:t>izmaksas monetārā</w:t>
      </w:r>
      <w:r w:rsidR="00F06B9D">
        <w:t xml:space="preserve"> formā</w:t>
      </w:r>
      <w:r>
        <w:t xml:space="preserve"> (piemēram, prēmijas)</w:t>
      </w:r>
      <w:r w:rsidR="00F06B9D">
        <w:t>;</w:t>
      </w:r>
    </w:p>
    <w:p w14:paraId="32991E0D" w14:textId="5EE6DC1E" w:rsidR="00693525" w:rsidRDefault="00F06B9D" w:rsidP="00F06B9D">
      <w:pPr>
        <w:pStyle w:val="NApunkts3"/>
      </w:pPr>
      <w:r>
        <w:t>izmaksas</w:t>
      </w:r>
      <w:r w:rsidR="00BA5EDA">
        <w:t xml:space="preserve"> nemonetārā formā (piemēram, akciju vai ar akcijām saistītu instrumentu formā)</w:t>
      </w:r>
      <w:r w:rsidR="00C5398F">
        <w:t>;</w:t>
      </w:r>
    </w:p>
    <w:p w14:paraId="6EE042A2" w14:textId="4C1C50E6" w:rsidR="00693525" w:rsidRDefault="00BA5EDA" w:rsidP="00F06B9D">
      <w:pPr>
        <w:pStyle w:val="NApunkts3"/>
      </w:pPr>
      <w:r>
        <w:t>pēc sabiedrības iniciatīvas noteikt</w:t>
      </w:r>
      <w:r w:rsidR="00693525">
        <w:t>ie</w:t>
      </w:r>
      <w:r>
        <w:t xml:space="preserve"> diskrecionār</w:t>
      </w:r>
      <w:r w:rsidR="00693525">
        <w:t>ie</w:t>
      </w:r>
      <w:r>
        <w:t xml:space="preserve"> pensiju pabalst</w:t>
      </w:r>
      <w:r w:rsidR="00693525">
        <w:t>i</w:t>
      </w:r>
      <w:r w:rsidR="00C5398F">
        <w:t>;</w:t>
      </w:r>
    </w:p>
    <w:p w14:paraId="006D1C15" w14:textId="755877F2" w:rsidR="003B111D" w:rsidRDefault="00BA5EDA" w:rsidP="002031C8">
      <w:pPr>
        <w:pStyle w:val="NApunkts3"/>
      </w:pPr>
      <w:r>
        <w:t>atalgojuma element</w:t>
      </w:r>
      <w:r w:rsidR="00693525">
        <w:t>i</w:t>
      </w:r>
      <w:r>
        <w:t>, kuri nav skaidri klasificējami kā atalgojuma nemainīgā daļa</w:t>
      </w:r>
      <w:r w:rsidR="00BE58E9">
        <w:t xml:space="preserve"> (</w:t>
      </w:r>
      <w:r>
        <w:t>piemēram, noturēšanas piemaksas, atlīdzība, kas pārsniedz</w:t>
      </w:r>
      <w:r w:rsidR="00C5398F">
        <w:t xml:space="preserve"> </w:t>
      </w:r>
      <w:r w:rsidRPr="0028232F">
        <w:t>Darba likumā</w:t>
      </w:r>
      <w:r w:rsidR="00C5398F">
        <w:t xml:space="preserve"> </w:t>
      </w:r>
      <w:r>
        <w:t>noteiktās piemaksas vai atlaišanas pabalst</w:t>
      </w:r>
      <w:r w:rsidR="00BE58E9">
        <w:t>a</w:t>
      </w:r>
      <w:r>
        <w:t xml:space="preserve"> apmēru darba līguma vai pilnvarojuma līguma uzteikšanas gadījumā, kompensācija, piemērojot to saistībā ar jaunu </w:t>
      </w:r>
      <w:r w:rsidR="00743CEC">
        <w:t xml:space="preserve">amatpersonu vai </w:t>
      </w:r>
      <w:r>
        <w:t>darbinieku pieņemšanu darbā līgumisko attiecību izbeigšanai ar iepriekšējo darba devēju</w:t>
      </w:r>
      <w:r w:rsidR="003B111D">
        <w:t xml:space="preserve">, </w:t>
      </w:r>
      <w:r>
        <w:t xml:space="preserve">kuru noteikšanā </w:t>
      </w:r>
      <w:r w:rsidR="003B111D">
        <w:t>sabiedrība ņem vērā visus esošos un varbūtējos riskus</w:t>
      </w:r>
      <w:r w:rsidR="008A48A1">
        <w:t>)</w:t>
      </w:r>
      <w:r w:rsidR="003B111D">
        <w:t>;</w:t>
      </w:r>
    </w:p>
    <w:p w14:paraId="74DB033B" w14:textId="3D245892" w:rsidR="003B111D" w:rsidRDefault="003B111D" w:rsidP="003B111D">
      <w:pPr>
        <w:pStyle w:val="NApunkts2"/>
      </w:pPr>
      <w:r>
        <w:t>atalgojuma mainīgās daļas atlikšanas kārtību, piešķirto</w:t>
      </w:r>
      <w:r w:rsidR="00E63B5D">
        <w:t xml:space="preserve"> nemonetāro</w:t>
      </w:r>
      <w:r>
        <w:t xml:space="preserve"> instrumentu </w:t>
      </w:r>
      <w:r w:rsidRPr="005029F6">
        <w:t>turēšanas politiku</w:t>
      </w:r>
      <w:r w:rsidR="00230F15">
        <w:t xml:space="preserve"> un</w:t>
      </w:r>
      <w:r w:rsidRPr="005029F6">
        <w:t xml:space="preserve"> atalgojuma mainīgās daļas koriģēšanas mehānismus, ņemot vērā šo noteikumu</w:t>
      </w:r>
      <w:r w:rsidR="00C5398F" w:rsidRPr="005029F6">
        <w:t xml:space="preserve"> </w:t>
      </w:r>
      <w:r w:rsidR="007155C0" w:rsidRPr="005029F6">
        <w:t>2</w:t>
      </w:r>
      <w:r w:rsidR="00F6439A" w:rsidRPr="005029F6">
        <w:t>6</w:t>
      </w:r>
      <w:r w:rsidR="007155C0" w:rsidRPr="005029F6">
        <w:t>.5</w:t>
      </w:r>
      <w:r w:rsidRPr="005029F6">
        <w:t>.</w:t>
      </w:r>
      <w:r w:rsidR="00C5398F" w:rsidRPr="005029F6">
        <w:t xml:space="preserve">3. apakšpunktā </w:t>
      </w:r>
      <w:r w:rsidRPr="005029F6">
        <w:t>noteiktās prasības</w:t>
      </w:r>
      <w:r>
        <w:t>;</w:t>
      </w:r>
    </w:p>
    <w:p w14:paraId="1117D1B8" w14:textId="1D083877" w:rsidR="003B111D" w:rsidRDefault="003B111D" w:rsidP="003B111D">
      <w:pPr>
        <w:pStyle w:val="NApunkts2"/>
      </w:pPr>
      <w:r>
        <w:t>finanšu un nefinanšu rādītājus un metodes</w:t>
      </w:r>
      <w:r w:rsidR="00743CEC">
        <w:t xml:space="preserve"> amatpersonu un</w:t>
      </w:r>
      <w:r>
        <w:t xml:space="preserve"> darbinieku darbības rezultātu novērtēšanai</w:t>
      </w:r>
      <w:r w:rsidR="008A48A1">
        <w:t xml:space="preserve">, kā arī </w:t>
      </w:r>
      <w:r>
        <w:t>atalgojuma mainīgās daļas un atalgojuma nemainīgās daļas noteikšanai. Sabiedrība skaidri nošķir kritērijus, kurus izmanto, lai noteiktu:</w:t>
      </w:r>
    </w:p>
    <w:p w14:paraId="59D5326B" w14:textId="18C5291E" w:rsidR="003B111D" w:rsidRDefault="003B111D" w:rsidP="003B111D">
      <w:pPr>
        <w:pStyle w:val="NApunkts3"/>
      </w:pPr>
      <w:r>
        <w:t xml:space="preserve">atalgojuma nemainīgo daļu, kas galvenokārt atspoguļo </w:t>
      </w:r>
      <w:r w:rsidR="00743CEC">
        <w:t xml:space="preserve">amatpersonas vai </w:t>
      </w:r>
      <w:r>
        <w:t>darbinieka profesionālo pieredzi un atbildības līmeni, kurš noteikts attiecīgā</w:t>
      </w:r>
      <w:r w:rsidR="00743CEC">
        <w:t>s amatpersonas vai</w:t>
      </w:r>
      <w:r>
        <w:t xml:space="preserve"> darbinieka amata aprakstā, kas ir darba līguma neatņemama sastāvdaļa;</w:t>
      </w:r>
    </w:p>
    <w:p w14:paraId="62FC2403" w14:textId="0B8FC8F4" w:rsidR="003B111D" w:rsidRDefault="003B111D" w:rsidP="003B111D">
      <w:pPr>
        <w:pStyle w:val="NApunkts3"/>
      </w:pPr>
      <w:r>
        <w:t xml:space="preserve">atalgojuma mainīgo daļu, kas atspoguļo </w:t>
      </w:r>
      <w:r w:rsidR="00743CEC">
        <w:t xml:space="preserve">amatpersonas vai </w:t>
      </w:r>
      <w:r>
        <w:t>darbinieka darbības rezultātus, kuri pārsniedz tā amata aprakstā noteiktās prasības, to noturīgumu un korekciju, ņemot vērā ar tiem saistīto esošo un varbūtējo risku izvērtējumu;</w:t>
      </w:r>
    </w:p>
    <w:p w14:paraId="7DFE6B91" w14:textId="3F271EAC" w:rsidR="003B111D" w:rsidRDefault="003B111D" w:rsidP="003B111D">
      <w:pPr>
        <w:pStyle w:val="NApunkts2"/>
      </w:pPr>
      <w:r>
        <w:lastRenderedPageBreak/>
        <w:t>pasākumus interešu konflikta novēršanai</w:t>
      </w:r>
      <w:r w:rsidR="008018F7">
        <w:t xml:space="preserve"> (piemēram</w:t>
      </w:r>
      <w:r>
        <w:t xml:space="preserve">, izslēdzot iespēju sabiedrības valdes un padomes locekļiem noteikt </w:t>
      </w:r>
      <w:r w:rsidR="00051279">
        <w:t xml:space="preserve">savu atalgojumu </w:t>
      </w:r>
      <w:r>
        <w:t xml:space="preserve">vai piedalīties </w:t>
      </w:r>
      <w:r w:rsidR="00051279">
        <w:t>tā</w:t>
      </w:r>
      <w:r>
        <w:t xml:space="preserve"> noteikšanā vai tieši </w:t>
      </w:r>
      <w:r w:rsidR="00051279">
        <w:t>ne</w:t>
      </w:r>
      <w:r>
        <w:t>piesaist</w:t>
      </w:r>
      <w:r w:rsidR="00051279">
        <w:t>ot</w:t>
      </w:r>
      <w:r>
        <w:t xml:space="preserve"> atalgojumu specifisku finanšu instrumentu, finanšu instrumentu kategoriju vai noteiktu apjomu pārdošanai</w:t>
      </w:r>
      <w:r w:rsidR="008018F7">
        <w:t>)</w:t>
      </w:r>
      <w:r>
        <w:t>;</w:t>
      </w:r>
    </w:p>
    <w:p w14:paraId="247189C5" w14:textId="73BB4EEC" w:rsidR="003B111D" w:rsidRDefault="003B111D" w:rsidP="00412168">
      <w:pPr>
        <w:pStyle w:val="NApunkts2"/>
      </w:pPr>
      <w:r>
        <w:t>katrai amata kategorijai samērīgu un pamatotu attiecību starp atalgojuma nemainīgo un mainīgo daļu, t</w:t>
      </w:r>
      <w:r w:rsidR="006650CC">
        <w:t>ai skaitā</w:t>
      </w:r>
      <w:r>
        <w:t xml:space="preserve"> atalgojuma mainīgās daļas augstāko robežu procentos no nemainīgās daļas, kas pamatojama ar attiecīgajam amatam noteikto darbības jomu, nosacījumiem</w:t>
      </w:r>
      <w:r w:rsidR="00940039">
        <w:t>,</w:t>
      </w:r>
      <w:r>
        <w:t xml:space="preserve"> specifiku</w:t>
      </w:r>
      <w:r w:rsidR="004B573E" w:rsidRPr="00564ACD">
        <w:t xml:space="preserve"> un</w:t>
      </w:r>
      <w:r>
        <w:t xml:space="preserve"> ietekmi uz sabiedrības vai tās pārvaldīto aktīvu riska profilu, kā arī ir atbilstoša sabiedrības ilgtermiņa interesēm un neierobežo sabiedrības spēju ievērot</w:t>
      </w:r>
      <w:r w:rsidR="00C5398F">
        <w:t xml:space="preserve"> </w:t>
      </w:r>
      <w:r w:rsidRPr="00AD20CF">
        <w:t>Ieguldījumu brokeru</w:t>
      </w:r>
      <w:r w:rsidR="00412168">
        <w:t xml:space="preserve"> </w:t>
      </w:r>
      <w:r w:rsidRPr="00AD20CF">
        <w:t>sabiedrību likumā</w:t>
      </w:r>
      <w:r w:rsidR="00C5398F">
        <w:t xml:space="preserve"> </w:t>
      </w:r>
      <w:r>
        <w:t>un Regulā</w:t>
      </w:r>
      <w:r w:rsidR="00412168">
        <w:t> </w:t>
      </w:r>
      <w:r w:rsidRPr="00AD20CF">
        <w:t>2019/2033</w:t>
      </w:r>
      <w:r w:rsidR="00C5398F">
        <w:t xml:space="preserve"> </w:t>
      </w:r>
      <w:r>
        <w:t>noteiktās prasības. Sabiedrība nodrošina, ka atalgojuma nemainīgā daļa atalgojumā ir pietiekami liela, lai sabiedrība varētu noteikt elastīgu atalgojuma politiku attiecībā uz atalgojuma mainīgo daļu, ieskaitot iespēju neizmaksāt atalgojuma mainīgo daļu</w:t>
      </w:r>
      <w:r w:rsidR="00213D95">
        <w:t xml:space="preserve"> (</w:t>
      </w:r>
      <w:r>
        <w:t xml:space="preserve">piemēram, sabiedrības finansiālā stāvokļa pasliktināšanās gadījumā vai </w:t>
      </w:r>
      <w:r w:rsidR="00D55700">
        <w:t>situācijās</w:t>
      </w:r>
      <w:r>
        <w:t>, kad nav nodrošināta sabiedrības darbību regulējošo prasību izpilde</w:t>
      </w:r>
      <w:r w:rsidR="00213D95">
        <w:t>)</w:t>
      </w:r>
      <w:r>
        <w:t>;</w:t>
      </w:r>
    </w:p>
    <w:p w14:paraId="32BF1A37" w14:textId="09B69416" w:rsidR="003B111D" w:rsidRDefault="003B111D" w:rsidP="003B111D">
      <w:pPr>
        <w:pStyle w:val="NApunkts2"/>
      </w:pPr>
      <w:r>
        <w:t>atlīdzības, kas pārsniedz</w:t>
      </w:r>
      <w:r w:rsidR="00C5398F">
        <w:t xml:space="preserve"> </w:t>
      </w:r>
      <w:r w:rsidRPr="00D322BA">
        <w:t>Darba likumā</w:t>
      </w:r>
      <w:r w:rsidR="00C5398F">
        <w:t xml:space="preserve"> </w:t>
      </w:r>
      <w:r>
        <w:t>noteikt</w:t>
      </w:r>
      <w:r w:rsidR="00D55700">
        <w:t>o</w:t>
      </w:r>
      <w:r>
        <w:t xml:space="preserve"> atlaišanas pabalst</w:t>
      </w:r>
      <w:r w:rsidR="00E05534">
        <w:t>a</w:t>
      </w:r>
      <w:r>
        <w:t xml:space="preserve"> apmēru darba līguma vai pilnvarojuma līguma uzteikšanas gadījumā, piešķiršanas kritērijus</w:t>
      </w:r>
      <w:r w:rsidRPr="002F2C24">
        <w:t>,</w:t>
      </w:r>
      <w:r>
        <w:t xml:space="preserve"> samazināšanas vai neizmaksāšanas nosacījumus, ja attiecīgā</w:t>
      </w:r>
      <w:r w:rsidR="00743CEC">
        <w:t>s amatpersonas vai</w:t>
      </w:r>
      <w:r>
        <w:t xml:space="preserve"> darbinieka darbīb</w:t>
      </w:r>
      <w:r w:rsidR="00D55700">
        <w:t>ā</w:t>
      </w:r>
      <w:r>
        <w:t xml:space="preserve"> ir </w:t>
      </w:r>
      <w:r w:rsidRPr="007741AC">
        <w:t>pieļautas kļūdas, pārkāpumi vai nepienācīgi veikta profesionālā darbība</w:t>
      </w:r>
      <w:r w:rsidR="006F39B1" w:rsidRPr="007741AC">
        <w:t>, nodrošinot, ka t</w:t>
      </w:r>
      <w:r w:rsidR="007741AC" w:rsidRPr="00A024C2">
        <w:t>ās</w:t>
      </w:r>
      <w:r w:rsidR="006F39B1" w:rsidRPr="007741AC">
        <w:t xml:space="preserve"> izmaksa</w:t>
      </w:r>
      <w:r w:rsidR="006F39B1">
        <w:t xml:space="preserve"> </w:t>
      </w:r>
      <w:r w:rsidR="006F39B1" w:rsidRPr="007741AC">
        <w:t>atbilst</w:t>
      </w:r>
      <w:r w:rsidR="006F39B1">
        <w:t xml:space="preserve"> sabiedrības ilgtermiņa interesēm</w:t>
      </w:r>
      <w:r>
        <w:t>;</w:t>
      </w:r>
    </w:p>
    <w:p w14:paraId="67F8A966" w14:textId="460F05D3" w:rsidR="003B111D" w:rsidRPr="005029F6" w:rsidRDefault="003B111D" w:rsidP="00C5398F">
      <w:pPr>
        <w:pStyle w:val="NApunkts2"/>
      </w:pPr>
      <w:r>
        <w:t xml:space="preserve">sabiedrības riska profilu ietekmējošo </w:t>
      </w:r>
      <w:r w:rsidRPr="005029F6">
        <w:t>amatu identifikācijas procesu</w:t>
      </w:r>
      <w:r w:rsidR="00C5398F" w:rsidRPr="005029F6">
        <w:t>.</w:t>
      </w:r>
    </w:p>
    <w:p w14:paraId="4987960E" w14:textId="6C93DC8B" w:rsidR="003B111D" w:rsidRPr="005029F6" w:rsidRDefault="003B111D" w:rsidP="003B111D">
      <w:pPr>
        <w:pStyle w:val="NApunkts1"/>
      </w:pPr>
      <w:bookmarkStart w:id="3" w:name="p21"/>
      <w:bookmarkStart w:id="4" w:name="p-1131733"/>
      <w:bookmarkEnd w:id="3"/>
      <w:bookmarkEnd w:id="4"/>
      <w:r w:rsidRPr="005029F6">
        <w:t xml:space="preserve">Atalgojuma mainīgo daļu </w:t>
      </w:r>
      <w:r w:rsidR="00D55700" w:rsidRPr="005029F6">
        <w:t>sabiedrības padomes loceklim var</w:t>
      </w:r>
      <w:r w:rsidRPr="005029F6">
        <w:t xml:space="preserve"> piešķirt</w:t>
      </w:r>
      <w:r w:rsidR="00E01CC4" w:rsidRPr="005029F6">
        <w:t>, ja</w:t>
      </w:r>
      <w:r w:rsidRPr="005029F6">
        <w:t xml:space="preserve"> to ir iespējams pamatot ar konkrētā padomes locekļa pienākumiem un </w:t>
      </w:r>
      <w:r w:rsidR="007741AC">
        <w:t xml:space="preserve">ar tiem saistīto mērķu </w:t>
      </w:r>
      <w:r w:rsidRPr="005029F6">
        <w:t>sasnieg</w:t>
      </w:r>
      <w:r w:rsidR="007741AC">
        <w:t>šanu</w:t>
      </w:r>
      <w:r w:rsidRPr="005029F6">
        <w:t>, neizslēdzot iespēju piemērot šo noteikumu</w:t>
      </w:r>
      <w:r w:rsidR="00C5398F" w:rsidRPr="005029F6">
        <w:t xml:space="preserve"> </w:t>
      </w:r>
      <w:r w:rsidR="00721841" w:rsidRPr="005029F6">
        <w:t>2</w:t>
      </w:r>
      <w:r w:rsidR="00D55700" w:rsidRPr="005029F6">
        <w:t>6</w:t>
      </w:r>
      <w:r w:rsidRPr="005029F6">
        <w:t>.5.3.</w:t>
      </w:r>
      <w:r w:rsidR="00C5398F" w:rsidRPr="005029F6">
        <w:t> </w:t>
      </w:r>
      <w:r w:rsidR="0090562C" w:rsidRPr="005029F6">
        <w:t>apakš</w:t>
      </w:r>
      <w:r w:rsidRPr="005029F6">
        <w:t>punktā</w:t>
      </w:r>
      <w:r w:rsidR="00C5398F" w:rsidRPr="005029F6">
        <w:t xml:space="preserve"> </w:t>
      </w:r>
      <w:r w:rsidRPr="005029F6">
        <w:t>minētos koriģēšanas mehānismus.</w:t>
      </w:r>
    </w:p>
    <w:p w14:paraId="56238122" w14:textId="190AA8E9" w:rsidR="00840034" w:rsidRPr="00527FD8" w:rsidRDefault="003B111D" w:rsidP="00AD20CF">
      <w:pPr>
        <w:pStyle w:val="NApunkts1"/>
      </w:pPr>
      <w:bookmarkStart w:id="5" w:name="p22"/>
      <w:bookmarkStart w:id="6" w:name="p-1131734"/>
      <w:bookmarkEnd w:id="5"/>
      <w:bookmarkEnd w:id="6"/>
      <w:r>
        <w:t>Sabiedrība nodrošina, ka atalgojuma mainīgās daļas noteikšana neierobežo sabiedrības likviditāti un spēju stiprināt tās pašu kapitālu īs</w:t>
      </w:r>
      <w:r w:rsidR="00E63B5D">
        <w:t xml:space="preserve">termiņā </w:t>
      </w:r>
      <w:r>
        <w:t>un ilg</w:t>
      </w:r>
      <w:r w:rsidR="00E63B5D">
        <w:t>termiņā</w:t>
      </w:r>
      <w:r>
        <w:t xml:space="preserve"> un ka tās faktiskā izmaksa tiek ierobežota vai netiek veikta, ja tas var negatīvi ietekmēt sabiedrības pašu kapitāla vai likviditātes prasības.</w:t>
      </w:r>
    </w:p>
    <w:p w14:paraId="2B1DD9C2" w14:textId="7FC38DA7" w:rsidR="00840034" w:rsidRDefault="00FB44CA" w:rsidP="00702E6D">
      <w:pPr>
        <w:pStyle w:val="NAnodalaromiesucipari"/>
      </w:pPr>
      <w:r>
        <w:t>Atalgojuma politikas pārvaldība</w:t>
      </w:r>
    </w:p>
    <w:p w14:paraId="02A30C97" w14:textId="1DFF37AE" w:rsidR="00AD20CF" w:rsidRPr="00AD20CF" w:rsidRDefault="00AD20CF" w:rsidP="00AD20CF">
      <w:pPr>
        <w:pStyle w:val="NApunkts1"/>
      </w:pPr>
      <w:r w:rsidRPr="00AD20CF">
        <w:t xml:space="preserve">Sabiedrības padome (ja tāda ir izveidota) vai sabiedrības </w:t>
      </w:r>
      <w:r w:rsidR="00F058B9" w:rsidRPr="00AD20CF">
        <w:t>dalībniek</w:t>
      </w:r>
      <w:r w:rsidR="00F058B9">
        <w:t>u sapulce (ja sabiedrības padome nav izveidota)</w:t>
      </w:r>
      <w:r w:rsidR="00736AAF">
        <w:t xml:space="preserve"> saistībā ar atalgojuma politiku un praksi</w:t>
      </w:r>
      <w:r w:rsidR="00F058B9">
        <w:t xml:space="preserve"> </w:t>
      </w:r>
      <w:r w:rsidRPr="00AD20CF">
        <w:t>ir atbildīg</w:t>
      </w:r>
      <w:r w:rsidR="00F058B9">
        <w:t>a</w:t>
      </w:r>
      <w:r w:rsidRPr="00AD20CF">
        <w:t xml:space="preserve"> par:</w:t>
      </w:r>
    </w:p>
    <w:p w14:paraId="1B0B2146" w14:textId="4893550B" w:rsidR="00AD20CF" w:rsidRPr="00AD20CF" w:rsidRDefault="00AD20CF" w:rsidP="00AD20CF">
      <w:pPr>
        <w:pStyle w:val="NApunkts2"/>
      </w:pPr>
      <w:r w:rsidRPr="00AD20CF">
        <w:t>atalgojuma politikas pamatprincipu</w:t>
      </w:r>
      <w:r w:rsidR="00387B28">
        <w:t xml:space="preserve"> noteikšanu</w:t>
      </w:r>
      <w:r w:rsidRPr="00AD20CF">
        <w:t>, sabiedrības riska profilu ietekmējošo amatu identifikācijas procesu un atalgojuma politikas apstiprināšanu, pārskatīšanu, kā arī īstenošanas uzraudzību;</w:t>
      </w:r>
    </w:p>
    <w:p w14:paraId="74EFF94C" w14:textId="5732524C" w:rsidR="00AD20CF" w:rsidRPr="00AD20CF" w:rsidRDefault="00AD20CF" w:rsidP="00AD20CF">
      <w:pPr>
        <w:pStyle w:val="NApunkts2"/>
      </w:pPr>
      <w:r w:rsidRPr="00AD20CF">
        <w:t xml:space="preserve">atalgojuma noteikšanu sabiedrības riska profilu ietekmējošiem </w:t>
      </w:r>
      <w:r w:rsidR="00E6226A">
        <w:t>amatiem</w:t>
      </w:r>
      <w:r w:rsidRPr="00AD20CF">
        <w:t>;</w:t>
      </w:r>
    </w:p>
    <w:p w14:paraId="519250FC" w14:textId="208563B2" w:rsidR="00AD20CF" w:rsidRPr="00AD20CF" w:rsidRDefault="00AD20CF" w:rsidP="00AD20CF">
      <w:pPr>
        <w:pStyle w:val="NApunkts2"/>
      </w:pPr>
      <w:r w:rsidRPr="00AD20CF">
        <w:t>risku kontroles un darbības atbilstības kontroles funkciju augstākā līmeņa darbinieku atalgojuma tiešu pārraudzību, ja sabiedrībā nav izveidota atalgojuma komiteja;</w:t>
      </w:r>
    </w:p>
    <w:p w14:paraId="41A65629" w14:textId="18F2DA89" w:rsidR="00AD20CF" w:rsidRPr="00AD20CF" w:rsidRDefault="00AD20CF" w:rsidP="00AD20CF">
      <w:pPr>
        <w:pStyle w:val="NApunkts2"/>
      </w:pPr>
      <w:r w:rsidRPr="00AD20CF">
        <w:t>atalgojuma politikas pamatprincipu regulāru, bet ne retāk</w:t>
      </w:r>
      <w:r w:rsidR="007741AC">
        <w:t>u</w:t>
      </w:r>
      <w:r w:rsidRPr="00AD20CF">
        <w:t xml:space="preserve"> kā reizi gadā</w:t>
      </w:r>
      <w:r w:rsidR="007741AC" w:rsidRPr="007741AC">
        <w:t xml:space="preserve"> </w:t>
      </w:r>
      <w:r w:rsidR="007741AC">
        <w:t>pārskatīšanu</w:t>
      </w:r>
      <w:r w:rsidRPr="00AD20CF">
        <w:t>, lai nodrošinātu atbilstību sabiedrības darbībai, ņemot vērā tās attīstības stratēģiju un ārējo faktoru ietekmi;</w:t>
      </w:r>
    </w:p>
    <w:p w14:paraId="478436D4" w14:textId="6E082A5B" w:rsidR="00AD20CF" w:rsidRPr="005029F6" w:rsidRDefault="00AD20CF" w:rsidP="00AD20CF">
      <w:pPr>
        <w:pStyle w:val="NApunkts2"/>
      </w:pPr>
      <w:r w:rsidRPr="00AD20CF">
        <w:t xml:space="preserve">pārbaužu veikšanas kārtības noteikšanu par sabiedrības atalgojuma politikas īstenošanas atbilstību apstiprinātajai atalgojuma politikai, nosakot to, kura no sabiedrības kontroles funkcijām </w:t>
      </w:r>
      <w:r w:rsidR="005D705C" w:rsidRPr="00AD20CF">
        <w:t>pārbauda un novērtē</w:t>
      </w:r>
      <w:r w:rsidR="005D705C" w:rsidRPr="005029F6">
        <w:t xml:space="preserve"> </w:t>
      </w:r>
      <w:r w:rsidRPr="005029F6">
        <w:t>minēto atbilstību regulāri, bet ne retāk kā reizi gadā, un to, vai nepieciešams piesaistīt neatkarīgu ārējo ekspertu;</w:t>
      </w:r>
    </w:p>
    <w:p w14:paraId="2707A949" w14:textId="08F88EA4" w:rsidR="00AD20CF" w:rsidRPr="005029F6" w:rsidRDefault="00AD20CF" w:rsidP="00AD20CF">
      <w:pPr>
        <w:pStyle w:val="NApunkts2"/>
      </w:pPr>
      <w:r w:rsidRPr="005029F6">
        <w:lastRenderedPageBreak/>
        <w:t xml:space="preserve">ziņošanas sabiedrības padomei </w:t>
      </w:r>
      <w:r w:rsidR="001309BC" w:rsidRPr="005029F6">
        <w:t xml:space="preserve">kārtības </w:t>
      </w:r>
      <w:r w:rsidRPr="005029F6">
        <w:t xml:space="preserve">noteikšanu par pārbaudēm, kas veiktas saskaņā ar šo noteikumu </w:t>
      </w:r>
      <w:r w:rsidR="007A528E" w:rsidRPr="005029F6">
        <w:t>1</w:t>
      </w:r>
      <w:r w:rsidR="001309BC" w:rsidRPr="005029F6">
        <w:t>2</w:t>
      </w:r>
      <w:r w:rsidRPr="005029F6">
        <w:t>.5.</w:t>
      </w:r>
      <w:r w:rsidR="00C5398F" w:rsidRPr="005029F6">
        <w:t> </w:t>
      </w:r>
      <w:r w:rsidR="0090562C" w:rsidRPr="005029F6">
        <w:t>apakš</w:t>
      </w:r>
      <w:r w:rsidRPr="005029F6">
        <w:t>punktā minēto kārtību, konstatētajiem novērojumiem</w:t>
      </w:r>
      <w:r w:rsidR="007741AC">
        <w:t xml:space="preserve"> un</w:t>
      </w:r>
      <w:r w:rsidRPr="005029F6">
        <w:t xml:space="preserve"> trūkumiem un </w:t>
      </w:r>
      <w:r w:rsidR="007741AC">
        <w:t xml:space="preserve">izdarītajiem </w:t>
      </w:r>
      <w:r w:rsidRPr="005029F6">
        <w:t>secinājumiem, kā arī par atalgojuma politikas piemērotību sabiedrības darbības specifikai un ietekmi uz sabiedrības riska profilu un risku, kapitāla un likviditātes pārvaldīšanas kvalitāti kopumā;</w:t>
      </w:r>
    </w:p>
    <w:p w14:paraId="5908ED34" w14:textId="4A4DD9CC" w:rsidR="00AD20CF" w:rsidRPr="00AD20CF" w:rsidRDefault="00AD20CF" w:rsidP="00AD20CF">
      <w:pPr>
        <w:pStyle w:val="NApunkts2"/>
      </w:pPr>
      <w:r w:rsidRPr="00AD20CF">
        <w:t xml:space="preserve">trūkumu novēršanas plāna </w:t>
      </w:r>
      <w:r w:rsidR="0044605D" w:rsidRPr="00AD20CF">
        <w:t>apstiprināšan</w:t>
      </w:r>
      <w:r w:rsidR="0044605D">
        <w:t>as</w:t>
      </w:r>
      <w:r w:rsidR="0044605D" w:rsidRPr="00AD20CF">
        <w:t xml:space="preserve"> </w:t>
      </w:r>
      <w:r w:rsidRPr="00AD20CF">
        <w:t>un tā īstenošanas uzraudzību, ņemot vērā pārbaudēs konstatētās nepilnības;</w:t>
      </w:r>
    </w:p>
    <w:p w14:paraId="2B3E733E" w14:textId="755C321F" w:rsidR="00AD20CF" w:rsidRPr="00AD20CF" w:rsidRDefault="007741AC" w:rsidP="00AD20CF">
      <w:pPr>
        <w:pStyle w:val="NApunkts2"/>
      </w:pPr>
      <w:r>
        <w:t xml:space="preserve">informācijas sniegšanas kārtību </w:t>
      </w:r>
      <w:r w:rsidR="00AD20CF" w:rsidRPr="00AD20CF">
        <w:t>sabiedrības akcionāriem vai dalībniekiem saistībā ar atalgojuma politiku un praksi.</w:t>
      </w:r>
    </w:p>
    <w:p w14:paraId="12AA574B" w14:textId="48EBBEA7" w:rsidR="00AD20CF" w:rsidRPr="00AD20CF" w:rsidRDefault="00AD20CF" w:rsidP="00AD20CF">
      <w:pPr>
        <w:pStyle w:val="NApunkts1"/>
      </w:pPr>
      <w:r w:rsidRPr="00AD20CF">
        <w:t>Sabiedrības valde saistībā ar atalgojuma politiku un praksi ir atbildīga par:</w:t>
      </w:r>
    </w:p>
    <w:p w14:paraId="1F4FA613" w14:textId="77777777" w:rsidR="007A528E" w:rsidRDefault="00AD20CF" w:rsidP="007A528E">
      <w:pPr>
        <w:pStyle w:val="NApunkts2"/>
      </w:pPr>
      <w:r w:rsidRPr="00AD20CF">
        <w:t>sabiedrības padomes noteiktajiem atalgojuma politikas pamatprincipiem atbilstošas atalgojuma politikas izstrādi un tai atbilstošu iekšējo normatīvo aktu izstrādi, apstiprināšanu un īstenošanu;</w:t>
      </w:r>
    </w:p>
    <w:p w14:paraId="145D22EF" w14:textId="77777777" w:rsidR="007A528E" w:rsidRDefault="00AD20CF" w:rsidP="005C73B2">
      <w:pPr>
        <w:pStyle w:val="NApunkts2"/>
      </w:pPr>
      <w:r w:rsidRPr="00AD20CF">
        <w:t>amatpersonu un darbinieku informēšanu par to darbības rezultātu novērtēšanā un atalgojuma mainīgās daļas noteikšanā izmantojamajiem rādītājiem un metodēm;</w:t>
      </w:r>
    </w:p>
    <w:p w14:paraId="07D1C7A5" w14:textId="1E5306AD" w:rsidR="00AD20CF" w:rsidRPr="00AD20CF" w:rsidRDefault="00AD20CF" w:rsidP="007A528E">
      <w:pPr>
        <w:pStyle w:val="NApunkts2"/>
      </w:pPr>
      <w:r w:rsidRPr="00AD20CF">
        <w:t xml:space="preserve">to, ka atalgojuma politika un sabiedrības iekšējie normatīvie akti atalgojuma noteikšanai, </w:t>
      </w:r>
      <w:r w:rsidR="00C5398F">
        <w:t>tai skaitā</w:t>
      </w:r>
      <w:r w:rsidRPr="00AD20CF">
        <w:t xml:space="preserve"> novērtēšanas process un tā rezultāti, ir skaidri, dokumentēti un pieejami, ciktāl </w:t>
      </w:r>
      <w:r w:rsidR="00736ADD">
        <w:t xml:space="preserve">tas </w:t>
      </w:r>
      <w:r w:rsidRPr="00AD20CF">
        <w:t>nepieciešams funkciju vai darba pienākumu veikšanai vai ciktāl tie attiecas uz konkrēto amatpersonu vai darbinieku.</w:t>
      </w:r>
    </w:p>
    <w:p w14:paraId="5F66FB29" w14:textId="401EB250" w:rsidR="00AD20CF" w:rsidRDefault="00AD20CF" w:rsidP="00AD20CF">
      <w:pPr>
        <w:pStyle w:val="NApunkts1"/>
      </w:pPr>
      <w:r w:rsidRPr="00AD20CF">
        <w:t xml:space="preserve">Sabiedrība, kas ir konsolidācijas grupas mātes sabiedrība, nodrošina nepieciešamās informācijas apmaiņu ar meitas sabiedrībām par atalgojuma politiku un ar to saistītajiem iekšējiem normatīvajiem aktiem un lēmumiem, lai sabiedrība, </w:t>
      </w:r>
      <w:r w:rsidR="00736ADD">
        <w:t>nodrošinot arī</w:t>
      </w:r>
      <w:r w:rsidRPr="00AD20CF">
        <w:t xml:space="preserve"> kontroles funkcij</w:t>
      </w:r>
      <w:r w:rsidR="00736ADD">
        <w:t>as</w:t>
      </w:r>
      <w:r w:rsidRPr="00AD20CF">
        <w:t xml:space="preserve">, </w:t>
      </w:r>
      <w:r w:rsidR="00736ADD" w:rsidRPr="00AD20CF">
        <w:t xml:space="preserve">varētu izvērtēt </w:t>
      </w:r>
      <w:r w:rsidRPr="00AD20CF">
        <w:t>atalgojuma politikas un prakses atbilstību grupas līmenī noteiktajām prasībām.</w:t>
      </w:r>
    </w:p>
    <w:p w14:paraId="39EC05D4" w14:textId="48FEBEEC" w:rsidR="00A21786" w:rsidRDefault="002441B8" w:rsidP="00702E6D">
      <w:pPr>
        <w:pStyle w:val="NAnodalaromiesucipari"/>
      </w:pPr>
      <w:r>
        <w:t xml:space="preserve">Sabiedrības </w:t>
      </w:r>
      <w:r w:rsidR="00743CEC" w:rsidRPr="00B1161A">
        <w:t xml:space="preserve">amatpersonu un </w:t>
      </w:r>
      <w:r w:rsidRPr="00B1161A">
        <w:t xml:space="preserve">darbinieku </w:t>
      </w:r>
      <w:r>
        <w:t>d</w:t>
      </w:r>
      <w:r w:rsidR="00C2660C" w:rsidRPr="00C2660C">
        <w:t>arbības rezultātu novērtēšana un atalgojuma mainīgās daļas noteikšana</w:t>
      </w:r>
    </w:p>
    <w:p w14:paraId="4F9B7787" w14:textId="396B3C40" w:rsidR="00702E6D" w:rsidRPr="00702E6D" w:rsidRDefault="00702E6D" w:rsidP="00702E6D">
      <w:pPr>
        <w:pStyle w:val="NApunkts1"/>
      </w:pPr>
      <w:r w:rsidRPr="00702E6D">
        <w:t>Sabiedrība nosaka kārtību</w:t>
      </w:r>
      <w:r w:rsidR="005D705C">
        <w:t xml:space="preserve"> </w:t>
      </w:r>
      <w:r w:rsidR="00916630">
        <w:t>tās</w:t>
      </w:r>
      <w:r w:rsidR="005D705C">
        <w:t xml:space="preserve"> amatpersonu un darbinieku</w:t>
      </w:r>
      <w:r w:rsidRPr="00702E6D">
        <w:t xml:space="preserve"> darbības rezultātu novērtēšanai un atalgojuma mainīgās daļas noteikšanai, piešķiršanai un neatsaucamu tiesību uz to iegūšanai un nodrošina, ka minētā kārtība un novērtējumu rezultāti ir dokumentēti, kā arī ar tiem ir iepazīstināt</w:t>
      </w:r>
      <w:r w:rsidR="00736ADD">
        <w:t>as</w:t>
      </w:r>
      <w:r w:rsidRPr="00702E6D">
        <w:t xml:space="preserve"> attiecīg</w:t>
      </w:r>
      <w:r w:rsidR="001D0F58">
        <w:t>ās</w:t>
      </w:r>
      <w:r w:rsidRPr="00702E6D">
        <w:t xml:space="preserve"> </w:t>
      </w:r>
      <w:r w:rsidR="001D0F58" w:rsidRPr="00702E6D">
        <w:t>amatpersonas</w:t>
      </w:r>
      <w:r w:rsidR="001D0F58">
        <w:t xml:space="preserve"> un</w:t>
      </w:r>
      <w:r w:rsidR="001D0F58" w:rsidRPr="00702E6D">
        <w:t xml:space="preserve"> </w:t>
      </w:r>
      <w:r w:rsidRPr="00702E6D">
        <w:t>darbinieki, kuru darbības rezultāti tiek novērtēti.</w:t>
      </w:r>
    </w:p>
    <w:p w14:paraId="6F026F30" w14:textId="3100B9B4" w:rsidR="00702E6D" w:rsidRPr="00702E6D" w:rsidRDefault="002441B8" w:rsidP="00702E6D">
      <w:pPr>
        <w:pStyle w:val="NApunkts1"/>
      </w:pPr>
      <w:r>
        <w:t xml:space="preserve">Sabiedrības </w:t>
      </w:r>
      <w:r w:rsidR="001D0F58">
        <w:t xml:space="preserve">amatpersonu un </w:t>
      </w:r>
      <w:r>
        <w:t>darbinieku i</w:t>
      </w:r>
      <w:r w:rsidR="00702E6D" w:rsidRPr="00702E6D">
        <w:t>ndividuālo darbības rezultātu novērtēšanai izmanto ne tikai darbības ap</w:t>
      </w:r>
      <w:r w:rsidR="00230F15">
        <w:t>jom</w:t>
      </w:r>
      <w:r w:rsidR="00702E6D" w:rsidRPr="00702E6D">
        <w:t>u raksturojošus (kvantitatīvos) finanšu rādītājus</w:t>
      </w:r>
      <w:r w:rsidR="00224023">
        <w:t xml:space="preserve"> (</w:t>
      </w:r>
      <w:r w:rsidR="00702E6D" w:rsidRPr="00702E6D">
        <w:t>piemēram, ienākumus vai apgrozījumu</w:t>
      </w:r>
      <w:r w:rsidR="00224023">
        <w:t>)</w:t>
      </w:r>
      <w:r w:rsidR="00702E6D" w:rsidRPr="00702E6D">
        <w:t>, bet arī nefinanšu (kvalitatīvos) rādītājus</w:t>
      </w:r>
      <w:r w:rsidR="00224023">
        <w:t xml:space="preserve"> (</w:t>
      </w:r>
      <w:r w:rsidR="00702E6D" w:rsidRPr="00702E6D">
        <w:t xml:space="preserve">piemēram, iekšējo normatīvo aktu un standartu, kas nosaka attiecības ar klientiem, </w:t>
      </w:r>
      <w:r w:rsidR="00736ADD">
        <w:t xml:space="preserve">un </w:t>
      </w:r>
      <w:r w:rsidR="00702E6D" w:rsidRPr="00702E6D">
        <w:t>noteikto limitu ievērošanu, taisnīgu attieksmi pret klientiem, klientu apmierinātību</w:t>
      </w:r>
      <w:r w:rsidR="00224023">
        <w:t>)</w:t>
      </w:r>
      <w:r w:rsidR="00702E6D" w:rsidRPr="00702E6D">
        <w:t>.</w:t>
      </w:r>
    </w:p>
    <w:p w14:paraId="329847A0" w14:textId="555DF3C8" w:rsidR="00702E6D" w:rsidRPr="00702E6D" w:rsidRDefault="00702E6D" w:rsidP="00702E6D">
      <w:pPr>
        <w:pStyle w:val="NApunkts1"/>
      </w:pPr>
      <w:r w:rsidRPr="00702E6D">
        <w:t>Sabiedrība nodrošina, ka</w:t>
      </w:r>
      <w:r w:rsidR="005D705C">
        <w:t xml:space="preserve"> </w:t>
      </w:r>
      <w:r w:rsidR="00916630">
        <w:t>tās</w:t>
      </w:r>
      <w:r w:rsidR="005D705C">
        <w:t xml:space="preserve"> amatpersonu un darbinieku</w:t>
      </w:r>
      <w:r w:rsidRPr="00702E6D">
        <w:t xml:space="preserve"> darbības rezultātu novērtēšana ir pamatota ar ilgtermiņa darbības rezultātiem un atbilst sabiedrības darbības ciklam un tās darbības riskiem. Atalgojuma mainīgās daļas piešķiršan</w:t>
      </w:r>
      <w:r w:rsidR="00736ADD">
        <w:t>ā</w:t>
      </w:r>
      <w:r w:rsidRPr="00702E6D">
        <w:t xml:space="preserve"> par </w:t>
      </w:r>
      <w:r w:rsidR="006D20DE">
        <w:t>iepriekšēj</w:t>
      </w:r>
      <w:r w:rsidR="005029F6">
        <w:t>o</w:t>
      </w:r>
      <w:r w:rsidR="006D20DE">
        <w:t xml:space="preserve"> period</w:t>
      </w:r>
      <w:r w:rsidR="005029F6">
        <w:t>u</w:t>
      </w:r>
      <w:r w:rsidRPr="00702E6D">
        <w:t xml:space="preserve"> darbības rezultātiem ņem vērā ne tikai attiecīgā perioda sniegumu, bet arī iespējamo risku vērtējumu, kas var ietekmēt turpmākos darbības rezultātu</w:t>
      </w:r>
      <w:r w:rsidR="008C70B5">
        <w:t>s</w:t>
      </w:r>
      <w:r w:rsidRPr="00702E6D">
        <w:t xml:space="preserve"> nākotnē vismaz viena gada perspektīvā.</w:t>
      </w:r>
    </w:p>
    <w:p w14:paraId="0BBA341B" w14:textId="5CB5E057" w:rsidR="00702E6D" w:rsidRPr="00702E6D" w:rsidRDefault="00702E6D" w:rsidP="00702E6D">
      <w:pPr>
        <w:pStyle w:val="NApunkts1"/>
      </w:pPr>
      <w:r w:rsidRPr="00702E6D">
        <w:t xml:space="preserve">Sabiedrība, </w:t>
      </w:r>
      <w:r w:rsidR="008C70B5" w:rsidRPr="00702E6D">
        <w:t>izmantojot</w:t>
      </w:r>
      <w:r w:rsidR="008C70B5">
        <w:t xml:space="preserve"> </w:t>
      </w:r>
      <w:r w:rsidRPr="00702E6D">
        <w:t>atalgojuma mainīgās daļas noteikšanai vairāku gadu darbības rezultātu vērtēšanas kritērijus, nodrošina:</w:t>
      </w:r>
    </w:p>
    <w:p w14:paraId="690677B2" w14:textId="5ADD263F" w:rsidR="00702E6D" w:rsidRPr="00702E6D" w:rsidRDefault="001D0F58" w:rsidP="00702E6D">
      <w:pPr>
        <w:pStyle w:val="NApunkts2"/>
      </w:pPr>
      <w:r>
        <w:lastRenderedPageBreak/>
        <w:t xml:space="preserve">amatpersonu un </w:t>
      </w:r>
      <w:r w:rsidR="008C70B5">
        <w:t>darbinieku informēšanu</w:t>
      </w:r>
      <w:r w:rsidR="00702E6D" w:rsidRPr="00702E6D">
        <w:t xml:space="preserve"> par šādu kārtību un piemērotajiem kritērijiem darbības rezultātu, kuri sasniedzami periodā pēc atalgojuma mainīgās daļas noteikšanas, bet pirms neatsaucamu tiesību uz to iegūšanas, vērtēšanai;</w:t>
      </w:r>
    </w:p>
    <w:p w14:paraId="5C42A401" w14:textId="62304921" w:rsidR="00702E6D" w:rsidRPr="00702E6D" w:rsidRDefault="00702E6D" w:rsidP="00702E6D">
      <w:pPr>
        <w:pStyle w:val="NApunkts2"/>
      </w:pPr>
      <w:r w:rsidRPr="00702E6D">
        <w:t xml:space="preserve">atalgojuma mainīgās daļas, uz kuru nav iegūtas neatsaucamas tiesības, korekciju, ņemot vērā šo </w:t>
      </w:r>
      <w:r w:rsidRPr="000F657E">
        <w:t xml:space="preserve">noteikumu </w:t>
      </w:r>
      <w:r w:rsidR="00721841" w:rsidRPr="000F657E">
        <w:t>1</w:t>
      </w:r>
      <w:r w:rsidR="008C70B5" w:rsidRPr="000F657E">
        <w:t>9</w:t>
      </w:r>
      <w:r w:rsidRPr="000F657E">
        <w:t xml:space="preserve">.1. un </w:t>
      </w:r>
      <w:r w:rsidR="00721841" w:rsidRPr="000F657E">
        <w:t>1</w:t>
      </w:r>
      <w:r w:rsidR="008C70B5" w:rsidRPr="000F657E">
        <w:t>9</w:t>
      </w:r>
      <w:r w:rsidRPr="000F657E">
        <w:t>.2.</w:t>
      </w:r>
      <w:r w:rsidR="00C5398F" w:rsidRPr="000F657E">
        <w:t> </w:t>
      </w:r>
      <w:r w:rsidR="004063DC" w:rsidRPr="000F657E">
        <w:t>apakš</w:t>
      </w:r>
      <w:r w:rsidRPr="000F657E">
        <w:t>punktā minēto</w:t>
      </w:r>
      <w:r w:rsidRPr="00702E6D">
        <w:t>.</w:t>
      </w:r>
    </w:p>
    <w:p w14:paraId="5FEEB5A0" w14:textId="58F134FC" w:rsidR="00702E6D" w:rsidRPr="00702E6D" w:rsidRDefault="00702E6D" w:rsidP="00702E6D">
      <w:pPr>
        <w:pStyle w:val="NApunkts1"/>
      </w:pPr>
      <w:r w:rsidRPr="00702E6D">
        <w:t>Sabiedrība</w:t>
      </w:r>
      <w:r w:rsidR="0044605D">
        <w:t>s amatpersonu un darbinieku</w:t>
      </w:r>
      <w:r w:rsidRPr="00702E6D">
        <w:t xml:space="preserve"> darbības rezultātu novērtēšanai </w:t>
      </w:r>
      <w:r w:rsidR="0044605D" w:rsidRPr="00702E6D">
        <w:t>izmantojot</w:t>
      </w:r>
      <w:r w:rsidR="0044605D">
        <w:t xml:space="preserve"> </w:t>
      </w:r>
      <w:r w:rsidRPr="00702E6D">
        <w:t>finanšu rādītājus, kas aprēķināti, pamatojoties uz grāmatvedības datiem, ņem vērā, ka šajos rādītājos ir ietverti darbības rezultāti par iepriekšējiem periodiem, nevis riski, kuru dēļ var rasties zaudējumi turpmākajos darbības periodos. Finanšu rādītājus koriģē, ņemot vērā:</w:t>
      </w:r>
    </w:p>
    <w:p w14:paraId="09CEC3F0" w14:textId="1FC4172D" w:rsidR="00702E6D" w:rsidRPr="00702E6D" w:rsidRDefault="00702E6D" w:rsidP="00702E6D">
      <w:pPr>
        <w:pStyle w:val="NApunkts2"/>
      </w:pPr>
      <w:r w:rsidRPr="00702E6D">
        <w:t>ar darbības rezultātiem saistīto esošo un varbūtējo risku izvērtējumu;</w:t>
      </w:r>
    </w:p>
    <w:p w14:paraId="0C441E16" w14:textId="79DC8DCA" w:rsidR="00702E6D" w:rsidRPr="00702E6D" w:rsidRDefault="00702E6D" w:rsidP="00702E6D">
      <w:pPr>
        <w:pStyle w:val="NApunkts2"/>
      </w:pPr>
      <w:r w:rsidRPr="00702E6D">
        <w:t>izmaksas kapitāla un likviditātes nodrošināšanai atbilstoši Regulas</w:t>
      </w:r>
      <w:r w:rsidR="00C5398F">
        <w:t> </w:t>
      </w:r>
      <w:r w:rsidRPr="00702E6D">
        <w:t>2019/2033 prasībām.</w:t>
      </w:r>
    </w:p>
    <w:p w14:paraId="1FAEA425" w14:textId="2B9C2E23" w:rsidR="00702E6D" w:rsidRPr="00702E6D" w:rsidRDefault="00702E6D" w:rsidP="00702E6D">
      <w:pPr>
        <w:pStyle w:val="NApunkts1"/>
      </w:pPr>
      <w:r w:rsidRPr="00702E6D">
        <w:t>Izstrādājot metodes finanšu rādītāju koriģēšanai, sabiedrība nosaka, kā atalgojuma mainīgās daļas noteikšanu katr</w:t>
      </w:r>
      <w:r w:rsidR="001D0F58">
        <w:t xml:space="preserve">ai amatpersonai un </w:t>
      </w:r>
      <w:r w:rsidRPr="00702E6D">
        <w:t>darbiniekam ietekmē:</w:t>
      </w:r>
    </w:p>
    <w:p w14:paraId="6E67DC62" w14:textId="673BBCC4" w:rsidR="00702E6D" w:rsidRDefault="00702E6D" w:rsidP="00702E6D">
      <w:pPr>
        <w:pStyle w:val="NApunkts2"/>
      </w:pPr>
      <w:r w:rsidRPr="00702E6D">
        <w:t>riski, kas rodas vai var rasties darbības veidos, kuros nodarbināt</w:t>
      </w:r>
      <w:r w:rsidR="001C5E6E">
        <w:t>a</w:t>
      </w:r>
      <w:r w:rsidRPr="00702E6D">
        <w:t xml:space="preserve"> attiecīg</w:t>
      </w:r>
      <w:r w:rsidR="001C5E6E">
        <w:t>ā</w:t>
      </w:r>
      <w:r w:rsidRPr="00702E6D">
        <w:t xml:space="preserve"> </w:t>
      </w:r>
      <w:r w:rsidR="001D0F58">
        <w:t xml:space="preserve">amatpersona vai </w:t>
      </w:r>
      <w:r w:rsidRPr="00702E6D">
        <w:t>darbinieks;</w:t>
      </w:r>
    </w:p>
    <w:p w14:paraId="0D3B3F81" w14:textId="77777777" w:rsidR="002D4891" w:rsidRDefault="00702E6D" w:rsidP="002D4891">
      <w:pPr>
        <w:pStyle w:val="NApunkts2"/>
      </w:pPr>
      <w:r w:rsidRPr="00702E6D">
        <w:t>iekšējās kontroles sistēmas elementi esošo un varbūtējo risku mazināšanai;</w:t>
      </w:r>
    </w:p>
    <w:p w14:paraId="4E9B7AB7" w14:textId="56B149FA" w:rsidR="00702E6D" w:rsidRPr="00702E6D" w:rsidRDefault="00702E6D" w:rsidP="002D4891">
      <w:pPr>
        <w:pStyle w:val="NApunkts2"/>
      </w:pPr>
      <w:r w:rsidRPr="00702E6D">
        <w:t>periods, kas nepieciešams, lai varētu izvērtēt darbības veida, kurā nodarbināta attiecīgā amatpersona vai darbinieks, rezultātu.</w:t>
      </w:r>
    </w:p>
    <w:p w14:paraId="7C9EF84D" w14:textId="27E62C0D" w:rsidR="00702E6D" w:rsidRPr="00702E6D" w:rsidRDefault="00702E6D" w:rsidP="002D4891">
      <w:pPr>
        <w:pStyle w:val="NApunkts1"/>
      </w:pPr>
      <w:r w:rsidRPr="00702E6D">
        <w:t>Sabiedrība</w:t>
      </w:r>
      <w:r w:rsidR="0044605D">
        <w:t>s amatpersonu un darbinieku</w:t>
      </w:r>
      <w:r w:rsidRPr="00702E6D">
        <w:t xml:space="preserve"> darbības rezultātu novērtēšanai </w:t>
      </w:r>
      <w:r w:rsidR="0044605D" w:rsidRPr="00702E6D">
        <w:t xml:space="preserve">izmantojot </w:t>
      </w:r>
      <w:r w:rsidRPr="00702E6D">
        <w:t xml:space="preserve">nefinanšu rādītājus, ņem vērā katras amatpersonas vai darbinieka individuālos darbības rezultātus. Nosakot nefinanšu rādītāju nozīmi, </w:t>
      </w:r>
      <w:r w:rsidR="005D705C">
        <w:t xml:space="preserve">sabiedrība </w:t>
      </w:r>
      <w:r w:rsidRPr="00702E6D">
        <w:t>ievēro, ka nefinanšu rādītāju izmantošana individuālās darbības rezultātu novērtēšanā ir būtiska, jo nefinanšu rādītāju neievērošana (vai nepilnīga ievērošana) var ietekmēt sabiedrības riska profilu vai tās finanšu rezultātus.</w:t>
      </w:r>
    </w:p>
    <w:p w14:paraId="521B0FDB" w14:textId="6708736F" w:rsidR="00702E6D" w:rsidRPr="00702E6D" w:rsidRDefault="00702E6D" w:rsidP="002D4891">
      <w:pPr>
        <w:pStyle w:val="NApunkts1"/>
      </w:pPr>
      <w:r w:rsidRPr="00702E6D">
        <w:t>Sabiedrība, nosakot atalgojuma mainīgo daļu, ņem vērā</w:t>
      </w:r>
      <w:r w:rsidR="001D0F58">
        <w:t xml:space="preserve"> amatpersonas vai</w:t>
      </w:r>
      <w:r w:rsidRPr="00702E6D">
        <w:t xml:space="preserve"> darbinieka darbības rezultātu novērtējumu individuāli kombinācijā ar darbības rezultātu novērtējumu attiecīgās struktūrvienības līmenī un kombinācijā ar vispārējiem darbības rezultātiem sabiedrības vai konsolidācijas grupas līmenī, kā arī ekspertu</w:t>
      </w:r>
      <w:r w:rsidR="009A721C">
        <w:t xml:space="preserve"> (</w:t>
      </w:r>
      <w:r w:rsidRPr="00702E6D">
        <w:t>piemēram, risku kontroles funkcijas</w:t>
      </w:r>
      <w:r w:rsidR="008C70B5">
        <w:t xml:space="preserve"> veicēju</w:t>
      </w:r>
      <w:r w:rsidR="009A721C">
        <w:t>)</w:t>
      </w:r>
      <w:r w:rsidRPr="00702E6D">
        <w:t xml:space="preserve"> izteiktos novērtējumus par darbības rezultātu noturīgumu (pastāvīgumu).</w:t>
      </w:r>
    </w:p>
    <w:p w14:paraId="67805D08" w14:textId="0EE2A5FC" w:rsidR="00702E6D" w:rsidRPr="000F657E" w:rsidRDefault="00702E6D" w:rsidP="002D4891">
      <w:pPr>
        <w:pStyle w:val="NApunkts1"/>
      </w:pPr>
      <w:r w:rsidRPr="00702E6D">
        <w:t xml:space="preserve">Sabiedrība nosaka darbības rezultātu rādītājus, kurus </w:t>
      </w:r>
      <w:r w:rsidRPr="000F657E">
        <w:t>izmanto atalgojuma mainīgās daļas</w:t>
      </w:r>
      <w:r w:rsidR="0044605D">
        <w:t xml:space="preserve"> vai to veidojošo elementu</w:t>
      </w:r>
      <w:r w:rsidRPr="000F657E">
        <w:t xml:space="preserve"> kopējā apmēra aprēķinam un koriģēšanai, ņemot vērā šo noteikumu </w:t>
      </w:r>
      <w:r w:rsidR="00721841" w:rsidRPr="000F657E">
        <w:t>1</w:t>
      </w:r>
      <w:r w:rsidR="00C560FD" w:rsidRPr="000F657E">
        <w:t>9</w:t>
      </w:r>
      <w:r w:rsidRPr="000F657E">
        <w:t xml:space="preserve">.1. un </w:t>
      </w:r>
      <w:r w:rsidR="00721841" w:rsidRPr="000F657E">
        <w:t>1</w:t>
      </w:r>
      <w:r w:rsidR="00C560FD" w:rsidRPr="000F657E">
        <w:t>9</w:t>
      </w:r>
      <w:r w:rsidRPr="000F657E">
        <w:t>.2.</w:t>
      </w:r>
      <w:r w:rsidR="00C5398F" w:rsidRPr="000F657E">
        <w:t> </w:t>
      </w:r>
      <w:r w:rsidR="004063DC" w:rsidRPr="000F657E">
        <w:t>apakš</w:t>
      </w:r>
      <w:r w:rsidRPr="000F657E">
        <w:t>punktā minēto, kā arī citus sabiedrības darbības rezultātus ietekmējošos faktorus.</w:t>
      </w:r>
    </w:p>
    <w:p w14:paraId="427DE2EF" w14:textId="353596F6" w:rsidR="00702E6D" w:rsidRPr="00702E6D" w:rsidRDefault="00702E6D" w:rsidP="00702E6D">
      <w:pPr>
        <w:pStyle w:val="NApunkts1"/>
      </w:pPr>
      <w:r w:rsidRPr="000F657E">
        <w:t>Sabiedrība nodrošina, ka, nosakot, piešķirot, kā arī iegūstot neatsaucamas tiesības uz atalgojuma mainīgo daļu vai to veidojošajiem elementiem, tiek ņemts vērā</w:t>
      </w:r>
      <w:r w:rsidRPr="00702E6D">
        <w:t xml:space="preserve"> ar attiecīgo darbības jomu saistīto esošo un varbūtējo risku izvērtējuma rezultāts.</w:t>
      </w:r>
    </w:p>
    <w:p w14:paraId="0AF6BF3C" w14:textId="48709E84" w:rsidR="00A21786" w:rsidRDefault="002F2A54" w:rsidP="002441B8">
      <w:pPr>
        <w:pStyle w:val="NAnodalaromiesucipari"/>
      </w:pPr>
      <w:r w:rsidRPr="002F2A54">
        <w:t>Prasības</w:t>
      </w:r>
      <w:r w:rsidR="002441B8">
        <w:t xml:space="preserve"> attiecībā uz</w:t>
      </w:r>
      <w:r w:rsidRPr="002F2A54">
        <w:t xml:space="preserve"> </w:t>
      </w:r>
      <w:r w:rsidR="00BB775F">
        <w:t>sabiedrības</w:t>
      </w:r>
      <w:r w:rsidRPr="002F2A54">
        <w:t xml:space="preserve"> riska profilu ietekmējošiem amatiem</w:t>
      </w:r>
    </w:p>
    <w:p w14:paraId="7FABF26B" w14:textId="64B6542A" w:rsidR="002D4891" w:rsidRDefault="002D4891" w:rsidP="002D4891">
      <w:pPr>
        <w:pStyle w:val="NApunkts1"/>
      </w:pPr>
      <w:r>
        <w:t>Sabiedrība nodrošina, ka atalgojuma politikas pamatprincipos minētais sabiedrības riska profilu ietekmējošo amatu izvērtējums un identifikācijas process tiek īstenots ne retāk kā reizi gadā</w:t>
      </w:r>
      <w:r w:rsidR="0044605D">
        <w:t xml:space="preserve"> un</w:t>
      </w:r>
      <w:r>
        <w:t xml:space="preserve"> pieņemtie lēmumi par sabiedrības riska profilu ietekmējošo amatu noteikšanu sniedz skaidru priekšstatu par to un ir dokumentēti, ietverot vismaz:</w:t>
      </w:r>
    </w:p>
    <w:p w14:paraId="027FED3C" w14:textId="77881981" w:rsidR="002D4891" w:rsidRDefault="002D4891" w:rsidP="002D4891">
      <w:pPr>
        <w:pStyle w:val="NApunkts2"/>
      </w:pPr>
      <w:r>
        <w:t>informāciju par veiktā novērtējuma pamatojumu un tvērumu;</w:t>
      </w:r>
    </w:p>
    <w:p w14:paraId="00BCBBBE" w14:textId="2D3834DE" w:rsidR="002D4891" w:rsidRDefault="002D4891" w:rsidP="002D4891">
      <w:pPr>
        <w:pStyle w:val="NApunkts2"/>
      </w:pPr>
      <w:r>
        <w:lastRenderedPageBreak/>
        <w:t>aprakstu, kas ietver kvalitatīvos un kvantitatīvos kritērijus un, ja nepieciešams, arī papildu informāciju, kura skaidro konkrētā amata izvērtējuma rezultātu un pamato attiecīgā amata veicēja identificēšanu par sabiedrības riska profilu ietekmējoša amata veicēju;</w:t>
      </w:r>
    </w:p>
    <w:p w14:paraId="637B0A31" w14:textId="576505BC" w:rsidR="002D4891" w:rsidRDefault="002D4891" w:rsidP="002D4891">
      <w:pPr>
        <w:pStyle w:val="NApunkts2"/>
      </w:pPr>
      <w:r>
        <w:t xml:space="preserve">identifikācijas rezultātu, kas atspoguļo </w:t>
      </w:r>
      <w:r w:rsidR="001B6583">
        <w:t xml:space="preserve">sabiedrības </w:t>
      </w:r>
      <w:r>
        <w:t>riska profilu ietekmējošo amatu veicēju:</w:t>
      </w:r>
    </w:p>
    <w:p w14:paraId="0242E40C" w14:textId="7407D8AD" w:rsidR="002D4891" w:rsidRDefault="002D4891" w:rsidP="002D4891">
      <w:pPr>
        <w:pStyle w:val="NApunkts3"/>
      </w:pPr>
      <w:r>
        <w:t>skaitu sabiedrībā, t</w:t>
      </w:r>
      <w:r w:rsidR="00C241A9">
        <w:t>ai skaitā</w:t>
      </w:r>
      <w:r>
        <w:t xml:space="preserve"> atsevišķi izdala pirmreizēji identificēto sabiedrības riska profilu ietekmējošo amatu veicēju skaitu;</w:t>
      </w:r>
    </w:p>
    <w:p w14:paraId="5B335675" w14:textId="59832169" w:rsidR="002D4891" w:rsidRDefault="002D4891" w:rsidP="002D4891">
      <w:pPr>
        <w:pStyle w:val="NApunkts3"/>
      </w:pPr>
      <w:r>
        <w:t>skaita sadalījumu sabiedrībā pēc darbības veida un dzimuma, ņemot vērā sabiedrības riska profilu ietekmējošo amatu kategorijas.</w:t>
      </w:r>
    </w:p>
    <w:p w14:paraId="582548C2" w14:textId="70797378" w:rsidR="002D4891" w:rsidRDefault="002D4891" w:rsidP="002D4891">
      <w:pPr>
        <w:pStyle w:val="NApunkts1"/>
      </w:pPr>
      <w:bookmarkStart w:id="7" w:name="p34"/>
      <w:bookmarkStart w:id="8" w:name="p-1131748"/>
      <w:bookmarkStart w:id="9" w:name="p35"/>
      <w:bookmarkStart w:id="10" w:name="p-1131749"/>
      <w:bookmarkEnd w:id="7"/>
      <w:bookmarkEnd w:id="8"/>
      <w:bookmarkEnd w:id="9"/>
      <w:bookmarkEnd w:id="10"/>
      <w:r>
        <w:t>Atalgojuma politikas pamatprincipi attiecībā uz sabiedrības riska profilu ietekmējošiem amatiem papildus nosaka:</w:t>
      </w:r>
    </w:p>
    <w:p w14:paraId="29650E19" w14:textId="16BECBD4" w:rsidR="002D4891" w:rsidRDefault="002D4891" w:rsidP="00FA5F92">
      <w:pPr>
        <w:pStyle w:val="NApunkts2"/>
      </w:pPr>
      <w:r>
        <w:t>atalgojuma mainīgās daļas atlikšanas kārtību, ievērojot, ka ne mazāk kā 40</w:t>
      </w:r>
      <w:r w:rsidR="00C5398F">
        <w:t> </w:t>
      </w:r>
      <w:r>
        <w:t>procentus (ne mazāk kā 60</w:t>
      </w:r>
      <w:r w:rsidR="00C5398F">
        <w:t> </w:t>
      </w:r>
      <w:r>
        <w:t>procentus</w:t>
      </w:r>
      <w:r w:rsidR="00C560FD">
        <w:t>,</w:t>
      </w:r>
      <w:r w:rsidR="00BD5595" w:rsidRPr="00BD5595">
        <w:t xml:space="preserve"> </w:t>
      </w:r>
      <w:r w:rsidR="00BD5595">
        <w:t xml:space="preserve">ja atalgojuma mainīgā daļa </w:t>
      </w:r>
      <w:r w:rsidR="0044605D">
        <w:t xml:space="preserve">veido </w:t>
      </w:r>
      <w:r w:rsidR="00BD5595">
        <w:t>100 procent</w:t>
      </w:r>
      <w:r w:rsidR="0044605D">
        <w:t>us un vairāk</w:t>
      </w:r>
      <w:r w:rsidR="00BD5595">
        <w:t xml:space="preserve"> no amatpersonai vai darbiniekam noteiktās atalgojuma nemainīgās daļas pārskata gadā</w:t>
      </w:r>
      <w:r>
        <w:t xml:space="preserve">) no tās atliek uz periodu, kurš nav mazāks kā trīs līdz pieci gadi un kura laikā var izvērtēt atalgojuma mainīgās daļas noteikšanā izmantotos darbības rezultātus, to noturīgumu un ar tiem saistītos riskus. Atalgojuma mainīgās daļas atlikšanas periodu nosaka </w:t>
      </w:r>
      <w:r w:rsidR="0044605D">
        <w:t>atbilstoši</w:t>
      </w:r>
      <w:r>
        <w:t xml:space="preserve"> </w:t>
      </w:r>
      <w:r w:rsidR="00BD5595">
        <w:t>attiecīgās amatpersonas vai darbinieka amat</w:t>
      </w:r>
      <w:r w:rsidR="0044605D">
        <w:t>am vai</w:t>
      </w:r>
      <w:r w:rsidR="00BD5595">
        <w:t xml:space="preserve"> atbildības līmeni</w:t>
      </w:r>
      <w:r w:rsidR="0044605D">
        <w:t>m</w:t>
      </w:r>
      <w:r w:rsidR="00BD5595">
        <w:t xml:space="preserve"> un darbīb</w:t>
      </w:r>
      <w:r w:rsidR="0044605D">
        <w:t>ām</w:t>
      </w:r>
      <w:r w:rsidR="00BD5595">
        <w:t xml:space="preserve">, </w:t>
      </w:r>
      <w:r>
        <w:t>sabiedrības darbības cikl</w:t>
      </w:r>
      <w:r w:rsidR="0044605D">
        <w:t>am</w:t>
      </w:r>
      <w:r>
        <w:t>, komercdarbības veid</w:t>
      </w:r>
      <w:r w:rsidR="0044605D">
        <w:t>am un tās riskiem</w:t>
      </w:r>
      <w:r>
        <w:t>;</w:t>
      </w:r>
    </w:p>
    <w:p w14:paraId="24DAA3D5" w14:textId="28390816" w:rsidR="002D4891" w:rsidRDefault="002D4891" w:rsidP="00FA5F92">
      <w:pPr>
        <w:pStyle w:val="NApunkts2"/>
      </w:pPr>
      <w:r>
        <w:t>atalgojuma mainīgās daļas noteikšanas kārtību, ievērojot, ka ne mazāk kā 50</w:t>
      </w:r>
      <w:r w:rsidR="00E0604E">
        <w:t> </w:t>
      </w:r>
      <w:r>
        <w:t>procentus no tās nosaka nemonetārā formā, kuru veido:</w:t>
      </w:r>
    </w:p>
    <w:p w14:paraId="72CBF88B" w14:textId="588BC2A9" w:rsidR="002D4891" w:rsidRDefault="002D4891" w:rsidP="00FA5F92">
      <w:pPr>
        <w:pStyle w:val="NApunkts3"/>
      </w:pPr>
      <w:r>
        <w:t xml:space="preserve">sabiedrības akcijas vai līdzvērtīgas īpašumtiesību daļas, ar akcijām saistīti instrumenti vai līdzvērtīgi instrumenti nemonetārā formā </w:t>
      </w:r>
      <w:r w:rsidR="00E63B5D">
        <w:t>(</w:t>
      </w:r>
      <w:r>
        <w:t xml:space="preserve">piemēram, tiesības noteiktā laika posmā saņemt labumu saistībā ar regulētā tirgū tirgotu akciju vērtības pieaugumu, ar akcijām saistīti iespēju līgumi, </w:t>
      </w:r>
      <w:r w:rsidR="00C5398F">
        <w:t>tai skaitā</w:t>
      </w:r>
      <w:r w:rsidR="00E0604E">
        <w:t xml:space="preserve"> </w:t>
      </w:r>
      <w:r>
        <w:t>instrumenti ar norēķinu naudā, kuru vērtība balstīta uz sabiedrības akciju tirgus cenu vai regulētā tirgū netirgotām akcijām</w:t>
      </w:r>
      <w:r w:rsidR="00E0604E">
        <w:t> </w:t>
      </w:r>
      <w:r>
        <w:t xml:space="preserve">– </w:t>
      </w:r>
      <w:r w:rsidR="00563B86">
        <w:t xml:space="preserve">uz </w:t>
      </w:r>
      <w:r>
        <w:t>to patiesās vērtības izmaiņām</w:t>
      </w:r>
      <w:r w:rsidR="00563B86">
        <w:t>)</w:t>
      </w:r>
      <w:r>
        <w:t>;</w:t>
      </w:r>
    </w:p>
    <w:p w14:paraId="160AE85B" w14:textId="04B7A24B" w:rsidR="002D4891" w:rsidRDefault="002D4891" w:rsidP="00FA5F92">
      <w:pPr>
        <w:pStyle w:val="NApunkts3"/>
      </w:pPr>
      <w:r>
        <w:t>papildu pirmā līmeņa kapitāla instrumenti</w:t>
      </w:r>
      <w:r w:rsidR="00951D8C">
        <w:t>,</w:t>
      </w:r>
      <w:r>
        <w:t xml:space="preserve"> otrā līmeņa kapitāla instrumenti vai citi instrumenti, kuri pilnā apmērā konvertējami pirmā līmeņa pamata kapitāla instrumentos vai norakstāmi un kuri visos gadījumos </w:t>
      </w:r>
      <w:r w:rsidR="0044605D">
        <w:t xml:space="preserve">atbilstoši </w:t>
      </w:r>
      <w:r>
        <w:t xml:space="preserve">atspoguļo sabiedrības </w:t>
      </w:r>
      <w:proofErr w:type="spellStart"/>
      <w:r>
        <w:t>kredītkvalitāti</w:t>
      </w:r>
      <w:proofErr w:type="spellEnd"/>
      <w:r>
        <w:t xml:space="preserve"> tās parastās darbības laikā, kā arī ir piemēroti atalgojuma mainīgās daļas noteikšana</w:t>
      </w:r>
      <w:r w:rsidR="00951D8C">
        <w:t>i</w:t>
      </w:r>
      <w:r>
        <w:t xml:space="preserve">, ievērojot </w:t>
      </w:r>
      <w:r w:rsidR="000C3796">
        <w:t xml:space="preserve">prasības, kuras noteiktas </w:t>
      </w:r>
      <w:r w:rsidR="000C3796" w:rsidRPr="008A5018">
        <w:t>Komisijas 2021.</w:t>
      </w:r>
      <w:r w:rsidR="000C3796">
        <w:t> </w:t>
      </w:r>
      <w:r w:rsidR="000C3796" w:rsidRPr="008A5018">
        <w:t>gada 13.</w:t>
      </w:r>
      <w:r w:rsidR="000C3796">
        <w:t> </w:t>
      </w:r>
      <w:r w:rsidR="000C3796" w:rsidRPr="008A5018">
        <w:t>august</w:t>
      </w:r>
      <w:r w:rsidR="000C3796">
        <w:t>a</w:t>
      </w:r>
      <w:r w:rsidR="000C3796" w:rsidRPr="008A5018">
        <w:t xml:space="preserve"> </w:t>
      </w:r>
      <w:r w:rsidR="000C3796">
        <w:t>d</w:t>
      </w:r>
      <w:r w:rsidR="000C3796" w:rsidRPr="008A5018">
        <w:t>eleģēt</w:t>
      </w:r>
      <w:r w:rsidR="000C3796">
        <w:t>ajā</w:t>
      </w:r>
      <w:r w:rsidR="000C3796" w:rsidRPr="008A5018">
        <w:t xml:space="preserve"> regul</w:t>
      </w:r>
      <w:r w:rsidR="000C3796">
        <w:t>ā</w:t>
      </w:r>
      <w:r w:rsidR="000C3796" w:rsidRPr="008A5018">
        <w:t xml:space="preserve"> (ES)</w:t>
      </w:r>
      <w:r w:rsidR="000F128E">
        <w:t> </w:t>
      </w:r>
      <w:r w:rsidR="000C3796" w:rsidRPr="008A5018">
        <w:t xml:space="preserve">2021/2155, ar ko attiecībā uz regulatīvajiem tehniskajiem standartiem, precizējot to instrumentu klases, kas adekvāti atspoguļo ieguldījumu brokeru sabiedrības kredītkvalitāti parastās situācijās, un iespējamo alternatīvo kārtību, kura ir piemērota izmantošanai atalgojuma mainīgās daļas vajadzībām, papildina Eiropas Parlamenta un Padomes </w:t>
      </w:r>
      <w:r w:rsidR="000C3796">
        <w:t>d</w:t>
      </w:r>
      <w:r w:rsidR="000C3796" w:rsidRPr="008A5018">
        <w:t>irektīvu (ES)</w:t>
      </w:r>
      <w:r w:rsidR="000F128E">
        <w:t> </w:t>
      </w:r>
      <w:r w:rsidR="000C3796" w:rsidRPr="008A5018">
        <w:t>2019/2034</w:t>
      </w:r>
      <w:r>
        <w:t>;</w:t>
      </w:r>
    </w:p>
    <w:p w14:paraId="3B80A847" w14:textId="2F83B51B" w:rsidR="002D4891" w:rsidRDefault="002D4891" w:rsidP="00FA5F92">
      <w:pPr>
        <w:pStyle w:val="NApunkts3"/>
      </w:pPr>
      <w:r>
        <w:t>instrumenti nemonetārā formā, kuri pienācīgi atspoguļo sabiedrības pārvaldīto portfeļu instrumentus;</w:t>
      </w:r>
    </w:p>
    <w:p w14:paraId="51C46EA1" w14:textId="210CC7F7" w:rsidR="002D4891" w:rsidRDefault="002D4891" w:rsidP="00FA5F92">
      <w:pPr>
        <w:pStyle w:val="NApunkts2"/>
      </w:pPr>
      <w:r>
        <w:t>nemonetāro instrumentu vērtības un skaita noteikšanas kārtību, kas paredz, ka instrumentu cenu nosaka pēc tirgus cenas vai to patiesās vērtības šo instrumentu piešķiršanas dienā. Šī cena ir pamats sākotnējā instrumentu skaita noteikšanai un turpmāk iespējamām instrumentu vērtības vai skaita izmaiņām;</w:t>
      </w:r>
    </w:p>
    <w:p w14:paraId="77D4F139" w14:textId="08D8219E" w:rsidR="002D4891" w:rsidRDefault="002D4891" w:rsidP="00A024C2">
      <w:pPr>
        <w:pStyle w:val="NApunkts2"/>
        <w:keepLines w:val="0"/>
      </w:pPr>
      <w:r>
        <w:t>nemonetāro instrumentu turēšanas politiku</w:t>
      </w:r>
      <w:r w:rsidR="00312860">
        <w:t>, nosakot tajā</w:t>
      </w:r>
      <w:r w:rsidR="00772A7D">
        <w:t xml:space="preserve"> </w:t>
      </w:r>
      <w:r>
        <w:t>gadu skaitu, cik ilgi attiecīgo nemonetāro instrumentu saņēmējs nav tiesīgs tos pārdot, lai nodrošinātu sabiedrības atalgojuma politikā noteikto motivējošo shēmu atbilstību sabiedrības ilgtermiņa interesēm, kā arī tās kreditoru un klientu interesēm. Ņemot vērā sabiedrības riska profilu ietekmējošo amatu veicēju individuālās ietekmes uz sabiedrības kopējo riska profilu ilgtermiņa raksturu, minimālais piešķirto</w:t>
      </w:r>
      <w:r w:rsidR="00563B86">
        <w:t xml:space="preserve"> nemonetāro </w:t>
      </w:r>
      <w:r>
        <w:t>instrumentu turēšanas termiņš ir viens gads;</w:t>
      </w:r>
    </w:p>
    <w:p w14:paraId="3F3716A3" w14:textId="490161C0" w:rsidR="002D4891" w:rsidRDefault="002D4891" w:rsidP="00A024C2">
      <w:pPr>
        <w:pStyle w:val="NApunkts2"/>
        <w:keepLines w:val="0"/>
      </w:pPr>
      <w:r>
        <w:lastRenderedPageBreak/>
        <w:t>katram sabiedrības riska profilu ietekmējošajam amatam atbilstošas atalgojuma mainīgās daļas un tās elementu piešķiršanas kritērijus, kārtību, kā arī apmēru neatkarīgi no atalgojuma mainīgās daļas struktūras (sabiedrības akcijas, ar akcijām saistīti instrumenti, naudas vai citi maksāšanas līdzekļi), izmaksas un neatsaucamu tiesību uz to iegūšanas nosacījumus, ņemot vērā, ka:</w:t>
      </w:r>
    </w:p>
    <w:p w14:paraId="3F6C39AA" w14:textId="36810626" w:rsidR="002D4891" w:rsidRPr="000F657E" w:rsidRDefault="002D4891" w:rsidP="00FA5F92">
      <w:pPr>
        <w:pStyle w:val="NApunkts3"/>
      </w:pPr>
      <w:r w:rsidRPr="000F657E">
        <w:t>atalgojuma mainīgās daļas, t</w:t>
      </w:r>
      <w:r w:rsidR="00BD5595" w:rsidRPr="000F657E">
        <w:t>ai skaitā</w:t>
      </w:r>
      <w:r w:rsidRPr="000F657E">
        <w:t xml:space="preserve"> atliktās daļas, faktisko izmaksu veic vai neatsaucamas tiesības</w:t>
      </w:r>
      <w:r w:rsidR="00961AE1" w:rsidRPr="000F657E">
        <w:t xml:space="preserve"> uz to iegūst</w:t>
      </w:r>
      <w:r w:rsidRPr="000F657E">
        <w:t>, ievērojot šo noteikumu</w:t>
      </w:r>
      <w:r w:rsidR="00E0604E" w:rsidRPr="000F657E">
        <w:t xml:space="preserve"> </w:t>
      </w:r>
      <w:r w:rsidR="006650CC" w:rsidRPr="000F657E">
        <w:t>2</w:t>
      </w:r>
      <w:r w:rsidR="00961AE1" w:rsidRPr="000F657E">
        <w:t>6</w:t>
      </w:r>
      <w:r w:rsidRPr="000F657E">
        <w:t>.5.4.</w:t>
      </w:r>
      <w:r w:rsidR="00E0604E" w:rsidRPr="000F657E">
        <w:t> </w:t>
      </w:r>
      <w:r w:rsidR="00BD5595" w:rsidRPr="000F657E">
        <w:t>apakš</w:t>
      </w:r>
      <w:r w:rsidRPr="000F657E">
        <w:t>punkta</w:t>
      </w:r>
      <w:r w:rsidR="00E0604E" w:rsidRPr="000F657E">
        <w:t xml:space="preserve"> </w:t>
      </w:r>
      <w:r w:rsidRPr="000F657E">
        <w:t>prasības</w:t>
      </w:r>
      <w:r w:rsidR="00961AE1" w:rsidRPr="000F657E">
        <w:t xml:space="preserve"> un</w:t>
      </w:r>
      <w:r w:rsidRPr="000F657E">
        <w:t xml:space="preserve"> vienīgi gadījumā, </w:t>
      </w:r>
      <w:r w:rsidR="00961AE1" w:rsidRPr="000F657E">
        <w:t>ja</w:t>
      </w:r>
      <w:r w:rsidRPr="000F657E">
        <w:t xml:space="preserve"> maksājums nemazina drošu sabiedrības finan</w:t>
      </w:r>
      <w:r w:rsidR="00820125">
        <w:t>siālo</w:t>
      </w:r>
      <w:r w:rsidRPr="000F657E">
        <w:t xml:space="preserve"> stāvokli ilgtermiņā un atbilst sabiedrības, tās riska profilu ietekmējošā amata veicēja un attiecīgās struktūrvienības darbības rezultātiem;</w:t>
      </w:r>
    </w:p>
    <w:p w14:paraId="35ED0F6B" w14:textId="55B48C7A" w:rsidR="002D4891" w:rsidRPr="000F657E" w:rsidRDefault="002D4891" w:rsidP="00FA5F92">
      <w:pPr>
        <w:pStyle w:val="NApunkts3"/>
      </w:pPr>
      <w:r w:rsidRPr="000F657E">
        <w:t xml:space="preserve">sabiedrība daļēji vai pilnībā samazina atalgojuma mainīgās daļas kopējā apmēra izmaksu, </w:t>
      </w:r>
      <w:r w:rsidR="00C5398F" w:rsidRPr="000F657E">
        <w:t>tai skaitā</w:t>
      </w:r>
      <w:r w:rsidRPr="000F657E">
        <w:t xml:space="preserve"> izmanto šo noteikumu</w:t>
      </w:r>
      <w:r w:rsidR="00E0604E" w:rsidRPr="000F657E">
        <w:t xml:space="preserve"> </w:t>
      </w:r>
      <w:r w:rsidR="006650CC" w:rsidRPr="000F657E">
        <w:t>2</w:t>
      </w:r>
      <w:r w:rsidR="007E0AFD" w:rsidRPr="000F657E">
        <w:t>6</w:t>
      </w:r>
      <w:r w:rsidRPr="000F657E">
        <w:t>.5.3.</w:t>
      </w:r>
      <w:r w:rsidR="00E0604E" w:rsidRPr="000F657E">
        <w:t> </w:t>
      </w:r>
      <w:r w:rsidR="00BD5595" w:rsidRPr="000F657E">
        <w:t>apakš</w:t>
      </w:r>
      <w:r w:rsidRPr="000F657E">
        <w:t>punktā</w:t>
      </w:r>
      <w:r w:rsidR="00E0604E" w:rsidRPr="000F657E">
        <w:t xml:space="preserve"> </w:t>
      </w:r>
      <w:r w:rsidRPr="000F657E">
        <w:t>minētos koriģēšanas mehānismus, ja tās finanšu darbības rezultāti pasliktinās vai ir negatīvi;</w:t>
      </w:r>
    </w:p>
    <w:p w14:paraId="62753B7C" w14:textId="76BEB19B" w:rsidR="002D4891" w:rsidRDefault="002D4891" w:rsidP="00FA5F92">
      <w:pPr>
        <w:pStyle w:val="NApunkts3"/>
      </w:pPr>
      <w:r w:rsidRPr="000F657E">
        <w:t>tiek izmantoti tādi koriģēšanas mehānismi kā izmaksātās atalgojuma mainīgās daļas atmaksas pieprasīšana vai atalgojuma mainīgās</w:t>
      </w:r>
      <w:r>
        <w:t xml:space="preserve"> daļas</w:t>
      </w:r>
      <w:r w:rsidR="00312860">
        <w:t>, tai skaitā</w:t>
      </w:r>
      <w:r>
        <w:t xml:space="preserve"> atliktās </w:t>
      </w:r>
      <w:r w:rsidRPr="00940039">
        <w:t>daļas</w:t>
      </w:r>
      <w:r w:rsidR="00F8410F" w:rsidRPr="00940039">
        <w:t>,</w:t>
      </w:r>
      <w:r>
        <w:t xml:space="preserve"> kopējā apmēra daļēja vai pilnīga samazināšana, ja tā piešķirta par darbības rezultātiem, pamatojoties uz datiem, kas vēlāk izrādījušies ar nolūku sagrozīti (ļaunprātīga rīcība), vai atalgojuma mainīgās daļas atliktās daļas, uz kuru nav iegūtas neatsaucamas tiesības, samazināšana, pamatojoties uz faktiskajiem darbības rezultātiem. Sabiedrība nosaka kritērijus minēto koriģēšanas mehānismu piemērošanai un nodrošina, ka tie aptver </w:t>
      </w:r>
      <w:r w:rsidRPr="00F8410F">
        <w:t xml:space="preserve">situācijas, kurās attiecīgā amatpersona vai darbinieks piedalījās vai bija atbildīgs par rīcību, </w:t>
      </w:r>
      <w:r w:rsidR="00312860" w:rsidRPr="00F8410F">
        <w:t xml:space="preserve">kuras </w:t>
      </w:r>
      <w:r w:rsidRPr="00F8410F">
        <w:t>rezultātā sabiedrībai radās būtiski zaudējumi, vai situācijas, kurās attiecīgā</w:t>
      </w:r>
      <w:r>
        <w:t xml:space="preserve"> amatpersona vai darbinieks neatbilda attiecīgajiem piemērotības un atbilstības standartiem;</w:t>
      </w:r>
    </w:p>
    <w:p w14:paraId="4677E60E" w14:textId="4977AAD9" w:rsidR="002D4891" w:rsidRDefault="002D4891" w:rsidP="00FA5F92">
      <w:pPr>
        <w:pStyle w:val="NApunkts3"/>
      </w:pPr>
      <w:r>
        <w:t>neatsaucamas tiesības uz atalgojuma mainīgās daļas atlikto daļu iegūst proporcionāli periodam (gadu skaitam), uz kādu atlikta atalgojuma mainīgā daļa, bet ne ātrāk kā 12</w:t>
      </w:r>
      <w:r w:rsidR="00E0604E">
        <w:t> </w:t>
      </w:r>
      <w:r>
        <w:t xml:space="preserve">mēnešus pēc atalgojuma mainīgās daļas noteikšanas, nodrošinot, ka atalgojuma mainīgās daļas atliktās daļas faktiskā izmaksa tiek veikta proporcionāli </w:t>
      </w:r>
      <w:r w:rsidR="002470CE">
        <w:t xml:space="preserve">un </w:t>
      </w:r>
      <w:r>
        <w:t>ne biežāk kā vienu reizi kalendārajā gadā. Pirms neatsaucamu tiesību uz atalgojuma mainīgās daļas atlikto daļu iegūšanas to nepieciešamības gadījumā samazina, ņemot vērā tās sākotnējā aprēķinā neietvertos riskus, kas kļuvuši zināmi periodā, uz kuru atlikta atalgojuma mainīgā daļa, un kas saistīti ar darbības rezultātiem, par kuru sasniegšanu noteikta atalgojuma mainīgās daļas atliktā daļa. Sabiedrība ievēro, ka atalgojuma mainīgās daļas atliktās daļas faktisko izmaksu var veikt tikai pēc tam, kad uz to ir iegūtas neatsaucamas tiesības, kā arī par atalgojuma mainīgās daļas atlikto daļu, uz kuru nav iegūtas neatsaucamas tiesības, netiek noteiktas, aprēķinātas un izmaksātas dividendes vai procenti;</w:t>
      </w:r>
    </w:p>
    <w:p w14:paraId="00C1710B" w14:textId="21EA216D" w:rsidR="002D4891" w:rsidRDefault="002D4891" w:rsidP="00FA5F92">
      <w:pPr>
        <w:pStyle w:val="NApunkts2"/>
      </w:pPr>
      <w:r>
        <w:t>diskrecionāro pensiju pabalstu piešķiršanas un izmaksas nosacījumus, ievērojot šādas prasības:</w:t>
      </w:r>
    </w:p>
    <w:p w14:paraId="181A7130" w14:textId="6A1156B3" w:rsidR="002D4891" w:rsidRDefault="002D4891" w:rsidP="00FA5F92">
      <w:pPr>
        <w:pStyle w:val="NApunkts3"/>
      </w:pPr>
      <w:r>
        <w:t>diskrecionāro pensiju pabalstu piešķiršana atbilst sabiedrības ilgtermiņa interesēm, darbības stratēģijai, mērķiem un darbības ap</w:t>
      </w:r>
      <w:r w:rsidR="00173043">
        <w:t>joma</w:t>
      </w:r>
      <w:r>
        <w:t>m;</w:t>
      </w:r>
    </w:p>
    <w:p w14:paraId="49750F23" w14:textId="0972FC25" w:rsidR="002D4891" w:rsidRDefault="002D4891" w:rsidP="00FA5F92">
      <w:pPr>
        <w:pStyle w:val="NApunkts3"/>
      </w:pPr>
      <w:r>
        <w:t>ja darba attiecības tiek pārtrauktas pirms pensionēšanās vecuma sasniegšanas, sabiedrība nodrošina diskrecionāro pensiju pabalstu nemonetārā formā turēšanu savā īpašumā ne mazāk kā piecus gadus;</w:t>
      </w:r>
    </w:p>
    <w:p w14:paraId="7018ADD3" w14:textId="7122EF43" w:rsidR="00544792" w:rsidRPr="000F657E" w:rsidRDefault="002D4891" w:rsidP="00C356F7">
      <w:pPr>
        <w:pStyle w:val="NApunkts3"/>
      </w:pPr>
      <w:r>
        <w:t xml:space="preserve">ja darba attiecības tiek pārtrauktas, sasniedzot pensionēšanās vecumu, sabiedrība nodrošina, ka diskrecionāros pensiju pabalstus nemonetārā formā izmaksā, piemērojot instrumentu </w:t>
      </w:r>
      <w:r w:rsidRPr="000F657E">
        <w:t>turēšanas periodu, kas nedrīkst būt īsāks par pieciem gadiem</w:t>
      </w:r>
      <w:r w:rsidR="00173043">
        <w:t>;</w:t>
      </w:r>
    </w:p>
    <w:p w14:paraId="424ACC1F" w14:textId="389E271D" w:rsidR="00BF4D57" w:rsidRPr="000F657E" w:rsidRDefault="00170C96" w:rsidP="00C356F7">
      <w:pPr>
        <w:pStyle w:val="NApunkts3"/>
      </w:pPr>
      <w:r w:rsidRPr="000F657E">
        <w:t xml:space="preserve"> </w:t>
      </w:r>
      <w:r w:rsidR="00544792" w:rsidRPr="000F657E">
        <w:t>p</w:t>
      </w:r>
      <w:r w:rsidR="002D4891" w:rsidRPr="000F657E">
        <w:t>irms diskrecionāro pensiju pabalstu izmaksas sabiedrība izvērtē nepieciešamību izmantot šo noteikumu</w:t>
      </w:r>
      <w:r w:rsidR="00E0604E" w:rsidRPr="000F657E">
        <w:t xml:space="preserve"> </w:t>
      </w:r>
      <w:r w:rsidR="002441B8" w:rsidRPr="000F657E">
        <w:t>2</w:t>
      </w:r>
      <w:r w:rsidR="002470CE" w:rsidRPr="000F657E">
        <w:t>6</w:t>
      </w:r>
      <w:r w:rsidR="002D4891" w:rsidRPr="000F657E">
        <w:t>.5.3.</w:t>
      </w:r>
      <w:r w:rsidR="00E0604E" w:rsidRPr="000F657E">
        <w:t> </w:t>
      </w:r>
      <w:r w:rsidR="00BD5595" w:rsidRPr="000F657E">
        <w:t>apakš</w:t>
      </w:r>
      <w:r w:rsidR="002D4891" w:rsidRPr="000F657E">
        <w:t>punktā</w:t>
      </w:r>
      <w:r w:rsidR="00E0604E" w:rsidRPr="000F657E">
        <w:t xml:space="preserve"> </w:t>
      </w:r>
      <w:r w:rsidR="002D4891" w:rsidRPr="000F657E">
        <w:t>minētos koriģējošos mehānismus.</w:t>
      </w:r>
    </w:p>
    <w:p w14:paraId="593466AA" w14:textId="731B40A5" w:rsidR="00BF4D57" w:rsidRPr="000F657E" w:rsidRDefault="00BF4D57" w:rsidP="00BF4D57">
      <w:pPr>
        <w:pStyle w:val="NApunkts1"/>
      </w:pPr>
      <w:r w:rsidRPr="000F657E">
        <w:t>Šo noteikumu</w:t>
      </w:r>
      <w:r w:rsidR="00E0604E" w:rsidRPr="000F657E">
        <w:t xml:space="preserve"> </w:t>
      </w:r>
      <w:hyperlink r:id="rId8" w:anchor="p35.1" w:history="1">
        <w:r w:rsidR="000204B3" w:rsidRPr="000F657E">
          <w:t>26.1</w:t>
        </w:r>
      </w:hyperlink>
      <w:r w:rsidRPr="000F657E">
        <w:t>.</w:t>
      </w:r>
      <w:r w:rsidR="00E0604E" w:rsidRPr="000F657E">
        <w:t>, 2</w:t>
      </w:r>
      <w:r w:rsidR="000204B3" w:rsidRPr="000F657E">
        <w:t>6</w:t>
      </w:r>
      <w:r w:rsidR="00E0604E" w:rsidRPr="000F657E">
        <w:t xml:space="preserve">.2., </w:t>
      </w:r>
      <w:hyperlink r:id="rId9" w:anchor="p35.6" w:history="1">
        <w:r w:rsidR="000204B3" w:rsidRPr="000F657E">
          <w:t>26.6</w:t>
        </w:r>
      </w:hyperlink>
      <w:r w:rsidRPr="000F657E">
        <w:t>.</w:t>
      </w:r>
      <w:r w:rsidR="00324BB1" w:rsidRPr="000F657E">
        <w:t>2.</w:t>
      </w:r>
      <w:hyperlink r:id="rId10" w:anchor="p2" w:history="1"/>
      <w:r w:rsidR="00E0604E" w:rsidRPr="000F657E">
        <w:t xml:space="preserve"> </w:t>
      </w:r>
      <w:r w:rsidRPr="000F657E">
        <w:t>un</w:t>
      </w:r>
      <w:r w:rsidR="00E0604E" w:rsidRPr="000F657E">
        <w:t xml:space="preserve"> </w:t>
      </w:r>
      <w:hyperlink r:id="rId11" w:anchor="p35.6" w:history="1">
        <w:r w:rsidR="000204B3" w:rsidRPr="000F657E">
          <w:t>26.6</w:t>
        </w:r>
      </w:hyperlink>
      <w:r w:rsidRPr="000F657E">
        <w:t>.</w:t>
      </w:r>
      <w:hyperlink r:id="rId12" w:anchor="p3" w:history="1">
        <w:r w:rsidRPr="000F657E">
          <w:t>3.</w:t>
        </w:r>
        <w:r w:rsidR="00E0604E" w:rsidRPr="000F657E">
          <w:t> </w:t>
        </w:r>
        <w:r w:rsidRPr="000F657E">
          <w:t>apakšpunktā</w:t>
        </w:r>
      </w:hyperlink>
      <w:r w:rsidR="00E0604E" w:rsidRPr="000F657E">
        <w:t xml:space="preserve"> </w:t>
      </w:r>
      <w:r w:rsidRPr="000F657E">
        <w:t>minētās prasības nav attiecināmas uz:</w:t>
      </w:r>
    </w:p>
    <w:p w14:paraId="4A536C3D" w14:textId="29E40A99" w:rsidR="00BF4D57" w:rsidRPr="000F657E" w:rsidRDefault="00BF4D57" w:rsidP="00BF4D57">
      <w:pPr>
        <w:pStyle w:val="NApunkts2"/>
      </w:pPr>
      <w:r w:rsidRPr="000F657E">
        <w:lastRenderedPageBreak/>
        <w:t>sabiedrību, kuras bilances un ārpusbilances aktīvu vidējā vērtība iepriekšējo četru finanšu pārskata gadu laikā ir bijusi vienāda ar vai mazāka par 100</w:t>
      </w:r>
      <w:r w:rsidR="00E0604E" w:rsidRPr="000F657E">
        <w:t> </w:t>
      </w:r>
      <w:r w:rsidRPr="000F657E">
        <w:t>miljoniem</w:t>
      </w:r>
      <w:r w:rsidR="00E0604E" w:rsidRPr="000F657E">
        <w:t xml:space="preserve"> </w:t>
      </w:r>
      <w:r w:rsidRPr="000F657E">
        <w:rPr>
          <w:i/>
          <w:iCs/>
        </w:rPr>
        <w:t>euro</w:t>
      </w:r>
      <w:r w:rsidRPr="000F657E">
        <w:t>;</w:t>
      </w:r>
    </w:p>
    <w:p w14:paraId="7D6C29E3" w14:textId="76E9336D" w:rsidR="00BF4D57" w:rsidRDefault="00BF4D57" w:rsidP="00BF4D57">
      <w:pPr>
        <w:pStyle w:val="NApunkts2"/>
      </w:pPr>
      <w:r w:rsidRPr="000F657E">
        <w:t xml:space="preserve">sabiedrības </w:t>
      </w:r>
      <w:r w:rsidR="001D0F58" w:rsidRPr="000F657E">
        <w:t xml:space="preserve">amatpersonām un </w:t>
      </w:r>
      <w:r w:rsidRPr="000F657E">
        <w:t>darbiniekiem, kuru atalgojuma mainīgā daļa, ko piešķir par periodu, k</w:t>
      </w:r>
      <w:r w:rsidR="00173043">
        <w:t>urš</w:t>
      </w:r>
      <w:r w:rsidRPr="000F657E">
        <w:t xml:space="preserve"> ir pārskata gads, vai par periodu</w:t>
      </w:r>
      <w:r w:rsidR="00FF5092" w:rsidRPr="000F657E">
        <w:t>, kurš pārsniedz pārskata gadu</w:t>
      </w:r>
      <w:r w:rsidRPr="000F657E">
        <w:t>,</w:t>
      </w:r>
      <w:r w:rsidR="00FF5092" w:rsidRPr="000F657E">
        <w:t xml:space="preserve"> bet</w:t>
      </w:r>
      <w:r w:rsidRPr="000F657E">
        <w:t xml:space="preserve"> kurš ir beidzies pārskata gadā, nepārsniedz 50</w:t>
      </w:r>
      <w:r w:rsidR="00916630">
        <w:t> </w:t>
      </w:r>
      <w:r w:rsidRPr="000F657E">
        <w:t>000 </w:t>
      </w:r>
      <w:r w:rsidRPr="000F657E">
        <w:rPr>
          <w:i/>
          <w:iCs/>
        </w:rPr>
        <w:t>euro</w:t>
      </w:r>
      <w:r w:rsidR="00E0604E" w:rsidRPr="000F657E">
        <w:t xml:space="preserve"> </w:t>
      </w:r>
      <w:r w:rsidRPr="000F657E">
        <w:t>un vienlaikus neveido vairāk par vienu ceturtdaļu no gada kopējā</w:t>
      </w:r>
      <w:r>
        <w:t xml:space="preserve"> atalgojuma apmēra. Gada kopējo atalgojuma apmēru veido pārskata gadā aprēķinātās atalgojuma nemainīgās daļas un piešķirtās atalgojuma mainīgās daļas summa.</w:t>
      </w:r>
    </w:p>
    <w:p w14:paraId="7AFE49F8" w14:textId="64701E4A" w:rsidR="002F2A54" w:rsidRDefault="00226B45" w:rsidP="00702E6D">
      <w:pPr>
        <w:pStyle w:val="NAnodalaromiesucipari"/>
      </w:pPr>
      <w:r>
        <w:t xml:space="preserve">Atalgojuma jomas pārskatu </w:t>
      </w:r>
      <w:r w:rsidRPr="0082217C">
        <w:t xml:space="preserve">sagatavošanas un iesniegšanas </w:t>
      </w:r>
      <w:r w:rsidR="007B68FF">
        <w:t>kārtība</w:t>
      </w:r>
    </w:p>
    <w:p w14:paraId="0C457023" w14:textId="43F8F274" w:rsidR="002765D8" w:rsidRPr="00A06694" w:rsidRDefault="002765D8" w:rsidP="002765D8">
      <w:pPr>
        <w:pStyle w:val="NApunkts1"/>
      </w:pPr>
      <w:r w:rsidRPr="00A06694">
        <w:t>Sabiedrība sagatavo informāciju par tās atalgojuma politiku un praksi</w:t>
      </w:r>
      <w:r w:rsidR="002470CE" w:rsidRPr="00A06694">
        <w:t>,</w:t>
      </w:r>
      <w:r w:rsidRPr="00A06694">
        <w:t xml:space="preserve"> ievērojot šādas prasības:</w:t>
      </w:r>
    </w:p>
    <w:p w14:paraId="750C8A94" w14:textId="5F4C941C" w:rsidR="0086153C" w:rsidRPr="00A06694" w:rsidRDefault="00106E39" w:rsidP="002765D8">
      <w:pPr>
        <w:pStyle w:val="NApunkts2"/>
      </w:pPr>
      <w:r w:rsidRPr="00A06694">
        <w:t xml:space="preserve">sabiedrība </w:t>
      </w:r>
      <w:r w:rsidR="002765D8" w:rsidRPr="00A06694">
        <w:t xml:space="preserve">izmanto </w:t>
      </w:r>
      <w:r w:rsidR="0086153C" w:rsidRPr="00A06694">
        <w:t>šādas</w:t>
      </w:r>
      <w:r w:rsidRPr="00A06694">
        <w:t xml:space="preserve"> Latvijas Bankas tīmekļvietnē (adrese: https://www.bank.lv) publicētās Eiropas Banku iestādes pārskatu veidnes</w:t>
      </w:r>
      <w:r w:rsidR="0086153C" w:rsidRPr="00A06694">
        <w:t>:</w:t>
      </w:r>
    </w:p>
    <w:p w14:paraId="3C6B1FB7" w14:textId="051B73F5" w:rsidR="0022726F" w:rsidRPr="00A06694" w:rsidRDefault="00106E39" w:rsidP="00E0604E">
      <w:pPr>
        <w:pStyle w:val="NApunkts3"/>
      </w:pPr>
      <w:r w:rsidRPr="00A06694">
        <w:t xml:space="preserve">pārskata "Atalgojuma salīdzinošā novērtēšana" (kods REM-BM) veidnes </w:t>
      </w:r>
      <w:r w:rsidR="00E42E3E" w:rsidRPr="00A06694">
        <w:t>R</w:t>
      </w:r>
      <w:r w:rsidR="00E0604E" w:rsidRPr="00A06694">
        <w:t> </w:t>
      </w:r>
      <w:r w:rsidR="00E42E3E" w:rsidRPr="00A06694">
        <w:t>01.01, R</w:t>
      </w:r>
      <w:r w:rsidR="00E0604E" w:rsidRPr="00A06694">
        <w:t> </w:t>
      </w:r>
      <w:r w:rsidR="00E42E3E" w:rsidRPr="00A06694">
        <w:t>02.01, R</w:t>
      </w:r>
      <w:r w:rsidR="00E0604E" w:rsidRPr="00A06694">
        <w:t> </w:t>
      </w:r>
      <w:r w:rsidR="00E42E3E" w:rsidRPr="00A06694">
        <w:t>02.02</w:t>
      </w:r>
      <w:r w:rsidR="00544792" w:rsidRPr="00A06694">
        <w:t xml:space="preserve"> un</w:t>
      </w:r>
      <w:r w:rsidR="00E42E3E" w:rsidRPr="00A06694">
        <w:t xml:space="preserve"> R</w:t>
      </w:r>
      <w:r w:rsidR="00E0604E" w:rsidRPr="00A06694">
        <w:t> </w:t>
      </w:r>
      <w:r w:rsidR="00E42E3E" w:rsidRPr="00A06694">
        <w:t>05.01</w:t>
      </w:r>
      <w:r w:rsidR="00544792" w:rsidRPr="00A06694">
        <w:t xml:space="preserve"> un</w:t>
      </w:r>
      <w:r w:rsidR="00A06694" w:rsidRPr="00A06694">
        <w:t xml:space="preserve"> </w:t>
      </w:r>
      <w:r w:rsidRPr="00A06694">
        <w:t xml:space="preserve">pārskata "Informācija par vīriešu un sieviešu darba samaksas atšķirībām" (kods REM-GAP) veidni </w:t>
      </w:r>
      <w:r w:rsidR="00E42E3E" w:rsidRPr="00A06694">
        <w:t>R</w:t>
      </w:r>
      <w:r w:rsidR="00E0604E" w:rsidRPr="00A06694">
        <w:t> </w:t>
      </w:r>
      <w:r w:rsidR="00E42E3E" w:rsidRPr="00A06694">
        <w:t>06.01</w:t>
      </w:r>
      <w:r w:rsidR="002765D8" w:rsidRPr="00A06694">
        <w:t xml:space="preserve">, </w:t>
      </w:r>
      <w:r w:rsidR="00E42E3E" w:rsidRPr="00A06694">
        <w:t>kas ietver prasības, k</w:t>
      </w:r>
      <w:r w:rsidRPr="00A06694">
        <w:t>uras</w:t>
      </w:r>
      <w:r w:rsidR="00E42E3E" w:rsidRPr="00A06694">
        <w:t xml:space="preserve"> noteiktas </w:t>
      </w:r>
      <w:r w:rsidR="002B37B5" w:rsidRPr="00A06694">
        <w:t>Eiropas Banku iestādes</w:t>
      </w:r>
      <w:r w:rsidR="002765D8" w:rsidRPr="00A06694">
        <w:t xml:space="preserve"> 2022.</w:t>
      </w:r>
      <w:r w:rsidR="00E0604E" w:rsidRPr="00A06694">
        <w:t> </w:t>
      </w:r>
      <w:r w:rsidR="002765D8" w:rsidRPr="00A06694">
        <w:t>gada 30.</w:t>
      </w:r>
      <w:r w:rsidR="00E0604E" w:rsidRPr="00A06694">
        <w:t> </w:t>
      </w:r>
      <w:r w:rsidR="002765D8" w:rsidRPr="00A06694">
        <w:t>jūnija pamatnostādn</w:t>
      </w:r>
      <w:r w:rsidR="00573135" w:rsidRPr="00A06694">
        <w:t>ē</w:t>
      </w:r>
      <w:r w:rsidR="002765D8" w:rsidRPr="00A06694">
        <w:t xml:space="preserve">s </w:t>
      </w:r>
      <w:r w:rsidR="002B37B5" w:rsidRPr="00A06694">
        <w:t>Nr.</w:t>
      </w:r>
      <w:r w:rsidR="00E0604E" w:rsidRPr="00A06694">
        <w:t> </w:t>
      </w:r>
      <w:r w:rsidR="002765D8" w:rsidRPr="00A06694">
        <w:t xml:space="preserve">EBA/GL/2022/07 "Pamatnostādnes par salīdzinošās novērtēšanas pasākumiem attiecībā uz atalgojuma praksi un vīriešu un sieviešu darba samaksas atšķirībām saskaņā ar </w:t>
      </w:r>
      <w:r w:rsidR="00173043">
        <w:t>D</w:t>
      </w:r>
      <w:r w:rsidR="00173043" w:rsidRPr="00A06694">
        <w:t xml:space="preserve">irektīvu </w:t>
      </w:r>
      <w:r w:rsidR="002765D8" w:rsidRPr="00A06694">
        <w:t>(ES)</w:t>
      </w:r>
      <w:r w:rsidR="00E0604E" w:rsidRPr="00A06694">
        <w:t> </w:t>
      </w:r>
      <w:r w:rsidR="002765D8" w:rsidRPr="00A06694">
        <w:t>2019/2034"</w:t>
      </w:r>
      <w:r w:rsidR="00573135" w:rsidRPr="00A06694">
        <w:t>;</w:t>
      </w:r>
    </w:p>
    <w:p w14:paraId="24FD4D4E" w14:textId="23535A3D" w:rsidR="002765D8" w:rsidRPr="00A06694" w:rsidRDefault="00106E39" w:rsidP="00E0604E">
      <w:pPr>
        <w:pStyle w:val="NApunkts3"/>
      </w:pPr>
      <w:r w:rsidRPr="00A06694">
        <w:t xml:space="preserve">pārskata "Informācija par augsta atalgojuma saņēmēju atalgojumu saskaņā ar </w:t>
      </w:r>
      <w:r w:rsidR="00173043">
        <w:t>D</w:t>
      </w:r>
      <w:r w:rsidR="00173043" w:rsidRPr="00A06694">
        <w:t xml:space="preserve">irektīvu </w:t>
      </w:r>
      <w:r w:rsidRPr="00A06694">
        <w:t xml:space="preserve">2019/2034" (kods REM-HE) veidni </w:t>
      </w:r>
      <w:r w:rsidR="0022726F" w:rsidRPr="00A06694">
        <w:t>R</w:t>
      </w:r>
      <w:r w:rsidR="00E0604E" w:rsidRPr="00A06694">
        <w:t> </w:t>
      </w:r>
      <w:r w:rsidR="0022726F" w:rsidRPr="00A06694">
        <w:t>04.0</w:t>
      </w:r>
      <w:r w:rsidR="00573135" w:rsidRPr="00A06694">
        <w:t>1</w:t>
      </w:r>
      <w:r w:rsidR="0022726F" w:rsidRPr="00A06694">
        <w:t>, kas ietver prasības, k</w:t>
      </w:r>
      <w:r w:rsidR="00173043">
        <w:t>ur</w:t>
      </w:r>
      <w:r w:rsidR="0022726F" w:rsidRPr="00A06694">
        <w:t xml:space="preserve">as noteiktas </w:t>
      </w:r>
      <w:r w:rsidR="002B37B5" w:rsidRPr="00A06694">
        <w:t>Eiropas Banku iestādes</w:t>
      </w:r>
      <w:r w:rsidR="002765D8" w:rsidRPr="00A06694">
        <w:t xml:space="preserve"> 2022.</w:t>
      </w:r>
      <w:r w:rsidR="00E0604E" w:rsidRPr="00A06694">
        <w:t> </w:t>
      </w:r>
      <w:r w:rsidR="002765D8" w:rsidRPr="00A06694">
        <w:t>gada 30.</w:t>
      </w:r>
      <w:r w:rsidR="00E0604E" w:rsidRPr="00A06694">
        <w:t> </w:t>
      </w:r>
      <w:r w:rsidR="002765D8" w:rsidRPr="00A06694">
        <w:t>jūnija pamatnostādn</w:t>
      </w:r>
      <w:r w:rsidR="00A06694" w:rsidRPr="00A06694">
        <w:t>ē</w:t>
      </w:r>
      <w:r w:rsidR="002765D8" w:rsidRPr="00A06694">
        <w:t xml:space="preserve">s </w:t>
      </w:r>
      <w:r w:rsidR="002B37B5" w:rsidRPr="00A06694">
        <w:t>Nr.</w:t>
      </w:r>
      <w:r w:rsidR="00E0604E" w:rsidRPr="00A06694">
        <w:t> </w:t>
      </w:r>
      <w:r w:rsidR="002765D8" w:rsidRPr="00A06694">
        <w:t xml:space="preserve">EBA/GL/2022/08 "Pamatnostādnes par datu vākšanu attiecībā uz augsta atalgojuma saņēmējiem saskaņā ar </w:t>
      </w:r>
      <w:r w:rsidR="00173043">
        <w:t>D</w:t>
      </w:r>
      <w:r w:rsidR="00173043" w:rsidRPr="00A06694">
        <w:t xml:space="preserve">irektīvu </w:t>
      </w:r>
      <w:r w:rsidR="002765D8" w:rsidRPr="00A06694">
        <w:t xml:space="preserve">2013/36/ES un </w:t>
      </w:r>
      <w:r w:rsidR="00173043">
        <w:t>D</w:t>
      </w:r>
      <w:r w:rsidR="00173043" w:rsidRPr="00A06694">
        <w:t xml:space="preserve">irektīvu </w:t>
      </w:r>
      <w:r w:rsidR="002765D8" w:rsidRPr="00A06694">
        <w:t>(ES)</w:t>
      </w:r>
      <w:r w:rsidR="00E0604E" w:rsidRPr="00A06694">
        <w:t> </w:t>
      </w:r>
      <w:r w:rsidR="002765D8" w:rsidRPr="00A06694">
        <w:t>2019/2034";</w:t>
      </w:r>
    </w:p>
    <w:p w14:paraId="15683BB7" w14:textId="4B746A50" w:rsidR="002765D8" w:rsidRPr="00A06694" w:rsidRDefault="00A06694" w:rsidP="002765D8">
      <w:pPr>
        <w:pStyle w:val="NApunkts2"/>
      </w:pPr>
      <w:r w:rsidRPr="00A06694">
        <w:t>s</w:t>
      </w:r>
      <w:r w:rsidR="00106E39" w:rsidRPr="00A06694">
        <w:t xml:space="preserve">abiedrība </w:t>
      </w:r>
      <w:r w:rsidR="002765D8" w:rsidRPr="00A06694">
        <w:t>iesniedz</w:t>
      </w:r>
      <w:r w:rsidRPr="00A06694">
        <w:t xml:space="preserve"> Latvijas Bankai </w:t>
      </w:r>
      <w:r w:rsidR="002765D8" w:rsidRPr="00A06694">
        <w:t xml:space="preserve">pārskatu veidnes </w:t>
      </w:r>
      <w:r w:rsidR="00106E39" w:rsidRPr="00A06694">
        <w:t>šādā kārtībā</w:t>
      </w:r>
      <w:r w:rsidR="002765D8" w:rsidRPr="00A06694">
        <w:t>:</w:t>
      </w:r>
    </w:p>
    <w:p w14:paraId="35C6D30A" w14:textId="37C4AEBB" w:rsidR="002765D8" w:rsidRPr="00A06694" w:rsidRDefault="00106E39" w:rsidP="002765D8">
      <w:pPr>
        <w:pStyle w:val="NApunkts3"/>
      </w:pPr>
      <w:r w:rsidRPr="00A06694">
        <w:t>pārskatu "Atalgojuma salīdzinošā novērtēšana" (kods REM-BM) </w:t>
      </w:r>
      <w:r w:rsidR="002765D8" w:rsidRPr="00A06694">
        <w:t xml:space="preserve">– </w:t>
      </w:r>
      <w:r w:rsidR="007562E7" w:rsidRPr="00A06694">
        <w:t xml:space="preserve">par </w:t>
      </w:r>
      <w:r w:rsidRPr="00A06694">
        <w:t xml:space="preserve">katru </w:t>
      </w:r>
      <w:r w:rsidR="007562E7" w:rsidRPr="00A06694">
        <w:t xml:space="preserve">kalendāro </w:t>
      </w:r>
      <w:r w:rsidRPr="00A06694">
        <w:t xml:space="preserve">gadu </w:t>
      </w:r>
      <w:r w:rsidR="002765D8" w:rsidRPr="00A06694">
        <w:t xml:space="preserve">līdz </w:t>
      </w:r>
      <w:r w:rsidR="007562E7" w:rsidRPr="00A06694">
        <w:t>tam</w:t>
      </w:r>
      <w:r w:rsidR="002765D8" w:rsidRPr="00A06694">
        <w:t xml:space="preserve"> sekojošā gada 1.</w:t>
      </w:r>
      <w:r w:rsidR="00E0604E" w:rsidRPr="00A06694">
        <w:t> </w:t>
      </w:r>
      <w:r w:rsidR="002765D8" w:rsidRPr="00A06694">
        <w:t>jūnijam;</w:t>
      </w:r>
    </w:p>
    <w:p w14:paraId="48785E8D" w14:textId="620F7244" w:rsidR="00B2652E" w:rsidRPr="00A06694" w:rsidRDefault="00106E39" w:rsidP="00ED2E23">
      <w:pPr>
        <w:pStyle w:val="NApunkts3"/>
      </w:pPr>
      <w:r w:rsidRPr="00A06694">
        <w:t xml:space="preserve">pārskatu "Informācija par augsta atalgojuma saņēmēju atalgojumu saskaņā ar </w:t>
      </w:r>
      <w:r w:rsidR="00B72D6A">
        <w:t>D</w:t>
      </w:r>
      <w:r w:rsidR="00B72D6A" w:rsidRPr="00A06694">
        <w:t xml:space="preserve">irektīvu </w:t>
      </w:r>
      <w:r w:rsidRPr="00A06694">
        <w:t>2019/2034" (kods REM-HE)</w:t>
      </w:r>
      <w:r w:rsidR="008B20EC">
        <w:t> </w:t>
      </w:r>
      <w:r w:rsidR="002765D8" w:rsidRPr="00A06694">
        <w:t>–</w:t>
      </w:r>
      <w:r w:rsidR="007562E7" w:rsidRPr="00A06694">
        <w:t xml:space="preserve"> par</w:t>
      </w:r>
      <w:r w:rsidRPr="00A06694">
        <w:t xml:space="preserve"> katru</w:t>
      </w:r>
      <w:r w:rsidR="007562E7" w:rsidRPr="00A06694">
        <w:t xml:space="preserve"> kalendāro</w:t>
      </w:r>
      <w:r w:rsidRPr="00A06694">
        <w:t xml:space="preserve"> gadu</w:t>
      </w:r>
      <w:r w:rsidR="002765D8" w:rsidRPr="00A06694">
        <w:t xml:space="preserve"> līdz </w:t>
      </w:r>
      <w:r w:rsidR="007562E7" w:rsidRPr="00A06694">
        <w:t>tam</w:t>
      </w:r>
      <w:r w:rsidR="002765D8" w:rsidRPr="00A06694">
        <w:t xml:space="preserve"> sekojošā gada 1.</w:t>
      </w:r>
      <w:r w:rsidR="00E0604E" w:rsidRPr="00A06694">
        <w:t> </w:t>
      </w:r>
      <w:r w:rsidR="002765D8" w:rsidRPr="00A06694">
        <w:t>jūnijam</w:t>
      </w:r>
      <w:r w:rsidRPr="00A06694">
        <w:t>. Augsta atalgojuma saņēmējus nosaka atbilstoši Ieguldījumu brokeru sabiedrību likuma 37. panta otrajai daļai</w:t>
      </w:r>
      <w:r w:rsidR="002765D8" w:rsidRPr="00A06694">
        <w:t>;</w:t>
      </w:r>
    </w:p>
    <w:p w14:paraId="16CBEAF2" w14:textId="081CFEA0" w:rsidR="00B2652E" w:rsidRPr="00A06694" w:rsidRDefault="00AF5E80" w:rsidP="00312860">
      <w:pPr>
        <w:pStyle w:val="NApunkts3"/>
      </w:pPr>
      <w:r w:rsidRPr="00A06694">
        <w:t xml:space="preserve">pārskatu "Informācija par vīriešu un sieviešu darba samaksas atšķirībām" (kods REM-GAP) – reizi trijos gados par trešo </w:t>
      </w:r>
      <w:r w:rsidR="007562E7" w:rsidRPr="00A06694">
        <w:t xml:space="preserve">kalendāro </w:t>
      </w:r>
      <w:r w:rsidRPr="00A06694">
        <w:t>gadu līdz tam sekojošā gada 1. jūnijam</w:t>
      </w:r>
      <w:r w:rsidR="00B2652E" w:rsidRPr="00A06694">
        <w:t xml:space="preserve">, ja darbinieku skaits </w:t>
      </w:r>
      <w:r w:rsidR="00312860">
        <w:t xml:space="preserve">pārskata gadā </w:t>
      </w:r>
      <w:r w:rsidR="00B2652E" w:rsidRPr="00A06694">
        <w:t>sabiedrībā, neskaitot padomes locekļus, pārsniedz 50</w:t>
      </w:r>
      <w:r w:rsidR="00B72D6A">
        <w:t>;</w:t>
      </w:r>
    </w:p>
    <w:p w14:paraId="583A98FF" w14:textId="34680A75" w:rsidR="00FF5092" w:rsidRPr="00A06694" w:rsidRDefault="00FF5092" w:rsidP="00FF5092">
      <w:pPr>
        <w:pStyle w:val="NApunkts2"/>
      </w:pPr>
      <w:r w:rsidRPr="00A06694">
        <w:t xml:space="preserve">šo noteikumu 28.2.1. un </w:t>
      </w:r>
      <w:r w:rsidR="004640FB" w:rsidRPr="00A06694">
        <w:t>28</w:t>
      </w:r>
      <w:r w:rsidRPr="00A06694">
        <w:t>.2.2. apakšpunktā minēt</w:t>
      </w:r>
      <w:r w:rsidR="00590F51" w:rsidRPr="00A06694">
        <w:t>o</w:t>
      </w:r>
      <w:r w:rsidRPr="00A06694">
        <w:t>s pārskat</w:t>
      </w:r>
      <w:r w:rsidR="00590F51" w:rsidRPr="00A06694">
        <w:t xml:space="preserve">us </w:t>
      </w:r>
      <w:r w:rsidRPr="00A06694">
        <w:t xml:space="preserve">sagatavo individuālā līmenī, ja </w:t>
      </w:r>
      <w:r w:rsidR="004640FB" w:rsidRPr="00A06694">
        <w:t>sabiedrība</w:t>
      </w:r>
      <w:r w:rsidRPr="00A06694">
        <w:t xml:space="preserve"> nav pakļauta konsolidētajai uzraudzībai, vai konsolidācijas grupas līmenī, ja tā ir pakļauta konsolidētajai uzraudzībai;</w:t>
      </w:r>
    </w:p>
    <w:p w14:paraId="5B0C658C" w14:textId="2F69A658" w:rsidR="00FF5092" w:rsidRPr="00A06694" w:rsidRDefault="00FF5092" w:rsidP="00FF5092">
      <w:pPr>
        <w:pStyle w:val="NApunkts2"/>
      </w:pPr>
      <w:r w:rsidRPr="00A06694">
        <w:t xml:space="preserve">šo noteikumu </w:t>
      </w:r>
      <w:r w:rsidR="004640FB" w:rsidRPr="00A06694">
        <w:t>28</w:t>
      </w:r>
      <w:r w:rsidRPr="00A06694">
        <w:t>.2.3. apakšpunktā minēt</w:t>
      </w:r>
      <w:r w:rsidR="00590F51" w:rsidRPr="00A06694">
        <w:t>o</w:t>
      </w:r>
      <w:r w:rsidRPr="00A06694">
        <w:t xml:space="preserve"> pārskatu sagatavo individuālā līmenī.</w:t>
      </w:r>
    </w:p>
    <w:p w14:paraId="7A676344" w14:textId="5606B0ED" w:rsidR="00FD475E" w:rsidRDefault="002441B8" w:rsidP="002441B8">
      <w:pPr>
        <w:pStyle w:val="NApunkts1"/>
      </w:pPr>
      <w:r>
        <w:t xml:space="preserve">Sabiedrība </w:t>
      </w:r>
      <w:r w:rsidR="00FD475E">
        <w:t xml:space="preserve">sagatavo informāciju </w:t>
      </w:r>
      <w:r>
        <w:t xml:space="preserve">par riska profilu ietekmējošu amatu veicējiem, kuriem plāno piešķirt atalgojuma mainīgo daļu, kas pārsniedz pārskata gadā noteikto atalgojuma nemainīgo daļu, </w:t>
      </w:r>
      <w:r w:rsidR="00FD475E">
        <w:t>un ie</w:t>
      </w:r>
      <w:r>
        <w:t xml:space="preserve">sniedz </w:t>
      </w:r>
      <w:r w:rsidR="00FD475E">
        <w:t xml:space="preserve">to </w:t>
      </w:r>
      <w:r>
        <w:t xml:space="preserve">Latvijas Bankai </w:t>
      </w:r>
      <w:r w:rsidR="00FD475E">
        <w:t xml:space="preserve">pārskatā </w:t>
      </w:r>
      <w:r>
        <w:t xml:space="preserve">"Informācija par plānoto atalgojuma mainīgo daļu" </w:t>
      </w:r>
      <w:r w:rsidR="00FD475E">
        <w:t>atbilstoši šo noteikumu pielikumam, ievērojot šādas prasības:</w:t>
      </w:r>
    </w:p>
    <w:p w14:paraId="0D3D6E62" w14:textId="41BE56AA" w:rsidR="0048574A" w:rsidRDefault="0048574A" w:rsidP="0048574A">
      <w:pPr>
        <w:pStyle w:val="NApunkts2"/>
      </w:pPr>
      <w:r>
        <w:t>ailē "</w:t>
      </w:r>
      <w:r w:rsidR="00590F51">
        <w:t>Amatpersonu un d</w:t>
      </w:r>
      <w:r>
        <w:t xml:space="preserve">arbinieku skaits pārskata gada beigās" </w:t>
      </w:r>
      <w:r w:rsidR="00DD2469">
        <w:t>sabiedrība</w:t>
      </w:r>
      <w:r>
        <w:t xml:space="preserve"> uzrāda </w:t>
      </w:r>
      <w:r w:rsidR="00B01338">
        <w:t xml:space="preserve">amatpersonu un </w:t>
      </w:r>
      <w:r>
        <w:t xml:space="preserve">darbinieku, kas ir </w:t>
      </w:r>
      <w:r w:rsidR="00721A63">
        <w:t>sabiedrības</w:t>
      </w:r>
      <w:r>
        <w:t xml:space="preserve"> riska profilu ietekmējošo amatu veicēji, skaitu pārskata gada beigās;</w:t>
      </w:r>
    </w:p>
    <w:p w14:paraId="08C0679E" w14:textId="0AFC5EEA" w:rsidR="0048574A" w:rsidRDefault="0048574A" w:rsidP="0048574A">
      <w:pPr>
        <w:pStyle w:val="NApunkts2"/>
      </w:pPr>
      <w:r>
        <w:lastRenderedPageBreak/>
        <w:t>ailē "</w:t>
      </w:r>
      <w:r w:rsidR="00590F51">
        <w:t>Amatpersonu un d</w:t>
      </w:r>
      <w:r>
        <w:t xml:space="preserve">arbinieku, kam atalgojuma mainīgā daļa pārsniegs nemainīgo daļu, skaits" </w:t>
      </w:r>
      <w:r w:rsidR="00721A63">
        <w:t>sabiedrība</w:t>
      </w:r>
      <w:r>
        <w:t xml:space="preserve"> uzrāda </w:t>
      </w:r>
      <w:r w:rsidR="00B01338">
        <w:t xml:space="preserve">amatpersonu un </w:t>
      </w:r>
      <w:r>
        <w:t xml:space="preserve">darbinieku, kas ir </w:t>
      </w:r>
      <w:r w:rsidR="00721A63">
        <w:t>sabiedrības</w:t>
      </w:r>
      <w:r>
        <w:t xml:space="preserve"> riska profilu ietekmējošo amatu veicēji un kam pārskata gada atalgojuma mainīgā daļa pārsniegs nemainīgo daļu, skaitu;</w:t>
      </w:r>
    </w:p>
    <w:p w14:paraId="5853CCD9" w14:textId="26F0F828" w:rsidR="0048574A" w:rsidRDefault="0048574A" w:rsidP="00AE7E0E">
      <w:pPr>
        <w:pStyle w:val="NApunkts2"/>
      </w:pPr>
      <w:r>
        <w:t xml:space="preserve">ailē "Atalgojuma mainīgās daļas attiecība pret atalgojuma nemainīgo daļu" </w:t>
      </w:r>
      <w:r w:rsidR="00AE7E0E">
        <w:t>sabiedrība</w:t>
      </w:r>
      <w:r>
        <w:t xml:space="preserve"> uzrāda atalgojuma mainīgās daļas attiecību pret atalgojuma nemainīgo daļu. Ja procentu apmērs jomas vai funkcijas ietvaros ir atšķirīgs, </w:t>
      </w:r>
      <w:r w:rsidR="00721A63">
        <w:t>sabiedrība</w:t>
      </w:r>
      <w:r>
        <w:t xml:space="preserve"> uzrāda attiecīgo procentu apmēru katram darbinieku skaitam;</w:t>
      </w:r>
    </w:p>
    <w:p w14:paraId="21E6805E" w14:textId="72C942D0" w:rsidR="0048574A" w:rsidRDefault="0048574A" w:rsidP="0048574A">
      <w:pPr>
        <w:pStyle w:val="NApunkts2"/>
      </w:pPr>
      <w:r>
        <w:t>darbības joma "</w:t>
      </w:r>
      <w:r w:rsidRPr="0048574A">
        <w:t>Darījumu veikšana savā vārdā, finanšu instrumentu sākotnējā izvietošana un finanšu instrumentu izvietošana</w:t>
      </w:r>
      <w:r>
        <w:t>" ietver</w:t>
      </w:r>
      <w:r w:rsidRPr="0048574A">
        <w:rPr>
          <w:rFonts w:ascii="Arial" w:eastAsiaTheme="minorEastAsia" w:hAnsi="Arial" w:cs="Arial"/>
          <w:b/>
          <w:bCs/>
          <w:color w:val="414142"/>
          <w:sz w:val="20"/>
          <w:szCs w:val="20"/>
          <w:shd w:val="clear" w:color="auto" w:fill="FFFFFF"/>
        </w:rPr>
        <w:t xml:space="preserve"> </w:t>
      </w:r>
      <w:r w:rsidRPr="00153A9B">
        <w:t>darījumu veikšanu savā vārdā</w:t>
      </w:r>
      <w:r>
        <w:t>, finanšu instrumentu sākotnējo izvietošanu un finanšu instrumentu izvietošanu</w:t>
      </w:r>
      <w:r>
        <w:rPr>
          <w:b/>
          <w:bCs/>
        </w:rPr>
        <w:t xml:space="preserve"> </w:t>
      </w:r>
      <w:r>
        <w:t>Finanšu instrumentu tirgus likuma izpratnē;</w:t>
      </w:r>
    </w:p>
    <w:p w14:paraId="22D76054" w14:textId="35D78F16" w:rsidR="0048574A" w:rsidRDefault="0048574A" w:rsidP="0048574A">
      <w:pPr>
        <w:pStyle w:val="NApunkts2"/>
      </w:pPr>
      <w:r>
        <w:t>darbības joma "</w:t>
      </w:r>
      <w:r w:rsidRPr="0048574A">
        <w:t>Ieguldījumu konsultācijas, rīkojumu izpilde klientu vārdā</w:t>
      </w:r>
      <w:r>
        <w:t>" ietver ieguldījumu konsultācijas Finanšu instrumentu tirgus likuma izpratnē;</w:t>
      </w:r>
    </w:p>
    <w:p w14:paraId="3B97499D" w14:textId="5FD5139A" w:rsidR="0048574A" w:rsidRDefault="0048574A" w:rsidP="0048574A">
      <w:pPr>
        <w:pStyle w:val="NApunkts2"/>
      </w:pPr>
      <w:r>
        <w:t>darbības joma "</w:t>
      </w:r>
      <w:r w:rsidRPr="00153A9B">
        <w:t>Portfeļu pārvaldība</w:t>
      </w:r>
      <w:r>
        <w:t>" ietver portfeļu pārvaldības pakalpojumus Finanšu instrumentu tirgus likuma izpratnē;</w:t>
      </w:r>
    </w:p>
    <w:p w14:paraId="35EFD05F" w14:textId="32F2570C" w:rsidR="0048574A" w:rsidRDefault="0048574A" w:rsidP="0048574A">
      <w:pPr>
        <w:pStyle w:val="NApunkts2"/>
      </w:pPr>
      <w:r>
        <w:t>darbības joma "</w:t>
      </w:r>
      <w:r w:rsidRPr="0048574A">
        <w:t>Daudzpusējo vai organizēto tirdzniecības sistēmu organizēšana</w:t>
      </w:r>
      <w:r>
        <w:t xml:space="preserve">" ietver </w:t>
      </w:r>
      <w:r w:rsidR="00153A9B">
        <w:t>d</w:t>
      </w:r>
      <w:r w:rsidR="00153A9B" w:rsidRPr="0048574A">
        <w:t>audzpusējo vai organizēto tirdzniecības sistēmu organizēšan</w:t>
      </w:r>
      <w:r w:rsidR="00153A9B">
        <w:t>u</w:t>
      </w:r>
      <w:r w:rsidR="00153A9B" w:rsidRPr="00153A9B">
        <w:t xml:space="preserve"> </w:t>
      </w:r>
      <w:r w:rsidR="00153A9B">
        <w:t xml:space="preserve">Finanšu instrumentu tirgus likuma izpratnē; </w:t>
      </w:r>
    </w:p>
    <w:p w14:paraId="4C19992A" w14:textId="77777777" w:rsidR="0048574A" w:rsidRDefault="0048574A" w:rsidP="0048574A">
      <w:pPr>
        <w:pStyle w:val="NApunkts2"/>
      </w:pPr>
      <w:r>
        <w:t>darbības joma "Kontroles funkcija" ietver iekšējā audita funkciju, darbības atbilstības kontroles funkciju un risku kontroles funkciju;</w:t>
      </w:r>
    </w:p>
    <w:p w14:paraId="0D15B322" w14:textId="29D19C20" w:rsidR="0048574A" w:rsidRPr="00476288" w:rsidRDefault="0048574A" w:rsidP="0048574A">
      <w:pPr>
        <w:pStyle w:val="NApunkts2"/>
      </w:pPr>
      <w:r>
        <w:t>darbības joma "Pārējie darbības veidi" ietver funkcijas, kuras nevar attiecināt uz šo noteikumu</w:t>
      </w:r>
      <w:r w:rsidRPr="0037020D">
        <w:rPr>
          <w:rFonts w:ascii="Segoe UI" w:eastAsiaTheme="minorEastAsia" w:hAnsi="Segoe UI" w:cs="Segoe UI"/>
          <w:sz w:val="18"/>
          <w:szCs w:val="18"/>
        </w:rPr>
        <w:t xml:space="preserve"> </w:t>
      </w:r>
      <w:r>
        <w:t>29</w:t>
      </w:r>
      <w:r w:rsidRPr="0037020D">
        <w:t xml:space="preserve">.4., </w:t>
      </w:r>
      <w:r>
        <w:t>29</w:t>
      </w:r>
      <w:r w:rsidRPr="0037020D">
        <w:t xml:space="preserve">.5., </w:t>
      </w:r>
      <w:r>
        <w:t>29</w:t>
      </w:r>
      <w:r w:rsidRPr="0037020D">
        <w:t xml:space="preserve">.6., </w:t>
      </w:r>
      <w:r>
        <w:t>29</w:t>
      </w:r>
      <w:r w:rsidRPr="0037020D">
        <w:t xml:space="preserve">.7. un </w:t>
      </w:r>
      <w:r>
        <w:t>29</w:t>
      </w:r>
      <w:r w:rsidRPr="0037020D">
        <w:t>.8.</w:t>
      </w:r>
      <w:r>
        <w:t> </w:t>
      </w:r>
      <w:r w:rsidRPr="0037020D">
        <w:t>apakšpunkt</w:t>
      </w:r>
      <w:r>
        <w:t>ā</w:t>
      </w:r>
      <w:r w:rsidRPr="0037020D">
        <w:t xml:space="preserve"> noteiktajām darbībām</w:t>
      </w:r>
      <w:r>
        <w:t xml:space="preserve">. </w:t>
      </w:r>
      <w:r w:rsidR="00DD2469">
        <w:t xml:space="preserve">Sabiedrība </w:t>
      </w:r>
      <w:r>
        <w:t xml:space="preserve">pievieno papildu skaidrojumu šo noteikumu 29.10. apakšpunktā minētajā laukā, norādot, </w:t>
      </w:r>
      <w:r w:rsidRPr="00476288">
        <w:t>kādos veidos darbinieki veic savu profesionālo darbību;</w:t>
      </w:r>
    </w:p>
    <w:p w14:paraId="28D65DB7" w14:textId="77777777" w:rsidR="00721A63" w:rsidRDefault="0048574A" w:rsidP="0048574A">
      <w:pPr>
        <w:pStyle w:val="NApunkts2"/>
      </w:pPr>
      <w:r>
        <w:t xml:space="preserve">laukā "Atalgojuma mainīgās daļas procentuālā apmēra pamatojums un cita informācija, kas skaidro plānotā lēmuma pieņemšanu" </w:t>
      </w:r>
      <w:r w:rsidR="00721A63">
        <w:t>sabiedrība:</w:t>
      </w:r>
    </w:p>
    <w:p w14:paraId="40827C98" w14:textId="4622EFBE" w:rsidR="00721A63" w:rsidRDefault="0048574A" w:rsidP="00721A63">
      <w:pPr>
        <w:pStyle w:val="NApunkts3"/>
      </w:pPr>
      <w:r>
        <w:t xml:space="preserve"> uzrāda informāciju, </w:t>
      </w:r>
      <w:r w:rsidRPr="00476288">
        <w:t>kas pamato attiecīgās atalgojuma mainīgās daļas procentuālā apmēra piešķiršanu</w:t>
      </w:r>
      <w:r w:rsidR="00DD2469">
        <w:t>,</w:t>
      </w:r>
      <w:r w:rsidR="00721A63">
        <w:t xml:space="preserve"> un </w:t>
      </w:r>
      <w:r w:rsidR="00DD2469">
        <w:t xml:space="preserve">sniedz </w:t>
      </w:r>
      <w:r w:rsidR="00721A63">
        <w:t>apliecinājumu, ka atalgojuma mainīgās daļas noteikšana šādā apmērā ir atbilstoša sabiedrības ilgtermiņa interesēm un neierobežo sabiedrības spēju nodrošināt kapitāla un likviditātes pietiekamības atbilstību Regulā 2019/2033 un Ieguldījumu brokeru sabiedrību likumā noteiktajām prasībām, kā arī ievērot citas ieguldījumu brokeru sabiedrību darbību regulējošās prasības;</w:t>
      </w:r>
      <w:r w:rsidRPr="00476288">
        <w:t xml:space="preserve"> </w:t>
      </w:r>
    </w:p>
    <w:p w14:paraId="69C9B485" w14:textId="5246E214" w:rsidR="00721A63" w:rsidRDefault="00DD2469" w:rsidP="00721A63">
      <w:pPr>
        <w:pStyle w:val="NApunkts3"/>
      </w:pPr>
      <w:r>
        <w:t xml:space="preserve">uzrāda </w:t>
      </w:r>
      <w:r w:rsidR="0048574A" w:rsidRPr="00476288">
        <w:t>citu informāciju, kas skaidro plānotā lēmuma pieņemšanu</w:t>
      </w:r>
      <w:r w:rsidR="00721A63">
        <w:t>;</w:t>
      </w:r>
      <w:r w:rsidR="0048574A" w:rsidRPr="00476288">
        <w:t xml:space="preserve"> </w:t>
      </w:r>
    </w:p>
    <w:p w14:paraId="3D0B3D2E" w14:textId="04A7FEDD" w:rsidR="0048574A" w:rsidRPr="00C50D63" w:rsidRDefault="0048574A" w:rsidP="00FF5092">
      <w:pPr>
        <w:pStyle w:val="NApunkts3"/>
      </w:pPr>
      <w:r w:rsidRPr="00476288">
        <w:t xml:space="preserve">norāda </w:t>
      </w:r>
      <w:r w:rsidRPr="00C50D63">
        <w:t>darbinieku funkciju, ja aizpildīts šo noteikumu 29.9.</w:t>
      </w:r>
      <w:r w:rsidR="0091178F" w:rsidRPr="00C50D63">
        <w:t> </w:t>
      </w:r>
      <w:r w:rsidRPr="00C50D63">
        <w:t>apakšpunktā minētais lauks.</w:t>
      </w:r>
    </w:p>
    <w:p w14:paraId="70C2F1DE" w14:textId="287C576A" w:rsidR="002B6BA2" w:rsidRPr="00C50D63" w:rsidRDefault="0086153C" w:rsidP="002B6BA2">
      <w:pPr>
        <w:pStyle w:val="NApunkts1"/>
      </w:pPr>
      <w:r w:rsidRPr="00C50D63">
        <w:t>Sabiedrība šo noteikumu 2</w:t>
      </w:r>
      <w:r w:rsidR="002B6BA2" w:rsidRPr="00C50D63">
        <w:t>8</w:t>
      </w:r>
      <w:r w:rsidRPr="00C50D63">
        <w:t>.</w:t>
      </w:r>
      <w:r w:rsidR="00E0604E" w:rsidRPr="00C50D63">
        <w:t> </w:t>
      </w:r>
      <w:r w:rsidRPr="00C50D63">
        <w:t xml:space="preserve">punktā minētos </w:t>
      </w:r>
      <w:r w:rsidR="00484A21" w:rsidRPr="00C50D63">
        <w:t>pārskatus iesniedz Latvijas Bankai elektroniskā veidā, izmantojot paaugstinātās drošības sistēmu, saskaņā ar Latvijas Bankas noteikumiem, kuri regulē elektronisko informācijas apmaiņu ar Latvijas Banku.</w:t>
      </w:r>
      <w:r w:rsidR="002B6BA2" w:rsidRPr="00C50D63">
        <w:t xml:space="preserve"> Sabiedrība sniedz Latvijas Bankai ziņas par pārskatu sagatavotāju, nosūtot tā kontaktinformāciju (vārdu un uzvārdu, e-pasta adresi un tālruņa numuru) uz e-pasta adresi: stp.info@bank.lv.</w:t>
      </w:r>
    </w:p>
    <w:p w14:paraId="19223486" w14:textId="63EC44A5" w:rsidR="0086153C" w:rsidRDefault="0086153C" w:rsidP="0086153C">
      <w:pPr>
        <w:pStyle w:val="NApunkts1"/>
      </w:pPr>
      <w:r w:rsidRPr="00C50D63">
        <w:t>Sabiedrība šo noteikumu 2</w:t>
      </w:r>
      <w:r w:rsidR="002B6BA2" w:rsidRPr="00C50D63">
        <w:t>9</w:t>
      </w:r>
      <w:r w:rsidRPr="00C50D63">
        <w:t>.</w:t>
      </w:r>
      <w:r w:rsidR="00E0604E" w:rsidRPr="00C50D63">
        <w:t> </w:t>
      </w:r>
      <w:r w:rsidRPr="00C50D63">
        <w:t>punktā minēto</w:t>
      </w:r>
      <w:r>
        <w:t xml:space="preserve"> pārskatu iesniedz Latvijas Bankai elektroniskā veidā, izmantojot </w:t>
      </w:r>
      <w:r w:rsidR="00E0604E">
        <w:t>oficiālo elektronisko adresi</w:t>
      </w:r>
      <w:r>
        <w:t>.</w:t>
      </w:r>
    </w:p>
    <w:p w14:paraId="5A0BBC25" w14:textId="22B75F45" w:rsidR="00840034" w:rsidRPr="004F29B1" w:rsidRDefault="00840034" w:rsidP="00702E6D">
      <w:pPr>
        <w:pStyle w:val="NAnodalaromiesucipari"/>
      </w:pPr>
      <w:bookmarkStart w:id="11" w:name="p5"/>
      <w:bookmarkStart w:id="12" w:name="p-1297784"/>
      <w:bookmarkEnd w:id="11"/>
      <w:bookmarkEnd w:id="12"/>
      <w:r>
        <w:t>Noslēguma jautājumi</w:t>
      </w:r>
    </w:p>
    <w:p w14:paraId="0C7C1770" w14:textId="67E0C821" w:rsidR="0005032E" w:rsidRDefault="00840034" w:rsidP="0005032E">
      <w:pPr>
        <w:pStyle w:val="NApunkts1"/>
      </w:pPr>
      <w:r>
        <w:t>Atzīt par spēku zaudējušiem</w:t>
      </w:r>
      <w:r w:rsidR="00C55FE6" w:rsidRPr="00C55FE6">
        <w:t xml:space="preserve"> Finanšu un kapitāla tirgus komisijas 202</w:t>
      </w:r>
      <w:r w:rsidR="00BA21F0">
        <w:t>2</w:t>
      </w:r>
      <w:r w:rsidR="00C55FE6" w:rsidRPr="00C55FE6">
        <w:t>.</w:t>
      </w:r>
      <w:r w:rsidR="00E0604E">
        <w:t> </w:t>
      </w:r>
      <w:r w:rsidR="00C55FE6" w:rsidRPr="00C55FE6">
        <w:t xml:space="preserve">gada </w:t>
      </w:r>
      <w:r w:rsidR="00C55FE6">
        <w:t>6</w:t>
      </w:r>
      <w:r w:rsidR="00C55FE6" w:rsidRPr="00C55FE6">
        <w:t>.</w:t>
      </w:r>
      <w:r w:rsidR="00E0604E">
        <w:t> </w:t>
      </w:r>
      <w:r w:rsidR="00BA21F0">
        <w:t>septembra</w:t>
      </w:r>
      <w:r w:rsidR="00C55FE6" w:rsidRPr="00C55FE6">
        <w:t xml:space="preserve"> normatīvos noteikumus Nr.</w:t>
      </w:r>
      <w:r w:rsidR="00E0604E">
        <w:t> </w:t>
      </w:r>
      <w:r w:rsidR="00C55FE6">
        <w:t>1</w:t>
      </w:r>
      <w:r w:rsidR="00BA21F0">
        <w:t>62</w:t>
      </w:r>
      <w:r w:rsidR="00C55FE6" w:rsidRPr="00C55FE6">
        <w:t xml:space="preserve"> "</w:t>
      </w:r>
      <w:r w:rsidR="00BA21F0" w:rsidRPr="00BA21F0">
        <w:t>Normatīvie noteikumi par ieguldījumu brokeru sabiedrību atalgojuma politiku un praksi</w:t>
      </w:r>
      <w:r w:rsidR="00C55FE6" w:rsidRPr="00C55FE6">
        <w:t>" (Latvijas Vēstnesis, 202</w:t>
      </w:r>
      <w:r w:rsidR="00BA21F0">
        <w:t>2</w:t>
      </w:r>
      <w:r w:rsidR="00C55FE6" w:rsidRPr="00C55FE6">
        <w:t>, Nr.</w:t>
      </w:r>
      <w:r w:rsidR="00E0604E">
        <w:t> </w:t>
      </w:r>
      <w:r w:rsidR="00BA21F0">
        <w:t>176</w:t>
      </w:r>
      <w:r w:rsidR="00C55FE6" w:rsidRPr="00C55FE6">
        <w:t>)</w:t>
      </w:r>
      <w:r>
        <w:t>.</w:t>
      </w:r>
      <w:bookmarkStart w:id="13" w:name="p46"/>
      <w:bookmarkStart w:id="14" w:name="p-1017060"/>
      <w:bookmarkEnd w:id="13"/>
      <w:bookmarkEnd w:id="14"/>
    </w:p>
    <w:p w14:paraId="50C07B0C" w14:textId="133F39D6" w:rsidR="00840034" w:rsidRDefault="00840034" w:rsidP="00A024C2">
      <w:pPr>
        <w:pStyle w:val="NApunkts1"/>
      </w:pPr>
      <w:bookmarkStart w:id="15" w:name="p47"/>
      <w:bookmarkStart w:id="16" w:name="p-1017061"/>
      <w:bookmarkEnd w:id="15"/>
      <w:bookmarkEnd w:id="16"/>
      <w:r>
        <w:lastRenderedPageBreak/>
        <w:t>Noteikumi</w:t>
      </w:r>
      <w:r w:rsidRPr="00CE5C02">
        <w:t xml:space="preserve"> stājas spēkā </w:t>
      </w:r>
      <w:r w:rsidR="00C55FE6">
        <w:t>2025.</w:t>
      </w:r>
      <w:r w:rsidR="00E0604E">
        <w:t> </w:t>
      </w:r>
      <w:r w:rsidR="00C55FE6">
        <w:t>gada 1.</w:t>
      </w:r>
      <w:r w:rsidR="00E0604E">
        <w:t> </w:t>
      </w:r>
      <w:r w:rsidR="00C55FE6">
        <w:t>janvārī.</w:t>
      </w:r>
    </w:p>
    <w:p w14:paraId="64384C41" w14:textId="77777777" w:rsidR="006B1B28" w:rsidRPr="0058712F" w:rsidRDefault="006B1B28" w:rsidP="00A024C2">
      <w:pPr>
        <w:pStyle w:val="NApunkts1"/>
        <w:keepNext/>
        <w:numPr>
          <w:ilvl w:val="0"/>
          <w:numId w:val="0"/>
        </w:numPr>
        <w:rPr>
          <w:b/>
          <w:bCs/>
        </w:rPr>
      </w:pPr>
      <w:r w:rsidRPr="0058712F">
        <w:rPr>
          <w:b/>
          <w:bCs/>
        </w:rPr>
        <w:t>Informatīva atsauce uz Eiropas Savienības tiesību aktiem</w:t>
      </w:r>
      <w:bookmarkStart w:id="17" w:name="es-1157453"/>
      <w:bookmarkEnd w:id="17"/>
    </w:p>
    <w:p w14:paraId="01FAAC30" w14:textId="77777777" w:rsidR="00BA21F0" w:rsidRDefault="006B1B28" w:rsidP="00BA21F0">
      <w:pPr>
        <w:pStyle w:val="NApunkts1"/>
        <w:numPr>
          <w:ilvl w:val="0"/>
          <w:numId w:val="0"/>
        </w:numPr>
      </w:pPr>
      <w:bookmarkStart w:id="18" w:name="p213"/>
      <w:bookmarkStart w:id="19" w:name="p-1157466"/>
      <w:bookmarkEnd w:id="18"/>
      <w:bookmarkEnd w:id="19"/>
      <w:r>
        <w:t>Noteikumos iekļautas tiesību normas, kas izriet no:</w:t>
      </w:r>
    </w:p>
    <w:p w14:paraId="62F591B5" w14:textId="62E4537F" w:rsidR="00BA21F0" w:rsidRDefault="00BA21F0" w:rsidP="008B20EC">
      <w:pPr>
        <w:pStyle w:val="NApunkts1"/>
        <w:numPr>
          <w:ilvl w:val="0"/>
          <w:numId w:val="0"/>
        </w:numPr>
        <w:spacing w:before="0"/>
      </w:pPr>
      <w:r>
        <w:t>1) Eiropas Parlamenta un Padomes 2019.</w:t>
      </w:r>
      <w:r w:rsidR="00E0604E">
        <w:t> </w:t>
      </w:r>
      <w:r>
        <w:t>gada 27.</w:t>
      </w:r>
      <w:r w:rsidR="00E0604E">
        <w:t> </w:t>
      </w:r>
      <w:r>
        <w:t xml:space="preserve">novembra </w:t>
      </w:r>
      <w:r w:rsidR="00E0604E">
        <w:t>d</w:t>
      </w:r>
      <w:r>
        <w:t>irektīvas (ES)</w:t>
      </w:r>
      <w:r w:rsidR="00E0604E">
        <w:t> </w:t>
      </w:r>
      <w:r>
        <w:t xml:space="preserve">2019/2034 par ieguldījumu brokeru sabiedrību prudenciālo uzraudzību un ar ko groza </w:t>
      </w:r>
      <w:r w:rsidR="008B20EC">
        <w:t>direktīvas </w:t>
      </w:r>
      <w:r>
        <w:t>2002/87/EK, 2009/65/EK, 2011/61/ES, 2013/36/ES, 2014/59/ES un 2014/65/ES;</w:t>
      </w:r>
    </w:p>
    <w:p w14:paraId="160AA06D" w14:textId="5F5CC7D3" w:rsidR="00BA21F0" w:rsidRDefault="00BA21F0" w:rsidP="008B20EC">
      <w:pPr>
        <w:pStyle w:val="NApunkts1"/>
        <w:numPr>
          <w:ilvl w:val="0"/>
          <w:numId w:val="0"/>
        </w:numPr>
        <w:spacing w:before="0"/>
      </w:pPr>
      <w:r>
        <w:t>2) Eiropas Banku iestādes 2021.</w:t>
      </w:r>
      <w:r w:rsidR="00E0604E">
        <w:t> </w:t>
      </w:r>
      <w:r>
        <w:t>gada 22.</w:t>
      </w:r>
      <w:r w:rsidR="00E0604E">
        <w:t> </w:t>
      </w:r>
      <w:r>
        <w:t xml:space="preserve">novembra pamatnostādnēm EBA/GL/2021/13 "Pamatnostādnes par pareizu atalgojuma politiku saskaņā ar </w:t>
      </w:r>
      <w:r w:rsidR="00C50D63">
        <w:t>D</w:t>
      </w:r>
      <w:r>
        <w:t>irektīvu (ES)</w:t>
      </w:r>
      <w:r w:rsidR="008B20EC">
        <w:t> </w:t>
      </w:r>
      <w:r>
        <w:t>2019/2034";</w:t>
      </w:r>
    </w:p>
    <w:p w14:paraId="4DF5FDB6" w14:textId="646B2A66" w:rsidR="00BA21F0" w:rsidRDefault="00BA21F0" w:rsidP="008B20EC">
      <w:pPr>
        <w:pStyle w:val="NApunkts1"/>
        <w:numPr>
          <w:ilvl w:val="0"/>
          <w:numId w:val="0"/>
        </w:numPr>
        <w:spacing w:before="0"/>
      </w:pPr>
      <w:r>
        <w:t>3) Eiropas Banku iestādes 2022.</w:t>
      </w:r>
      <w:r w:rsidR="000A6ACD">
        <w:t> </w:t>
      </w:r>
      <w:r>
        <w:t>gada 30.</w:t>
      </w:r>
      <w:r w:rsidR="000A6ACD">
        <w:t> </w:t>
      </w:r>
      <w:r>
        <w:t xml:space="preserve">jūnija pamatnostādnēm EBA/GL/2022/07 "Pamatnostādnes par salīdzinošās novērtēšanas pasākumiem attiecībā uz atalgojuma praksi un vīriešu un sieviešu darba samaksas atšķirībām saskaņā ar </w:t>
      </w:r>
      <w:r w:rsidR="00C50D63">
        <w:t>D</w:t>
      </w:r>
      <w:r>
        <w:t>irektīvu (ES)</w:t>
      </w:r>
      <w:r w:rsidR="00C50D63">
        <w:t> </w:t>
      </w:r>
      <w:r>
        <w:t>2019/2034";</w:t>
      </w:r>
    </w:p>
    <w:p w14:paraId="1D17FFE4" w14:textId="7306837F" w:rsidR="006B1B28" w:rsidRDefault="00BA21F0" w:rsidP="008B20EC">
      <w:pPr>
        <w:pStyle w:val="NApunkts1"/>
        <w:numPr>
          <w:ilvl w:val="0"/>
          <w:numId w:val="0"/>
        </w:numPr>
        <w:spacing w:before="0"/>
      </w:pPr>
      <w:r>
        <w:t>4) Eiropas Banku iestādes 2022.</w:t>
      </w:r>
      <w:r w:rsidR="007E2AD7">
        <w:t> </w:t>
      </w:r>
      <w:r>
        <w:t>gada 30.</w:t>
      </w:r>
      <w:r w:rsidR="007E2AD7">
        <w:t> </w:t>
      </w:r>
      <w:r>
        <w:t xml:space="preserve">jūnija pamatnostādnēm EBA/GL/2022/08 "Pamatnostādnes par datu vākšanu attiecībā uz augsta atalgojuma saņēmējiem saskaņā ar </w:t>
      </w:r>
      <w:r w:rsidR="00A97E17">
        <w:t>D</w:t>
      </w:r>
      <w:r>
        <w:t>irektīvu</w:t>
      </w:r>
      <w:r w:rsidR="008B20EC">
        <w:t> </w:t>
      </w:r>
      <w:r>
        <w:t xml:space="preserve">2013/36/ES un </w:t>
      </w:r>
      <w:r w:rsidR="00A97E17">
        <w:t>D</w:t>
      </w:r>
      <w:r>
        <w:t>irektīvu (ES)</w:t>
      </w:r>
      <w:r w:rsidR="008B20EC">
        <w:t> </w:t>
      </w:r>
      <w:r>
        <w:t>2019/2034"</w:t>
      </w:r>
      <w:r w:rsidR="00DB78C2">
        <w:t>;</w:t>
      </w:r>
    </w:p>
    <w:p w14:paraId="161A3823" w14:textId="7D6AE243" w:rsidR="00DB78C2" w:rsidRDefault="00DB78C2" w:rsidP="00A024C2">
      <w:pPr>
        <w:pStyle w:val="NApunkts1"/>
        <w:numPr>
          <w:ilvl w:val="0"/>
          <w:numId w:val="0"/>
        </w:numPr>
        <w:tabs>
          <w:tab w:val="left" w:pos="284"/>
        </w:tabs>
        <w:spacing w:before="0"/>
      </w:pPr>
      <w:r>
        <w:t xml:space="preserve">5) </w:t>
      </w:r>
      <w:bookmarkStart w:id="20" w:name="_Hlk166244275"/>
      <w:r>
        <w:t xml:space="preserve">Eiropas Vērtspapīru un tirgu iestādes </w:t>
      </w:r>
      <w:r w:rsidRPr="0086390D">
        <w:t>2023.</w:t>
      </w:r>
      <w:r w:rsidR="000A6ACD">
        <w:t> </w:t>
      </w:r>
      <w:r w:rsidRPr="0086390D">
        <w:t>gada 3.</w:t>
      </w:r>
      <w:r w:rsidR="000A6ACD">
        <w:t> </w:t>
      </w:r>
      <w:r w:rsidRPr="0086390D">
        <w:t>aprīļa pamatnostādn</w:t>
      </w:r>
      <w:r>
        <w:t>ēm</w:t>
      </w:r>
      <w:r w:rsidRPr="0086390D">
        <w:t xml:space="preserve"> </w:t>
      </w:r>
      <w:r>
        <w:t>ESMA35</w:t>
      </w:r>
      <w:r w:rsidR="008B20EC">
        <w:noBreakHyphen/>
      </w:r>
      <w:r>
        <w:t>43</w:t>
      </w:r>
      <w:r w:rsidR="008B20EC">
        <w:noBreakHyphen/>
      </w:r>
      <w:r>
        <w:t xml:space="preserve">3565 </w:t>
      </w:r>
      <w:r w:rsidRPr="0086390D">
        <w:t xml:space="preserve">"Pamatnostādnes </w:t>
      </w:r>
      <w:r>
        <w:t>par noteiktiem FITD</w:t>
      </w:r>
      <w:r w:rsidR="000A6ACD">
        <w:t> </w:t>
      </w:r>
      <w:r>
        <w:t>II atalgojuma prasību aspektiem</w:t>
      </w:r>
      <w:r w:rsidRPr="0086390D">
        <w:t>"</w:t>
      </w:r>
      <w:r>
        <w:t>.</w:t>
      </w:r>
      <w:bookmarkEnd w:id="20"/>
    </w:p>
    <w:p w14:paraId="033D53B4" w14:textId="77777777" w:rsidR="00FA055C" w:rsidRDefault="009C7FF1" w:rsidP="009C7FF1">
      <w:pPr>
        <w:pStyle w:val="NApunkts1"/>
        <w:keepNext/>
        <w:keepLines/>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2C02908C" w14:textId="77777777" w:rsidTr="00811BE5">
        <w:tc>
          <w:tcPr>
            <w:tcW w:w="4928" w:type="dxa"/>
            <w:vAlign w:val="bottom"/>
          </w:tcPr>
          <w:p w14:paraId="62C0D9C9" w14:textId="5E3EE553" w:rsidR="00966987" w:rsidRDefault="00922586" w:rsidP="00FA055C">
            <w:pPr>
              <w:pStyle w:val="NoSpacing"/>
              <w:ind w:left="-107"/>
              <w:rPr>
                <w:rFonts w:cs="Times New Roman"/>
              </w:rPr>
            </w:pPr>
            <w:sdt>
              <w:sdtPr>
                <w:alias w:val="Amats"/>
                <w:tag w:val="Amats"/>
                <w:id w:val="45201534"/>
                <w:lock w:val="sdtLocked"/>
                <w:placeholder>
                  <w:docPart w:val="30E70B1A0BFF41B496E24FEF178FE2C1"/>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C55FE6" w:rsidRPr="001C33D8">
                  <w:t xml:space="preserve">Latvijas Bankas prezidents </w:t>
                </w:r>
              </w:sdtContent>
            </w:sdt>
          </w:p>
        </w:tc>
        <w:sdt>
          <w:sdtPr>
            <w:rPr>
              <w:rFonts w:cs="Times New Roman"/>
            </w:rPr>
            <w:alias w:val="V. Uzvārds"/>
            <w:tag w:val="V. Uzvārds"/>
            <w:id w:val="46411162"/>
            <w:lock w:val="sdtLocked"/>
            <w:placeholder>
              <w:docPart w:val="97F5716F2F874A57A01D1121724359ED"/>
            </w:placeholder>
          </w:sdtPr>
          <w:sdtEndPr/>
          <w:sdtContent>
            <w:tc>
              <w:tcPr>
                <w:tcW w:w="3792" w:type="dxa"/>
                <w:vAlign w:val="bottom"/>
              </w:tcPr>
              <w:p w14:paraId="1B6FD31C" w14:textId="789224D9" w:rsidR="00966987" w:rsidRDefault="00C55FE6" w:rsidP="00C523D5">
                <w:pPr>
                  <w:pStyle w:val="NoSpacing"/>
                  <w:ind w:right="-111"/>
                  <w:jc w:val="right"/>
                  <w:rPr>
                    <w:rFonts w:cs="Times New Roman"/>
                  </w:rPr>
                </w:pPr>
                <w:r>
                  <w:rPr>
                    <w:rFonts w:cs="Times New Roman"/>
                  </w:rPr>
                  <w:t>M.</w:t>
                </w:r>
                <w:r w:rsidR="000A6ACD">
                  <w:rPr>
                    <w:rFonts w:cs="Times New Roman"/>
                  </w:rPr>
                  <w:t> </w:t>
                </w:r>
                <w:r>
                  <w:rPr>
                    <w:rFonts w:cs="Times New Roman"/>
                  </w:rPr>
                  <w:t>Kazāks</w:t>
                </w:r>
              </w:p>
            </w:tc>
          </w:sdtContent>
        </w:sdt>
      </w:tr>
    </w:tbl>
    <w:p w14:paraId="59D30B86" w14:textId="0D08FF0F" w:rsidR="006D395C" w:rsidRDefault="006D395C" w:rsidP="000A6ACD">
      <w:pPr>
        <w:rPr>
          <w:rFonts w:cs="Times New Roman"/>
          <w:szCs w:val="24"/>
        </w:rPr>
      </w:pPr>
    </w:p>
    <w:sectPr w:rsidR="006D395C" w:rsidSect="00EA6CA5">
      <w:headerReference w:type="default" r:id="rId13"/>
      <w:headerReference w:type="first" r:id="rId14"/>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08D036" w14:textId="77777777" w:rsidR="007257F6" w:rsidRDefault="007257F6" w:rsidP="00AC4B00">
      <w:r>
        <w:separator/>
      </w:r>
    </w:p>
  </w:endnote>
  <w:endnote w:type="continuationSeparator" w:id="0">
    <w:p w14:paraId="75E53D44" w14:textId="77777777" w:rsidR="007257F6" w:rsidRDefault="007257F6"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altName w:val="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DB6CF6" w14:textId="77777777" w:rsidR="007257F6" w:rsidRDefault="007257F6" w:rsidP="00AC4B00">
      <w:r>
        <w:separator/>
      </w:r>
    </w:p>
  </w:footnote>
  <w:footnote w:type="continuationSeparator" w:id="0">
    <w:p w14:paraId="490441E8" w14:textId="77777777" w:rsidR="007257F6" w:rsidRDefault="007257F6"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33675E7E"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9D90FE" w14:textId="77777777" w:rsidR="009C42A8" w:rsidRPr="009C42A8" w:rsidRDefault="00EA6CA5" w:rsidP="00AA4809">
    <w:pPr>
      <w:pStyle w:val="Header"/>
      <w:spacing w:before="560"/>
      <w:jc w:val="center"/>
    </w:pPr>
    <w:r>
      <w:rPr>
        <w:noProof/>
      </w:rPr>
      <w:drawing>
        <wp:inline distT="0" distB="0" distL="0" distR="0" wp14:anchorId="7106E7D4" wp14:editId="30F8ADBF">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4F2E4A6F" wp14:editId="3DEA5A31">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777623"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02F3D"/>
    <w:multiLevelType w:val="hybridMultilevel"/>
    <w:tmpl w:val="F2A2D94E"/>
    <w:lvl w:ilvl="0" w:tplc="39BA0948">
      <w:start w:val="1"/>
      <w:numFmt w:val="decimal"/>
      <w:lvlText w:val="%1)"/>
      <w:lvlJc w:val="left"/>
      <w:pPr>
        <w:ind w:left="1020" w:hanging="360"/>
      </w:pPr>
    </w:lvl>
    <w:lvl w:ilvl="1" w:tplc="57B2E324">
      <w:start w:val="1"/>
      <w:numFmt w:val="decimal"/>
      <w:lvlText w:val="%2)"/>
      <w:lvlJc w:val="left"/>
      <w:pPr>
        <w:ind w:left="1020" w:hanging="360"/>
      </w:pPr>
    </w:lvl>
    <w:lvl w:ilvl="2" w:tplc="A0BE1372">
      <w:start w:val="1"/>
      <w:numFmt w:val="decimal"/>
      <w:lvlText w:val="%3)"/>
      <w:lvlJc w:val="left"/>
      <w:pPr>
        <w:ind w:left="1020" w:hanging="360"/>
      </w:pPr>
    </w:lvl>
    <w:lvl w:ilvl="3" w:tplc="6B342D5C">
      <w:start w:val="1"/>
      <w:numFmt w:val="decimal"/>
      <w:lvlText w:val="%4)"/>
      <w:lvlJc w:val="left"/>
      <w:pPr>
        <w:ind w:left="1020" w:hanging="360"/>
      </w:pPr>
    </w:lvl>
    <w:lvl w:ilvl="4" w:tplc="B2B0A3FC">
      <w:start w:val="1"/>
      <w:numFmt w:val="decimal"/>
      <w:lvlText w:val="%5)"/>
      <w:lvlJc w:val="left"/>
      <w:pPr>
        <w:ind w:left="1020" w:hanging="360"/>
      </w:pPr>
    </w:lvl>
    <w:lvl w:ilvl="5" w:tplc="A5D45148">
      <w:start w:val="1"/>
      <w:numFmt w:val="decimal"/>
      <w:lvlText w:val="%6)"/>
      <w:lvlJc w:val="left"/>
      <w:pPr>
        <w:ind w:left="1020" w:hanging="360"/>
      </w:pPr>
    </w:lvl>
    <w:lvl w:ilvl="6" w:tplc="A76EB494">
      <w:start w:val="1"/>
      <w:numFmt w:val="decimal"/>
      <w:lvlText w:val="%7)"/>
      <w:lvlJc w:val="left"/>
      <w:pPr>
        <w:ind w:left="1020" w:hanging="360"/>
      </w:pPr>
    </w:lvl>
    <w:lvl w:ilvl="7" w:tplc="28603B3C">
      <w:start w:val="1"/>
      <w:numFmt w:val="decimal"/>
      <w:lvlText w:val="%8)"/>
      <w:lvlJc w:val="left"/>
      <w:pPr>
        <w:ind w:left="1020" w:hanging="360"/>
      </w:pPr>
    </w:lvl>
    <w:lvl w:ilvl="8" w:tplc="EA02E056">
      <w:start w:val="1"/>
      <w:numFmt w:val="decimal"/>
      <w:lvlText w:val="%9)"/>
      <w:lvlJc w:val="left"/>
      <w:pPr>
        <w:ind w:left="1020" w:hanging="360"/>
      </w:pPr>
    </w:lvl>
  </w:abstractNum>
  <w:abstractNum w:abstractNumId="1" w15:restartNumberingAfterBreak="0">
    <w:nsid w:val="21D46A8C"/>
    <w:multiLevelType w:val="hybridMultilevel"/>
    <w:tmpl w:val="7812BD40"/>
    <w:lvl w:ilvl="0" w:tplc="BF5A84F4">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559F017A"/>
    <w:multiLevelType w:val="hybridMultilevel"/>
    <w:tmpl w:val="C8A614F4"/>
    <w:lvl w:ilvl="0" w:tplc="2F923D8E">
      <w:start w:val="1"/>
      <w:numFmt w:val="decimal"/>
      <w:lvlText w:val="%1)"/>
      <w:lvlJc w:val="left"/>
      <w:pPr>
        <w:ind w:left="1020" w:hanging="360"/>
      </w:pPr>
    </w:lvl>
    <w:lvl w:ilvl="1" w:tplc="C052916C">
      <w:start w:val="1"/>
      <w:numFmt w:val="decimal"/>
      <w:lvlText w:val="%2)"/>
      <w:lvlJc w:val="left"/>
      <w:pPr>
        <w:ind w:left="1020" w:hanging="360"/>
      </w:pPr>
    </w:lvl>
    <w:lvl w:ilvl="2" w:tplc="61F8F9F6">
      <w:start w:val="1"/>
      <w:numFmt w:val="decimal"/>
      <w:lvlText w:val="%3)"/>
      <w:lvlJc w:val="left"/>
      <w:pPr>
        <w:ind w:left="1020" w:hanging="360"/>
      </w:pPr>
    </w:lvl>
    <w:lvl w:ilvl="3" w:tplc="F82413A2">
      <w:start w:val="1"/>
      <w:numFmt w:val="decimal"/>
      <w:lvlText w:val="%4)"/>
      <w:lvlJc w:val="left"/>
      <w:pPr>
        <w:ind w:left="1020" w:hanging="360"/>
      </w:pPr>
    </w:lvl>
    <w:lvl w:ilvl="4" w:tplc="A292561E">
      <w:start w:val="1"/>
      <w:numFmt w:val="decimal"/>
      <w:lvlText w:val="%5)"/>
      <w:lvlJc w:val="left"/>
      <w:pPr>
        <w:ind w:left="1020" w:hanging="360"/>
      </w:pPr>
    </w:lvl>
    <w:lvl w:ilvl="5" w:tplc="520A9B62">
      <w:start w:val="1"/>
      <w:numFmt w:val="decimal"/>
      <w:lvlText w:val="%6)"/>
      <w:lvlJc w:val="left"/>
      <w:pPr>
        <w:ind w:left="1020" w:hanging="360"/>
      </w:pPr>
    </w:lvl>
    <w:lvl w:ilvl="6" w:tplc="6ED694BC">
      <w:start w:val="1"/>
      <w:numFmt w:val="decimal"/>
      <w:lvlText w:val="%7)"/>
      <w:lvlJc w:val="left"/>
      <w:pPr>
        <w:ind w:left="1020" w:hanging="360"/>
      </w:pPr>
    </w:lvl>
    <w:lvl w:ilvl="7" w:tplc="62024CEC">
      <w:start w:val="1"/>
      <w:numFmt w:val="decimal"/>
      <w:lvlText w:val="%8)"/>
      <w:lvlJc w:val="left"/>
      <w:pPr>
        <w:ind w:left="1020" w:hanging="360"/>
      </w:pPr>
    </w:lvl>
    <w:lvl w:ilvl="8" w:tplc="8ADEE69C">
      <w:start w:val="1"/>
      <w:numFmt w:val="decimal"/>
      <w:lvlText w:val="%9)"/>
      <w:lvlJc w:val="left"/>
      <w:pPr>
        <w:ind w:left="1020" w:hanging="360"/>
      </w:pPr>
    </w:lvl>
  </w:abstractNum>
  <w:abstractNum w:abstractNumId="5" w15:restartNumberingAfterBreak="0">
    <w:nsid w:val="57B055F6"/>
    <w:multiLevelType w:val="hybridMultilevel"/>
    <w:tmpl w:val="1DEC5C66"/>
    <w:lvl w:ilvl="0" w:tplc="2B9C5972">
      <w:start w:val="1"/>
      <w:numFmt w:val="decimal"/>
      <w:lvlText w:val="%1)"/>
      <w:lvlJc w:val="left"/>
      <w:pPr>
        <w:ind w:left="1020" w:hanging="360"/>
      </w:pPr>
    </w:lvl>
    <w:lvl w:ilvl="1" w:tplc="EB3ACF4C">
      <w:start w:val="1"/>
      <w:numFmt w:val="decimal"/>
      <w:lvlText w:val="%2)"/>
      <w:lvlJc w:val="left"/>
      <w:pPr>
        <w:ind w:left="1020" w:hanging="360"/>
      </w:pPr>
    </w:lvl>
    <w:lvl w:ilvl="2" w:tplc="298897C2">
      <w:start w:val="1"/>
      <w:numFmt w:val="decimal"/>
      <w:lvlText w:val="%3)"/>
      <w:lvlJc w:val="left"/>
      <w:pPr>
        <w:ind w:left="1020" w:hanging="360"/>
      </w:pPr>
    </w:lvl>
    <w:lvl w:ilvl="3" w:tplc="92C40FB0">
      <w:start w:val="1"/>
      <w:numFmt w:val="decimal"/>
      <w:lvlText w:val="%4)"/>
      <w:lvlJc w:val="left"/>
      <w:pPr>
        <w:ind w:left="1020" w:hanging="360"/>
      </w:pPr>
    </w:lvl>
    <w:lvl w:ilvl="4" w:tplc="2D0C93DC">
      <w:start w:val="1"/>
      <w:numFmt w:val="decimal"/>
      <w:lvlText w:val="%5)"/>
      <w:lvlJc w:val="left"/>
      <w:pPr>
        <w:ind w:left="1020" w:hanging="360"/>
      </w:pPr>
    </w:lvl>
    <w:lvl w:ilvl="5" w:tplc="CD26D520">
      <w:start w:val="1"/>
      <w:numFmt w:val="decimal"/>
      <w:lvlText w:val="%6)"/>
      <w:lvlJc w:val="left"/>
      <w:pPr>
        <w:ind w:left="1020" w:hanging="360"/>
      </w:pPr>
    </w:lvl>
    <w:lvl w:ilvl="6" w:tplc="E4FC4C52">
      <w:start w:val="1"/>
      <w:numFmt w:val="decimal"/>
      <w:lvlText w:val="%7)"/>
      <w:lvlJc w:val="left"/>
      <w:pPr>
        <w:ind w:left="1020" w:hanging="360"/>
      </w:pPr>
    </w:lvl>
    <w:lvl w:ilvl="7" w:tplc="7B46A042">
      <w:start w:val="1"/>
      <w:numFmt w:val="decimal"/>
      <w:lvlText w:val="%8)"/>
      <w:lvlJc w:val="left"/>
      <w:pPr>
        <w:ind w:left="1020" w:hanging="360"/>
      </w:pPr>
    </w:lvl>
    <w:lvl w:ilvl="8" w:tplc="8A6E149A">
      <w:start w:val="1"/>
      <w:numFmt w:val="decimal"/>
      <w:lvlText w:val="%9)"/>
      <w:lvlJc w:val="left"/>
      <w:pPr>
        <w:ind w:left="1020" w:hanging="360"/>
      </w:pPr>
    </w:lvl>
  </w:abstractNum>
  <w:num w:numId="1" w16cid:durableId="452135360">
    <w:abstractNumId w:val="2"/>
  </w:num>
  <w:num w:numId="2" w16cid:durableId="765492621">
    <w:abstractNumId w:val="3"/>
  </w:num>
  <w:num w:numId="3" w16cid:durableId="6568832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1"/>
  </w:num>
  <w:num w:numId="8" w16cid:durableId="1544977654">
    <w:abstractNumId w:val="5"/>
  </w:num>
  <w:num w:numId="9" w16cid:durableId="1931622143">
    <w:abstractNumId w:val="0"/>
  </w:num>
  <w:num w:numId="10" w16cid:durableId="12119181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trackRevisio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053"/>
    <w:rsid w:val="00001229"/>
    <w:rsid w:val="00003926"/>
    <w:rsid w:val="000056B4"/>
    <w:rsid w:val="0001014D"/>
    <w:rsid w:val="00017C12"/>
    <w:rsid w:val="000204B3"/>
    <w:rsid w:val="000239BA"/>
    <w:rsid w:val="00032F04"/>
    <w:rsid w:val="00045D9C"/>
    <w:rsid w:val="00047E1E"/>
    <w:rsid w:val="0005032E"/>
    <w:rsid w:val="00050FC7"/>
    <w:rsid w:val="00051279"/>
    <w:rsid w:val="000571A8"/>
    <w:rsid w:val="00057385"/>
    <w:rsid w:val="00060D2F"/>
    <w:rsid w:val="00081D7E"/>
    <w:rsid w:val="000930E6"/>
    <w:rsid w:val="000973A6"/>
    <w:rsid w:val="000A6ACD"/>
    <w:rsid w:val="000B3673"/>
    <w:rsid w:val="000B41DB"/>
    <w:rsid w:val="000B501D"/>
    <w:rsid w:val="000C3796"/>
    <w:rsid w:val="000D18A5"/>
    <w:rsid w:val="000D5637"/>
    <w:rsid w:val="000E4379"/>
    <w:rsid w:val="000F000D"/>
    <w:rsid w:val="000F128E"/>
    <w:rsid w:val="000F29AA"/>
    <w:rsid w:val="000F53F4"/>
    <w:rsid w:val="000F657E"/>
    <w:rsid w:val="0010111F"/>
    <w:rsid w:val="001026BB"/>
    <w:rsid w:val="00106E39"/>
    <w:rsid w:val="0011119D"/>
    <w:rsid w:val="00123001"/>
    <w:rsid w:val="00127D88"/>
    <w:rsid w:val="001306DB"/>
    <w:rsid w:val="001309BC"/>
    <w:rsid w:val="001347ED"/>
    <w:rsid w:val="00142533"/>
    <w:rsid w:val="00145D4F"/>
    <w:rsid w:val="001517C0"/>
    <w:rsid w:val="00151E1B"/>
    <w:rsid w:val="00153A9B"/>
    <w:rsid w:val="00154C1A"/>
    <w:rsid w:val="00162BE4"/>
    <w:rsid w:val="00170C96"/>
    <w:rsid w:val="00173043"/>
    <w:rsid w:val="00175E92"/>
    <w:rsid w:val="0019595C"/>
    <w:rsid w:val="001A083E"/>
    <w:rsid w:val="001B6583"/>
    <w:rsid w:val="001C33D8"/>
    <w:rsid w:val="001C3ADC"/>
    <w:rsid w:val="001C5E6E"/>
    <w:rsid w:val="001D0F58"/>
    <w:rsid w:val="001D250B"/>
    <w:rsid w:val="001D5DFF"/>
    <w:rsid w:val="001D7766"/>
    <w:rsid w:val="001E3BF6"/>
    <w:rsid w:val="001E4A06"/>
    <w:rsid w:val="001F2453"/>
    <w:rsid w:val="001F2FB7"/>
    <w:rsid w:val="001F51BD"/>
    <w:rsid w:val="002016F8"/>
    <w:rsid w:val="002031C8"/>
    <w:rsid w:val="00213D95"/>
    <w:rsid w:val="00215938"/>
    <w:rsid w:val="00216AAD"/>
    <w:rsid w:val="00217A4E"/>
    <w:rsid w:val="00220224"/>
    <w:rsid w:val="002220E9"/>
    <w:rsid w:val="00224023"/>
    <w:rsid w:val="00226B45"/>
    <w:rsid w:val="0022726F"/>
    <w:rsid w:val="00230F15"/>
    <w:rsid w:val="00232966"/>
    <w:rsid w:val="0023463E"/>
    <w:rsid w:val="002441B8"/>
    <w:rsid w:val="002470CE"/>
    <w:rsid w:val="002528E9"/>
    <w:rsid w:val="002573A6"/>
    <w:rsid w:val="00265E4B"/>
    <w:rsid w:val="00266408"/>
    <w:rsid w:val="0026765A"/>
    <w:rsid w:val="002728B2"/>
    <w:rsid w:val="002765D8"/>
    <w:rsid w:val="0028232F"/>
    <w:rsid w:val="00286E6B"/>
    <w:rsid w:val="00292F12"/>
    <w:rsid w:val="00294F01"/>
    <w:rsid w:val="0029508F"/>
    <w:rsid w:val="002A617A"/>
    <w:rsid w:val="002B37B5"/>
    <w:rsid w:val="002B6BA2"/>
    <w:rsid w:val="002C08EB"/>
    <w:rsid w:val="002C15BE"/>
    <w:rsid w:val="002C4053"/>
    <w:rsid w:val="002C6FD2"/>
    <w:rsid w:val="002C7A87"/>
    <w:rsid w:val="002D3430"/>
    <w:rsid w:val="002D4891"/>
    <w:rsid w:val="002E3D28"/>
    <w:rsid w:val="002F002C"/>
    <w:rsid w:val="002F1711"/>
    <w:rsid w:val="002F2A54"/>
    <w:rsid w:val="002F2C24"/>
    <w:rsid w:val="002F6068"/>
    <w:rsid w:val="002F7845"/>
    <w:rsid w:val="00301089"/>
    <w:rsid w:val="00301165"/>
    <w:rsid w:val="003041B9"/>
    <w:rsid w:val="00312860"/>
    <w:rsid w:val="00324AB0"/>
    <w:rsid w:val="00324BB1"/>
    <w:rsid w:val="003268C6"/>
    <w:rsid w:val="00330899"/>
    <w:rsid w:val="00333D26"/>
    <w:rsid w:val="00334BEC"/>
    <w:rsid w:val="003364E6"/>
    <w:rsid w:val="00346611"/>
    <w:rsid w:val="003473BD"/>
    <w:rsid w:val="00355655"/>
    <w:rsid w:val="00365CD6"/>
    <w:rsid w:val="00366379"/>
    <w:rsid w:val="00373960"/>
    <w:rsid w:val="00373AEA"/>
    <w:rsid w:val="003842A9"/>
    <w:rsid w:val="00385699"/>
    <w:rsid w:val="003873DD"/>
    <w:rsid w:val="00387B28"/>
    <w:rsid w:val="003A054A"/>
    <w:rsid w:val="003A6D68"/>
    <w:rsid w:val="003B111D"/>
    <w:rsid w:val="003B122C"/>
    <w:rsid w:val="003C1EF2"/>
    <w:rsid w:val="003C7FEA"/>
    <w:rsid w:val="003D2FEA"/>
    <w:rsid w:val="003E088C"/>
    <w:rsid w:val="003E0FBE"/>
    <w:rsid w:val="003E3B26"/>
    <w:rsid w:val="003E46F5"/>
    <w:rsid w:val="003E47EE"/>
    <w:rsid w:val="003E57F5"/>
    <w:rsid w:val="003F16AA"/>
    <w:rsid w:val="003F5708"/>
    <w:rsid w:val="00402B09"/>
    <w:rsid w:val="00403FF6"/>
    <w:rsid w:val="00405DF6"/>
    <w:rsid w:val="004063DC"/>
    <w:rsid w:val="00410EF9"/>
    <w:rsid w:val="00412168"/>
    <w:rsid w:val="004239C6"/>
    <w:rsid w:val="00437708"/>
    <w:rsid w:val="00440CAF"/>
    <w:rsid w:val="0044605D"/>
    <w:rsid w:val="00453701"/>
    <w:rsid w:val="00463E5D"/>
    <w:rsid w:val="00463F1F"/>
    <w:rsid w:val="004640FB"/>
    <w:rsid w:val="00470B6A"/>
    <w:rsid w:val="00470CB1"/>
    <w:rsid w:val="00484142"/>
    <w:rsid w:val="00484A21"/>
    <w:rsid w:val="0048574A"/>
    <w:rsid w:val="0048723A"/>
    <w:rsid w:val="004875EC"/>
    <w:rsid w:val="0049232C"/>
    <w:rsid w:val="004A2867"/>
    <w:rsid w:val="004A63EE"/>
    <w:rsid w:val="004B092F"/>
    <w:rsid w:val="004B573E"/>
    <w:rsid w:val="004C12B8"/>
    <w:rsid w:val="004C1909"/>
    <w:rsid w:val="004D7FB0"/>
    <w:rsid w:val="004E303D"/>
    <w:rsid w:val="004E3633"/>
    <w:rsid w:val="004E5E06"/>
    <w:rsid w:val="004F6D30"/>
    <w:rsid w:val="005029F6"/>
    <w:rsid w:val="005050B4"/>
    <w:rsid w:val="00513184"/>
    <w:rsid w:val="0051668E"/>
    <w:rsid w:val="00530329"/>
    <w:rsid w:val="0053504D"/>
    <w:rsid w:val="00535B61"/>
    <w:rsid w:val="005436E6"/>
    <w:rsid w:val="00544792"/>
    <w:rsid w:val="00553206"/>
    <w:rsid w:val="00563B86"/>
    <w:rsid w:val="00572791"/>
    <w:rsid w:val="00573135"/>
    <w:rsid w:val="005770D4"/>
    <w:rsid w:val="005778F7"/>
    <w:rsid w:val="0058712F"/>
    <w:rsid w:val="00590F51"/>
    <w:rsid w:val="005954A7"/>
    <w:rsid w:val="005A22DF"/>
    <w:rsid w:val="005A78C2"/>
    <w:rsid w:val="005B0E0A"/>
    <w:rsid w:val="005B116D"/>
    <w:rsid w:val="005B6B56"/>
    <w:rsid w:val="005C43B0"/>
    <w:rsid w:val="005C4F9F"/>
    <w:rsid w:val="005D265A"/>
    <w:rsid w:val="005D2F2A"/>
    <w:rsid w:val="005D5650"/>
    <w:rsid w:val="005D705C"/>
    <w:rsid w:val="005D77E2"/>
    <w:rsid w:val="005E4C7F"/>
    <w:rsid w:val="005E582F"/>
    <w:rsid w:val="005E6A3A"/>
    <w:rsid w:val="005F18E4"/>
    <w:rsid w:val="005F5635"/>
    <w:rsid w:val="005F5DD1"/>
    <w:rsid w:val="005F62A8"/>
    <w:rsid w:val="005F65BC"/>
    <w:rsid w:val="005F6C59"/>
    <w:rsid w:val="00621950"/>
    <w:rsid w:val="00626D42"/>
    <w:rsid w:val="0066376D"/>
    <w:rsid w:val="006650CC"/>
    <w:rsid w:val="00671C3D"/>
    <w:rsid w:val="00672E3B"/>
    <w:rsid w:val="00681841"/>
    <w:rsid w:val="006908BC"/>
    <w:rsid w:val="00693525"/>
    <w:rsid w:val="006A2803"/>
    <w:rsid w:val="006A70E0"/>
    <w:rsid w:val="006B1B28"/>
    <w:rsid w:val="006B3EEB"/>
    <w:rsid w:val="006D20DE"/>
    <w:rsid w:val="006D395C"/>
    <w:rsid w:val="006D426F"/>
    <w:rsid w:val="006D5B43"/>
    <w:rsid w:val="006E0DB2"/>
    <w:rsid w:val="006E47E9"/>
    <w:rsid w:val="006E6DD0"/>
    <w:rsid w:val="006F39B1"/>
    <w:rsid w:val="006F5854"/>
    <w:rsid w:val="00702E6D"/>
    <w:rsid w:val="0070458A"/>
    <w:rsid w:val="00704600"/>
    <w:rsid w:val="007155C0"/>
    <w:rsid w:val="00721841"/>
    <w:rsid w:val="00721A63"/>
    <w:rsid w:val="007257F6"/>
    <w:rsid w:val="00731234"/>
    <w:rsid w:val="0073151E"/>
    <w:rsid w:val="00733D91"/>
    <w:rsid w:val="007346F5"/>
    <w:rsid w:val="00736AAF"/>
    <w:rsid w:val="00736ADD"/>
    <w:rsid w:val="00741416"/>
    <w:rsid w:val="00743CEC"/>
    <w:rsid w:val="00746FE1"/>
    <w:rsid w:val="00754B84"/>
    <w:rsid w:val="007562E7"/>
    <w:rsid w:val="007577AE"/>
    <w:rsid w:val="007616A1"/>
    <w:rsid w:val="00765491"/>
    <w:rsid w:val="00766DA2"/>
    <w:rsid w:val="00771CB0"/>
    <w:rsid w:val="00772A7D"/>
    <w:rsid w:val="007741AC"/>
    <w:rsid w:val="0077573E"/>
    <w:rsid w:val="00784DCB"/>
    <w:rsid w:val="0079205D"/>
    <w:rsid w:val="007A05A7"/>
    <w:rsid w:val="007A2143"/>
    <w:rsid w:val="007A4159"/>
    <w:rsid w:val="007A528E"/>
    <w:rsid w:val="007A5B28"/>
    <w:rsid w:val="007B1543"/>
    <w:rsid w:val="007B68FF"/>
    <w:rsid w:val="007D3588"/>
    <w:rsid w:val="007E0AFD"/>
    <w:rsid w:val="007E2AD7"/>
    <w:rsid w:val="007E3F41"/>
    <w:rsid w:val="007F2179"/>
    <w:rsid w:val="007F331A"/>
    <w:rsid w:val="007F4A16"/>
    <w:rsid w:val="007F51AD"/>
    <w:rsid w:val="008018F7"/>
    <w:rsid w:val="00803C74"/>
    <w:rsid w:val="00810403"/>
    <w:rsid w:val="00811BE5"/>
    <w:rsid w:val="008132C3"/>
    <w:rsid w:val="00820125"/>
    <w:rsid w:val="0082217C"/>
    <w:rsid w:val="00823A81"/>
    <w:rsid w:val="0083221C"/>
    <w:rsid w:val="00832F2B"/>
    <w:rsid w:val="00834230"/>
    <w:rsid w:val="00840034"/>
    <w:rsid w:val="00843053"/>
    <w:rsid w:val="0084631E"/>
    <w:rsid w:val="00846A3B"/>
    <w:rsid w:val="00847B15"/>
    <w:rsid w:val="008510A3"/>
    <w:rsid w:val="00852F03"/>
    <w:rsid w:val="008548A6"/>
    <w:rsid w:val="008575CE"/>
    <w:rsid w:val="008610F8"/>
    <w:rsid w:val="0086153C"/>
    <w:rsid w:val="0086390D"/>
    <w:rsid w:val="0086737E"/>
    <w:rsid w:val="008738FB"/>
    <w:rsid w:val="0087509E"/>
    <w:rsid w:val="0088075F"/>
    <w:rsid w:val="008819A6"/>
    <w:rsid w:val="00883CB3"/>
    <w:rsid w:val="00883FDF"/>
    <w:rsid w:val="008946EF"/>
    <w:rsid w:val="008A48A1"/>
    <w:rsid w:val="008A529A"/>
    <w:rsid w:val="008B20EC"/>
    <w:rsid w:val="008C70B5"/>
    <w:rsid w:val="008D1286"/>
    <w:rsid w:val="008F210B"/>
    <w:rsid w:val="008F3272"/>
    <w:rsid w:val="0090562C"/>
    <w:rsid w:val="0091178F"/>
    <w:rsid w:val="00914C6C"/>
    <w:rsid w:val="00914E2B"/>
    <w:rsid w:val="00916630"/>
    <w:rsid w:val="00922586"/>
    <w:rsid w:val="00926D2C"/>
    <w:rsid w:val="00932794"/>
    <w:rsid w:val="00934ACC"/>
    <w:rsid w:val="00937AA2"/>
    <w:rsid w:val="00940039"/>
    <w:rsid w:val="009400BA"/>
    <w:rsid w:val="00944EE2"/>
    <w:rsid w:val="009510BD"/>
    <w:rsid w:val="00951D8C"/>
    <w:rsid w:val="00954BD6"/>
    <w:rsid w:val="00955E6A"/>
    <w:rsid w:val="0095676D"/>
    <w:rsid w:val="00960648"/>
    <w:rsid w:val="00961AE1"/>
    <w:rsid w:val="00962F4A"/>
    <w:rsid w:val="00966987"/>
    <w:rsid w:val="00966FB8"/>
    <w:rsid w:val="009856E1"/>
    <w:rsid w:val="00985755"/>
    <w:rsid w:val="00990571"/>
    <w:rsid w:val="00991D6F"/>
    <w:rsid w:val="0099410B"/>
    <w:rsid w:val="009A0898"/>
    <w:rsid w:val="009A09E1"/>
    <w:rsid w:val="009A3F45"/>
    <w:rsid w:val="009A43CE"/>
    <w:rsid w:val="009A5519"/>
    <w:rsid w:val="009A721C"/>
    <w:rsid w:val="009B042A"/>
    <w:rsid w:val="009B0B8C"/>
    <w:rsid w:val="009B7B30"/>
    <w:rsid w:val="009C362C"/>
    <w:rsid w:val="009C42A8"/>
    <w:rsid w:val="009C7FF1"/>
    <w:rsid w:val="009E0DC1"/>
    <w:rsid w:val="009E15BB"/>
    <w:rsid w:val="009E794B"/>
    <w:rsid w:val="009F07C9"/>
    <w:rsid w:val="009F2C75"/>
    <w:rsid w:val="00A024C2"/>
    <w:rsid w:val="00A06480"/>
    <w:rsid w:val="00A06694"/>
    <w:rsid w:val="00A21786"/>
    <w:rsid w:val="00A24CF1"/>
    <w:rsid w:val="00A26747"/>
    <w:rsid w:val="00A33BE0"/>
    <w:rsid w:val="00A35387"/>
    <w:rsid w:val="00A457E8"/>
    <w:rsid w:val="00A45CCD"/>
    <w:rsid w:val="00A56918"/>
    <w:rsid w:val="00A57663"/>
    <w:rsid w:val="00A64981"/>
    <w:rsid w:val="00A67CD1"/>
    <w:rsid w:val="00A67EEF"/>
    <w:rsid w:val="00A72A98"/>
    <w:rsid w:val="00A75CA3"/>
    <w:rsid w:val="00A77915"/>
    <w:rsid w:val="00A8178F"/>
    <w:rsid w:val="00A82647"/>
    <w:rsid w:val="00A84C64"/>
    <w:rsid w:val="00A86B43"/>
    <w:rsid w:val="00A9492A"/>
    <w:rsid w:val="00A97E17"/>
    <w:rsid w:val="00AA0264"/>
    <w:rsid w:val="00AA1C50"/>
    <w:rsid w:val="00AA4809"/>
    <w:rsid w:val="00AA5DCB"/>
    <w:rsid w:val="00AB0BEE"/>
    <w:rsid w:val="00AB4221"/>
    <w:rsid w:val="00AC4B00"/>
    <w:rsid w:val="00AD20CF"/>
    <w:rsid w:val="00AD65E6"/>
    <w:rsid w:val="00AE7E0E"/>
    <w:rsid w:val="00AF06D9"/>
    <w:rsid w:val="00AF236D"/>
    <w:rsid w:val="00AF5E80"/>
    <w:rsid w:val="00AF7D4C"/>
    <w:rsid w:val="00B01338"/>
    <w:rsid w:val="00B16A43"/>
    <w:rsid w:val="00B2111C"/>
    <w:rsid w:val="00B22E69"/>
    <w:rsid w:val="00B2652E"/>
    <w:rsid w:val="00B31CE7"/>
    <w:rsid w:val="00B400EE"/>
    <w:rsid w:val="00B42744"/>
    <w:rsid w:val="00B52561"/>
    <w:rsid w:val="00B62B07"/>
    <w:rsid w:val="00B7242D"/>
    <w:rsid w:val="00B72D6A"/>
    <w:rsid w:val="00B83801"/>
    <w:rsid w:val="00B85E98"/>
    <w:rsid w:val="00B874F9"/>
    <w:rsid w:val="00BA0102"/>
    <w:rsid w:val="00BA21F0"/>
    <w:rsid w:val="00BA5EDA"/>
    <w:rsid w:val="00BB311D"/>
    <w:rsid w:val="00BB3763"/>
    <w:rsid w:val="00BB6805"/>
    <w:rsid w:val="00BB775F"/>
    <w:rsid w:val="00BC3EF2"/>
    <w:rsid w:val="00BC6623"/>
    <w:rsid w:val="00BD0D4D"/>
    <w:rsid w:val="00BD5595"/>
    <w:rsid w:val="00BE58E9"/>
    <w:rsid w:val="00BF0E8D"/>
    <w:rsid w:val="00BF41BD"/>
    <w:rsid w:val="00BF4511"/>
    <w:rsid w:val="00BF4D57"/>
    <w:rsid w:val="00BF75A6"/>
    <w:rsid w:val="00C02FBE"/>
    <w:rsid w:val="00C13664"/>
    <w:rsid w:val="00C158B3"/>
    <w:rsid w:val="00C2284A"/>
    <w:rsid w:val="00C23D14"/>
    <w:rsid w:val="00C241A9"/>
    <w:rsid w:val="00C2660C"/>
    <w:rsid w:val="00C356F7"/>
    <w:rsid w:val="00C35C43"/>
    <w:rsid w:val="00C378F8"/>
    <w:rsid w:val="00C42C1C"/>
    <w:rsid w:val="00C443AC"/>
    <w:rsid w:val="00C50D63"/>
    <w:rsid w:val="00C523D5"/>
    <w:rsid w:val="00C5398F"/>
    <w:rsid w:val="00C53C38"/>
    <w:rsid w:val="00C54D54"/>
    <w:rsid w:val="00C5530F"/>
    <w:rsid w:val="00C55FE6"/>
    <w:rsid w:val="00C560FD"/>
    <w:rsid w:val="00C603F7"/>
    <w:rsid w:val="00C622B7"/>
    <w:rsid w:val="00C66E83"/>
    <w:rsid w:val="00C7095C"/>
    <w:rsid w:val="00C70F3B"/>
    <w:rsid w:val="00C73633"/>
    <w:rsid w:val="00C902AC"/>
    <w:rsid w:val="00CA3056"/>
    <w:rsid w:val="00CA30AB"/>
    <w:rsid w:val="00CA78AB"/>
    <w:rsid w:val="00CB15B3"/>
    <w:rsid w:val="00CB559F"/>
    <w:rsid w:val="00CC18A1"/>
    <w:rsid w:val="00CC367A"/>
    <w:rsid w:val="00CD3BD9"/>
    <w:rsid w:val="00CD5AC5"/>
    <w:rsid w:val="00CD7ABC"/>
    <w:rsid w:val="00CF43D0"/>
    <w:rsid w:val="00CF6323"/>
    <w:rsid w:val="00CF7AE3"/>
    <w:rsid w:val="00CF7C49"/>
    <w:rsid w:val="00D02919"/>
    <w:rsid w:val="00D07390"/>
    <w:rsid w:val="00D1410C"/>
    <w:rsid w:val="00D16A99"/>
    <w:rsid w:val="00D22D31"/>
    <w:rsid w:val="00D26119"/>
    <w:rsid w:val="00D30B28"/>
    <w:rsid w:val="00D322BA"/>
    <w:rsid w:val="00D3331C"/>
    <w:rsid w:val="00D36859"/>
    <w:rsid w:val="00D37936"/>
    <w:rsid w:val="00D4242A"/>
    <w:rsid w:val="00D50E27"/>
    <w:rsid w:val="00D54976"/>
    <w:rsid w:val="00D55700"/>
    <w:rsid w:val="00D75C97"/>
    <w:rsid w:val="00D8530E"/>
    <w:rsid w:val="00D945EA"/>
    <w:rsid w:val="00DA55AD"/>
    <w:rsid w:val="00DB385B"/>
    <w:rsid w:val="00DB474A"/>
    <w:rsid w:val="00DB5280"/>
    <w:rsid w:val="00DB66D4"/>
    <w:rsid w:val="00DB784C"/>
    <w:rsid w:val="00DB78C2"/>
    <w:rsid w:val="00DC64A7"/>
    <w:rsid w:val="00DD2469"/>
    <w:rsid w:val="00DD3C90"/>
    <w:rsid w:val="00DD481F"/>
    <w:rsid w:val="00DE1F09"/>
    <w:rsid w:val="00DE2E6A"/>
    <w:rsid w:val="00DE3861"/>
    <w:rsid w:val="00DE5516"/>
    <w:rsid w:val="00DE671B"/>
    <w:rsid w:val="00E00FCD"/>
    <w:rsid w:val="00E01CC4"/>
    <w:rsid w:val="00E04367"/>
    <w:rsid w:val="00E05534"/>
    <w:rsid w:val="00E0604E"/>
    <w:rsid w:val="00E1420B"/>
    <w:rsid w:val="00E24520"/>
    <w:rsid w:val="00E25CDC"/>
    <w:rsid w:val="00E3140C"/>
    <w:rsid w:val="00E36793"/>
    <w:rsid w:val="00E3696A"/>
    <w:rsid w:val="00E42E3E"/>
    <w:rsid w:val="00E5148F"/>
    <w:rsid w:val="00E6226A"/>
    <w:rsid w:val="00E63B5D"/>
    <w:rsid w:val="00E70723"/>
    <w:rsid w:val="00E76F9E"/>
    <w:rsid w:val="00E818D0"/>
    <w:rsid w:val="00E82466"/>
    <w:rsid w:val="00E96E74"/>
    <w:rsid w:val="00EA0FB5"/>
    <w:rsid w:val="00EA6CA5"/>
    <w:rsid w:val="00EB7FED"/>
    <w:rsid w:val="00EC1D6E"/>
    <w:rsid w:val="00ED2E23"/>
    <w:rsid w:val="00ED77C1"/>
    <w:rsid w:val="00EF3EC0"/>
    <w:rsid w:val="00EF6956"/>
    <w:rsid w:val="00F018B2"/>
    <w:rsid w:val="00F03786"/>
    <w:rsid w:val="00F058B9"/>
    <w:rsid w:val="00F06B9D"/>
    <w:rsid w:val="00F10222"/>
    <w:rsid w:val="00F1192F"/>
    <w:rsid w:val="00F13AEE"/>
    <w:rsid w:val="00F13DD7"/>
    <w:rsid w:val="00F15FC7"/>
    <w:rsid w:val="00F178B9"/>
    <w:rsid w:val="00F20D87"/>
    <w:rsid w:val="00F255D1"/>
    <w:rsid w:val="00F306D8"/>
    <w:rsid w:val="00F30773"/>
    <w:rsid w:val="00F30F87"/>
    <w:rsid w:val="00F3140E"/>
    <w:rsid w:val="00F3441F"/>
    <w:rsid w:val="00F51202"/>
    <w:rsid w:val="00F55D19"/>
    <w:rsid w:val="00F5647B"/>
    <w:rsid w:val="00F639B6"/>
    <w:rsid w:val="00F6439A"/>
    <w:rsid w:val="00F64A2A"/>
    <w:rsid w:val="00F740CD"/>
    <w:rsid w:val="00F74A33"/>
    <w:rsid w:val="00F75A2C"/>
    <w:rsid w:val="00F8030A"/>
    <w:rsid w:val="00F8410F"/>
    <w:rsid w:val="00F84CD0"/>
    <w:rsid w:val="00F85E75"/>
    <w:rsid w:val="00F8643C"/>
    <w:rsid w:val="00F91ECF"/>
    <w:rsid w:val="00F9289F"/>
    <w:rsid w:val="00FA055C"/>
    <w:rsid w:val="00FA32EC"/>
    <w:rsid w:val="00FA5F92"/>
    <w:rsid w:val="00FA6B74"/>
    <w:rsid w:val="00FA7AE0"/>
    <w:rsid w:val="00FB1572"/>
    <w:rsid w:val="00FB44CA"/>
    <w:rsid w:val="00FC76C8"/>
    <w:rsid w:val="00FD07F3"/>
    <w:rsid w:val="00FD37FA"/>
    <w:rsid w:val="00FD475E"/>
    <w:rsid w:val="00FD6A7D"/>
    <w:rsid w:val="00FF5092"/>
    <w:rsid w:val="00FF5F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F91A5"/>
  <w15:docId w15:val="{CA788EBF-5114-4FFD-89BA-6EF250982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CB"/>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702E6D"/>
    <w:pPr>
      <w:numPr>
        <w:numId w:val="7"/>
      </w:numPr>
      <w:spacing w:before="24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3C7FEA"/>
    <w:rPr>
      <w:sz w:val="16"/>
      <w:szCs w:val="16"/>
    </w:rPr>
  </w:style>
  <w:style w:type="paragraph" w:styleId="CommentText">
    <w:name w:val="annotation text"/>
    <w:basedOn w:val="Normal"/>
    <w:link w:val="CommentTextChar"/>
    <w:uiPriority w:val="99"/>
    <w:unhideWhenUsed/>
    <w:rsid w:val="003C7FEA"/>
    <w:rPr>
      <w:sz w:val="20"/>
      <w:szCs w:val="20"/>
    </w:rPr>
  </w:style>
  <w:style w:type="character" w:customStyle="1" w:styleId="CommentTextChar">
    <w:name w:val="Comment Text Char"/>
    <w:basedOn w:val="DefaultParagraphFont"/>
    <w:link w:val="CommentText"/>
    <w:uiPriority w:val="99"/>
    <w:rsid w:val="003C7FEA"/>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3C7FEA"/>
    <w:rPr>
      <w:b/>
      <w:bCs/>
    </w:rPr>
  </w:style>
  <w:style w:type="character" w:customStyle="1" w:styleId="CommentSubjectChar">
    <w:name w:val="Comment Subject Char"/>
    <w:basedOn w:val="CommentTextChar"/>
    <w:link w:val="CommentSubject"/>
    <w:uiPriority w:val="99"/>
    <w:semiHidden/>
    <w:rsid w:val="003C7FEA"/>
    <w:rPr>
      <w:rFonts w:ascii="Times New Roman" w:hAnsi="Times New Roman"/>
      <w:b/>
      <w:bCs/>
      <w:sz w:val="20"/>
      <w:szCs w:val="20"/>
    </w:rPr>
  </w:style>
  <w:style w:type="character" w:styleId="Hyperlink">
    <w:name w:val="Hyperlink"/>
    <w:basedOn w:val="DefaultParagraphFont"/>
    <w:uiPriority w:val="99"/>
    <w:unhideWhenUsed/>
    <w:rsid w:val="005050B4"/>
    <w:rPr>
      <w:color w:val="0000FF" w:themeColor="hyperlink"/>
      <w:u w:val="single"/>
    </w:rPr>
  </w:style>
  <w:style w:type="character" w:styleId="UnresolvedMention">
    <w:name w:val="Unresolved Mention"/>
    <w:basedOn w:val="DefaultParagraphFont"/>
    <w:uiPriority w:val="99"/>
    <w:semiHidden/>
    <w:unhideWhenUsed/>
    <w:rsid w:val="005050B4"/>
    <w:rPr>
      <w:color w:val="605E5C"/>
      <w:shd w:val="clear" w:color="auto" w:fill="E1DFDD"/>
    </w:rPr>
  </w:style>
  <w:style w:type="paragraph" w:customStyle="1" w:styleId="tv213">
    <w:name w:val="tv213"/>
    <w:basedOn w:val="Normal"/>
    <w:rsid w:val="0005032E"/>
    <w:pPr>
      <w:spacing w:before="100" w:beforeAutospacing="1" w:after="100" w:afterAutospacing="1"/>
    </w:pPr>
    <w:rPr>
      <w:rFonts w:eastAsia="Times New Roman" w:cs="Times New Roman"/>
      <w:szCs w:val="24"/>
    </w:rPr>
  </w:style>
  <w:style w:type="paragraph" w:styleId="Revision">
    <w:name w:val="Revision"/>
    <w:hidden/>
    <w:uiPriority w:val="99"/>
    <w:semiHidden/>
    <w:rsid w:val="0087509E"/>
    <w:pPr>
      <w:spacing w:after="0" w:line="240" w:lineRule="auto"/>
    </w:pPr>
    <w:rPr>
      <w:rFonts w:ascii="Times New Roman" w:hAnsi="Times New Roman"/>
      <w:sz w:val="24"/>
    </w:rPr>
  </w:style>
  <w:style w:type="paragraph" w:customStyle="1" w:styleId="labojumupamats">
    <w:name w:val="labojumu_pamats"/>
    <w:basedOn w:val="Normal"/>
    <w:rsid w:val="006B1B28"/>
    <w:pPr>
      <w:spacing w:before="100" w:beforeAutospacing="1" w:after="100" w:afterAutospacing="1"/>
    </w:pPr>
    <w:rPr>
      <w:rFonts w:eastAsia="Times New Roman" w:cs="Times New Roman"/>
      <w:szCs w:val="24"/>
    </w:rPr>
  </w:style>
  <w:style w:type="character" w:customStyle="1" w:styleId="fontsize2">
    <w:name w:val="fontsize2"/>
    <w:basedOn w:val="DefaultParagraphFont"/>
    <w:rsid w:val="006B1B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9377">
      <w:bodyDiv w:val="1"/>
      <w:marLeft w:val="0"/>
      <w:marRight w:val="0"/>
      <w:marTop w:val="0"/>
      <w:marBottom w:val="0"/>
      <w:divBdr>
        <w:top w:val="none" w:sz="0" w:space="0" w:color="auto"/>
        <w:left w:val="none" w:sz="0" w:space="0" w:color="auto"/>
        <w:bottom w:val="none" w:sz="0" w:space="0" w:color="auto"/>
        <w:right w:val="none" w:sz="0" w:space="0" w:color="auto"/>
      </w:divBdr>
      <w:divsChild>
        <w:div w:id="681320583">
          <w:marLeft w:val="0"/>
          <w:marRight w:val="0"/>
          <w:marTop w:val="0"/>
          <w:marBottom w:val="0"/>
          <w:divBdr>
            <w:top w:val="none" w:sz="0" w:space="0" w:color="auto"/>
            <w:left w:val="none" w:sz="0" w:space="0" w:color="auto"/>
            <w:bottom w:val="none" w:sz="0" w:space="0" w:color="auto"/>
            <w:right w:val="none" w:sz="0" w:space="0" w:color="auto"/>
          </w:divBdr>
        </w:div>
        <w:div w:id="1806924729">
          <w:marLeft w:val="0"/>
          <w:marRight w:val="0"/>
          <w:marTop w:val="0"/>
          <w:marBottom w:val="0"/>
          <w:divBdr>
            <w:top w:val="none" w:sz="0" w:space="0" w:color="auto"/>
            <w:left w:val="none" w:sz="0" w:space="0" w:color="auto"/>
            <w:bottom w:val="none" w:sz="0" w:space="0" w:color="auto"/>
            <w:right w:val="none" w:sz="0" w:space="0" w:color="auto"/>
          </w:divBdr>
        </w:div>
        <w:div w:id="143355928">
          <w:marLeft w:val="0"/>
          <w:marRight w:val="0"/>
          <w:marTop w:val="0"/>
          <w:marBottom w:val="0"/>
          <w:divBdr>
            <w:top w:val="none" w:sz="0" w:space="0" w:color="auto"/>
            <w:left w:val="none" w:sz="0" w:space="0" w:color="auto"/>
            <w:bottom w:val="none" w:sz="0" w:space="0" w:color="auto"/>
            <w:right w:val="none" w:sz="0" w:space="0" w:color="auto"/>
          </w:divBdr>
        </w:div>
      </w:divsChild>
    </w:div>
    <w:div w:id="9182770">
      <w:bodyDiv w:val="1"/>
      <w:marLeft w:val="0"/>
      <w:marRight w:val="0"/>
      <w:marTop w:val="0"/>
      <w:marBottom w:val="0"/>
      <w:divBdr>
        <w:top w:val="none" w:sz="0" w:space="0" w:color="auto"/>
        <w:left w:val="none" w:sz="0" w:space="0" w:color="auto"/>
        <w:bottom w:val="none" w:sz="0" w:space="0" w:color="auto"/>
        <w:right w:val="none" w:sz="0" w:space="0" w:color="auto"/>
      </w:divBdr>
    </w:div>
    <w:div w:id="68232222">
      <w:bodyDiv w:val="1"/>
      <w:marLeft w:val="0"/>
      <w:marRight w:val="0"/>
      <w:marTop w:val="0"/>
      <w:marBottom w:val="0"/>
      <w:divBdr>
        <w:top w:val="none" w:sz="0" w:space="0" w:color="auto"/>
        <w:left w:val="none" w:sz="0" w:space="0" w:color="auto"/>
        <w:bottom w:val="none" w:sz="0" w:space="0" w:color="auto"/>
        <w:right w:val="none" w:sz="0" w:space="0" w:color="auto"/>
      </w:divBdr>
      <w:divsChild>
        <w:div w:id="160896687">
          <w:marLeft w:val="0"/>
          <w:marRight w:val="0"/>
          <w:marTop w:val="0"/>
          <w:marBottom w:val="0"/>
          <w:divBdr>
            <w:top w:val="none" w:sz="0" w:space="0" w:color="auto"/>
            <w:left w:val="none" w:sz="0" w:space="0" w:color="auto"/>
            <w:bottom w:val="none" w:sz="0" w:space="0" w:color="auto"/>
            <w:right w:val="none" w:sz="0" w:space="0" w:color="auto"/>
          </w:divBdr>
        </w:div>
        <w:div w:id="198903895">
          <w:marLeft w:val="0"/>
          <w:marRight w:val="0"/>
          <w:marTop w:val="0"/>
          <w:marBottom w:val="0"/>
          <w:divBdr>
            <w:top w:val="none" w:sz="0" w:space="0" w:color="auto"/>
            <w:left w:val="none" w:sz="0" w:space="0" w:color="auto"/>
            <w:bottom w:val="none" w:sz="0" w:space="0" w:color="auto"/>
            <w:right w:val="none" w:sz="0" w:space="0" w:color="auto"/>
          </w:divBdr>
        </w:div>
        <w:div w:id="606886902">
          <w:marLeft w:val="0"/>
          <w:marRight w:val="0"/>
          <w:marTop w:val="0"/>
          <w:marBottom w:val="0"/>
          <w:divBdr>
            <w:top w:val="none" w:sz="0" w:space="0" w:color="auto"/>
            <w:left w:val="none" w:sz="0" w:space="0" w:color="auto"/>
            <w:bottom w:val="none" w:sz="0" w:space="0" w:color="auto"/>
            <w:right w:val="none" w:sz="0" w:space="0" w:color="auto"/>
          </w:divBdr>
        </w:div>
        <w:div w:id="874735665">
          <w:marLeft w:val="0"/>
          <w:marRight w:val="0"/>
          <w:marTop w:val="0"/>
          <w:marBottom w:val="0"/>
          <w:divBdr>
            <w:top w:val="none" w:sz="0" w:space="0" w:color="auto"/>
            <w:left w:val="none" w:sz="0" w:space="0" w:color="auto"/>
            <w:bottom w:val="none" w:sz="0" w:space="0" w:color="auto"/>
            <w:right w:val="none" w:sz="0" w:space="0" w:color="auto"/>
          </w:divBdr>
        </w:div>
        <w:div w:id="884608993">
          <w:marLeft w:val="0"/>
          <w:marRight w:val="0"/>
          <w:marTop w:val="0"/>
          <w:marBottom w:val="0"/>
          <w:divBdr>
            <w:top w:val="none" w:sz="0" w:space="0" w:color="auto"/>
            <w:left w:val="none" w:sz="0" w:space="0" w:color="auto"/>
            <w:bottom w:val="none" w:sz="0" w:space="0" w:color="auto"/>
            <w:right w:val="none" w:sz="0" w:space="0" w:color="auto"/>
          </w:divBdr>
        </w:div>
        <w:div w:id="1374690690">
          <w:marLeft w:val="0"/>
          <w:marRight w:val="0"/>
          <w:marTop w:val="0"/>
          <w:marBottom w:val="0"/>
          <w:divBdr>
            <w:top w:val="none" w:sz="0" w:space="0" w:color="auto"/>
            <w:left w:val="none" w:sz="0" w:space="0" w:color="auto"/>
            <w:bottom w:val="none" w:sz="0" w:space="0" w:color="auto"/>
            <w:right w:val="none" w:sz="0" w:space="0" w:color="auto"/>
          </w:divBdr>
        </w:div>
        <w:div w:id="2098477004">
          <w:marLeft w:val="0"/>
          <w:marRight w:val="0"/>
          <w:marTop w:val="0"/>
          <w:marBottom w:val="0"/>
          <w:divBdr>
            <w:top w:val="none" w:sz="0" w:space="0" w:color="auto"/>
            <w:left w:val="none" w:sz="0" w:space="0" w:color="auto"/>
            <w:bottom w:val="none" w:sz="0" w:space="0" w:color="auto"/>
            <w:right w:val="none" w:sz="0" w:space="0" w:color="auto"/>
          </w:divBdr>
        </w:div>
      </w:divsChild>
    </w:div>
    <w:div w:id="69160103">
      <w:bodyDiv w:val="1"/>
      <w:marLeft w:val="0"/>
      <w:marRight w:val="0"/>
      <w:marTop w:val="0"/>
      <w:marBottom w:val="0"/>
      <w:divBdr>
        <w:top w:val="none" w:sz="0" w:space="0" w:color="auto"/>
        <w:left w:val="none" w:sz="0" w:space="0" w:color="auto"/>
        <w:bottom w:val="none" w:sz="0" w:space="0" w:color="auto"/>
        <w:right w:val="none" w:sz="0" w:space="0" w:color="auto"/>
      </w:divBdr>
    </w:div>
    <w:div w:id="117995054">
      <w:bodyDiv w:val="1"/>
      <w:marLeft w:val="0"/>
      <w:marRight w:val="0"/>
      <w:marTop w:val="0"/>
      <w:marBottom w:val="0"/>
      <w:divBdr>
        <w:top w:val="none" w:sz="0" w:space="0" w:color="auto"/>
        <w:left w:val="none" w:sz="0" w:space="0" w:color="auto"/>
        <w:bottom w:val="none" w:sz="0" w:space="0" w:color="auto"/>
        <w:right w:val="none" w:sz="0" w:space="0" w:color="auto"/>
      </w:divBdr>
      <w:divsChild>
        <w:div w:id="774639349">
          <w:marLeft w:val="0"/>
          <w:marRight w:val="0"/>
          <w:marTop w:val="0"/>
          <w:marBottom w:val="0"/>
          <w:divBdr>
            <w:top w:val="none" w:sz="0" w:space="0" w:color="auto"/>
            <w:left w:val="none" w:sz="0" w:space="0" w:color="auto"/>
            <w:bottom w:val="none" w:sz="0" w:space="0" w:color="auto"/>
            <w:right w:val="none" w:sz="0" w:space="0" w:color="auto"/>
          </w:divBdr>
        </w:div>
        <w:div w:id="1730179333">
          <w:marLeft w:val="0"/>
          <w:marRight w:val="0"/>
          <w:marTop w:val="0"/>
          <w:marBottom w:val="0"/>
          <w:divBdr>
            <w:top w:val="none" w:sz="0" w:space="0" w:color="auto"/>
            <w:left w:val="none" w:sz="0" w:space="0" w:color="auto"/>
            <w:bottom w:val="none" w:sz="0" w:space="0" w:color="auto"/>
            <w:right w:val="none" w:sz="0" w:space="0" w:color="auto"/>
          </w:divBdr>
        </w:div>
        <w:div w:id="1896700808">
          <w:marLeft w:val="0"/>
          <w:marRight w:val="0"/>
          <w:marTop w:val="0"/>
          <w:marBottom w:val="0"/>
          <w:divBdr>
            <w:top w:val="none" w:sz="0" w:space="0" w:color="auto"/>
            <w:left w:val="none" w:sz="0" w:space="0" w:color="auto"/>
            <w:bottom w:val="none" w:sz="0" w:space="0" w:color="auto"/>
            <w:right w:val="none" w:sz="0" w:space="0" w:color="auto"/>
          </w:divBdr>
        </w:div>
      </w:divsChild>
    </w:div>
    <w:div w:id="131336200">
      <w:bodyDiv w:val="1"/>
      <w:marLeft w:val="0"/>
      <w:marRight w:val="0"/>
      <w:marTop w:val="0"/>
      <w:marBottom w:val="0"/>
      <w:divBdr>
        <w:top w:val="none" w:sz="0" w:space="0" w:color="auto"/>
        <w:left w:val="none" w:sz="0" w:space="0" w:color="auto"/>
        <w:bottom w:val="none" w:sz="0" w:space="0" w:color="auto"/>
        <w:right w:val="none" w:sz="0" w:space="0" w:color="auto"/>
      </w:divBdr>
      <w:divsChild>
        <w:div w:id="331296180">
          <w:marLeft w:val="0"/>
          <w:marRight w:val="0"/>
          <w:marTop w:val="0"/>
          <w:marBottom w:val="0"/>
          <w:divBdr>
            <w:top w:val="none" w:sz="0" w:space="0" w:color="auto"/>
            <w:left w:val="none" w:sz="0" w:space="0" w:color="auto"/>
            <w:bottom w:val="none" w:sz="0" w:space="0" w:color="auto"/>
            <w:right w:val="none" w:sz="0" w:space="0" w:color="auto"/>
          </w:divBdr>
        </w:div>
        <w:div w:id="1655715188">
          <w:marLeft w:val="0"/>
          <w:marRight w:val="0"/>
          <w:marTop w:val="0"/>
          <w:marBottom w:val="0"/>
          <w:divBdr>
            <w:top w:val="none" w:sz="0" w:space="0" w:color="auto"/>
            <w:left w:val="none" w:sz="0" w:space="0" w:color="auto"/>
            <w:bottom w:val="none" w:sz="0" w:space="0" w:color="auto"/>
            <w:right w:val="none" w:sz="0" w:space="0" w:color="auto"/>
          </w:divBdr>
        </w:div>
        <w:div w:id="1247575509">
          <w:marLeft w:val="0"/>
          <w:marRight w:val="0"/>
          <w:marTop w:val="0"/>
          <w:marBottom w:val="0"/>
          <w:divBdr>
            <w:top w:val="none" w:sz="0" w:space="0" w:color="auto"/>
            <w:left w:val="none" w:sz="0" w:space="0" w:color="auto"/>
            <w:bottom w:val="none" w:sz="0" w:space="0" w:color="auto"/>
            <w:right w:val="none" w:sz="0" w:space="0" w:color="auto"/>
          </w:divBdr>
        </w:div>
        <w:div w:id="299045436">
          <w:marLeft w:val="0"/>
          <w:marRight w:val="0"/>
          <w:marTop w:val="0"/>
          <w:marBottom w:val="0"/>
          <w:divBdr>
            <w:top w:val="none" w:sz="0" w:space="0" w:color="auto"/>
            <w:left w:val="none" w:sz="0" w:space="0" w:color="auto"/>
            <w:bottom w:val="none" w:sz="0" w:space="0" w:color="auto"/>
            <w:right w:val="none" w:sz="0" w:space="0" w:color="auto"/>
          </w:divBdr>
        </w:div>
        <w:div w:id="112216845">
          <w:marLeft w:val="0"/>
          <w:marRight w:val="0"/>
          <w:marTop w:val="0"/>
          <w:marBottom w:val="0"/>
          <w:divBdr>
            <w:top w:val="none" w:sz="0" w:space="0" w:color="auto"/>
            <w:left w:val="none" w:sz="0" w:space="0" w:color="auto"/>
            <w:bottom w:val="none" w:sz="0" w:space="0" w:color="auto"/>
            <w:right w:val="none" w:sz="0" w:space="0" w:color="auto"/>
          </w:divBdr>
        </w:div>
        <w:div w:id="1227228548">
          <w:marLeft w:val="0"/>
          <w:marRight w:val="0"/>
          <w:marTop w:val="0"/>
          <w:marBottom w:val="0"/>
          <w:divBdr>
            <w:top w:val="none" w:sz="0" w:space="0" w:color="auto"/>
            <w:left w:val="none" w:sz="0" w:space="0" w:color="auto"/>
            <w:bottom w:val="none" w:sz="0" w:space="0" w:color="auto"/>
            <w:right w:val="none" w:sz="0" w:space="0" w:color="auto"/>
          </w:divBdr>
        </w:div>
        <w:div w:id="799954223">
          <w:marLeft w:val="0"/>
          <w:marRight w:val="0"/>
          <w:marTop w:val="0"/>
          <w:marBottom w:val="0"/>
          <w:divBdr>
            <w:top w:val="none" w:sz="0" w:space="0" w:color="auto"/>
            <w:left w:val="none" w:sz="0" w:space="0" w:color="auto"/>
            <w:bottom w:val="none" w:sz="0" w:space="0" w:color="auto"/>
            <w:right w:val="none" w:sz="0" w:space="0" w:color="auto"/>
          </w:divBdr>
        </w:div>
      </w:divsChild>
    </w:div>
    <w:div w:id="242302978">
      <w:bodyDiv w:val="1"/>
      <w:marLeft w:val="0"/>
      <w:marRight w:val="0"/>
      <w:marTop w:val="0"/>
      <w:marBottom w:val="0"/>
      <w:divBdr>
        <w:top w:val="none" w:sz="0" w:space="0" w:color="auto"/>
        <w:left w:val="none" w:sz="0" w:space="0" w:color="auto"/>
        <w:bottom w:val="none" w:sz="0" w:space="0" w:color="auto"/>
        <w:right w:val="none" w:sz="0" w:space="0" w:color="auto"/>
      </w:divBdr>
      <w:divsChild>
        <w:div w:id="262346087">
          <w:marLeft w:val="0"/>
          <w:marRight w:val="0"/>
          <w:marTop w:val="0"/>
          <w:marBottom w:val="0"/>
          <w:divBdr>
            <w:top w:val="none" w:sz="0" w:space="0" w:color="auto"/>
            <w:left w:val="none" w:sz="0" w:space="0" w:color="auto"/>
            <w:bottom w:val="none" w:sz="0" w:space="0" w:color="auto"/>
            <w:right w:val="none" w:sz="0" w:space="0" w:color="auto"/>
          </w:divBdr>
        </w:div>
        <w:div w:id="405029037">
          <w:marLeft w:val="0"/>
          <w:marRight w:val="0"/>
          <w:marTop w:val="0"/>
          <w:marBottom w:val="0"/>
          <w:divBdr>
            <w:top w:val="none" w:sz="0" w:space="0" w:color="auto"/>
            <w:left w:val="none" w:sz="0" w:space="0" w:color="auto"/>
            <w:bottom w:val="none" w:sz="0" w:space="0" w:color="auto"/>
            <w:right w:val="none" w:sz="0" w:space="0" w:color="auto"/>
          </w:divBdr>
        </w:div>
        <w:div w:id="430005191">
          <w:marLeft w:val="0"/>
          <w:marRight w:val="0"/>
          <w:marTop w:val="0"/>
          <w:marBottom w:val="0"/>
          <w:divBdr>
            <w:top w:val="none" w:sz="0" w:space="0" w:color="auto"/>
            <w:left w:val="none" w:sz="0" w:space="0" w:color="auto"/>
            <w:bottom w:val="none" w:sz="0" w:space="0" w:color="auto"/>
            <w:right w:val="none" w:sz="0" w:space="0" w:color="auto"/>
          </w:divBdr>
        </w:div>
        <w:div w:id="1176075155">
          <w:marLeft w:val="0"/>
          <w:marRight w:val="0"/>
          <w:marTop w:val="0"/>
          <w:marBottom w:val="0"/>
          <w:divBdr>
            <w:top w:val="none" w:sz="0" w:space="0" w:color="auto"/>
            <w:left w:val="none" w:sz="0" w:space="0" w:color="auto"/>
            <w:bottom w:val="none" w:sz="0" w:space="0" w:color="auto"/>
            <w:right w:val="none" w:sz="0" w:space="0" w:color="auto"/>
          </w:divBdr>
        </w:div>
        <w:div w:id="1515998791">
          <w:marLeft w:val="0"/>
          <w:marRight w:val="0"/>
          <w:marTop w:val="0"/>
          <w:marBottom w:val="0"/>
          <w:divBdr>
            <w:top w:val="none" w:sz="0" w:space="0" w:color="auto"/>
            <w:left w:val="none" w:sz="0" w:space="0" w:color="auto"/>
            <w:bottom w:val="none" w:sz="0" w:space="0" w:color="auto"/>
            <w:right w:val="none" w:sz="0" w:space="0" w:color="auto"/>
          </w:divBdr>
        </w:div>
      </w:divsChild>
    </w:div>
    <w:div w:id="282805494">
      <w:bodyDiv w:val="1"/>
      <w:marLeft w:val="0"/>
      <w:marRight w:val="0"/>
      <w:marTop w:val="0"/>
      <w:marBottom w:val="0"/>
      <w:divBdr>
        <w:top w:val="none" w:sz="0" w:space="0" w:color="auto"/>
        <w:left w:val="none" w:sz="0" w:space="0" w:color="auto"/>
        <w:bottom w:val="none" w:sz="0" w:space="0" w:color="auto"/>
        <w:right w:val="none" w:sz="0" w:space="0" w:color="auto"/>
      </w:divBdr>
    </w:div>
    <w:div w:id="418911316">
      <w:bodyDiv w:val="1"/>
      <w:marLeft w:val="0"/>
      <w:marRight w:val="0"/>
      <w:marTop w:val="0"/>
      <w:marBottom w:val="0"/>
      <w:divBdr>
        <w:top w:val="none" w:sz="0" w:space="0" w:color="auto"/>
        <w:left w:val="none" w:sz="0" w:space="0" w:color="auto"/>
        <w:bottom w:val="none" w:sz="0" w:space="0" w:color="auto"/>
        <w:right w:val="none" w:sz="0" w:space="0" w:color="auto"/>
      </w:divBdr>
      <w:divsChild>
        <w:div w:id="265039023">
          <w:marLeft w:val="0"/>
          <w:marRight w:val="0"/>
          <w:marTop w:val="0"/>
          <w:marBottom w:val="0"/>
          <w:divBdr>
            <w:top w:val="none" w:sz="0" w:space="0" w:color="auto"/>
            <w:left w:val="none" w:sz="0" w:space="0" w:color="auto"/>
            <w:bottom w:val="none" w:sz="0" w:space="0" w:color="auto"/>
            <w:right w:val="none" w:sz="0" w:space="0" w:color="auto"/>
          </w:divBdr>
        </w:div>
        <w:div w:id="359935452">
          <w:marLeft w:val="0"/>
          <w:marRight w:val="0"/>
          <w:marTop w:val="0"/>
          <w:marBottom w:val="0"/>
          <w:divBdr>
            <w:top w:val="none" w:sz="0" w:space="0" w:color="auto"/>
            <w:left w:val="none" w:sz="0" w:space="0" w:color="auto"/>
            <w:bottom w:val="none" w:sz="0" w:space="0" w:color="auto"/>
            <w:right w:val="none" w:sz="0" w:space="0" w:color="auto"/>
          </w:divBdr>
        </w:div>
        <w:div w:id="511795752">
          <w:marLeft w:val="0"/>
          <w:marRight w:val="0"/>
          <w:marTop w:val="0"/>
          <w:marBottom w:val="0"/>
          <w:divBdr>
            <w:top w:val="none" w:sz="0" w:space="0" w:color="auto"/>
            <w:left w:val="none" w:sz="0" w:space="0" w:color="auto"/>
            <w:bottom w:val="none" w:sz="0" w:space="0" w:color="auto"/>
            <w:right w:val="none" w:sz="0" w:space="0" w:color="auto"/>
          </w:divBdr>
        </w:div>
        <w:div w:id="1268730635">
          <w:marLeft w:val="0"/>
          <w:marRight w:val="0"/>
          <w:marTop w:val="0"/>
          <w:marBottom w:val="0"/>
          <w:divBdr>
            <w:top w:val="none" w:sz="0" w:space="0" w:color="auto"/>
            <w:left w:val="none" w:sz="0" w:space="0" w:color="auto"/>
            <w:bottom w:val="none" w:sz="0" w:space="0" w:color="auto"/>
            <w:right w:val="none" w:sz="0" w:space="0" w:color="auto"/>
          </w:divBdr>
        </w:div>
        <w:div w:id="1282690637">
          <w:marLeft w:val="0"/>
          <w:marRight w:val="0"/>
          <w:marTop w:val="0"/>
          <w:marBottom w:val="0"/>
          <w:divBdr>
            <w:top w:val="none" w:sz="0" w:space="0" w:color="auto"/>
            <w:left w:val="none" w:sz="0" w:space="0" w:color="auto"/>
            <w:bottom w:val="none" w:sz="0" w:space="0" w:color="auto"/>
            <w:right w:val="none" w:sz="0" w:space="0" w:color="auto"/>
          </w:divBdr>
        </w:div>
        <w:div w:id="1760515758">
          <w:marLeft w:val="0"/>
          <w:marRight w:val="0"/>
          <w:marTop w:val="0"/>
          <w:marBottom w:val="0"/>
          <w:divBdr>
            <w:top w:val="none" w:sz="0" w:space="0" w:color="auto"/>
            <w:left w:val="none" w:sz="0" w:space="0" w:color="auto"/>
            <w:bottom w:val="none" w:sz="0" w:space="0" w:color="auto"/>
            <w:right w:val="none" w:sz="0" w:space="0" w:color="auto"/>
          </w:divBdr>
        </w:div>
        <w:div w:id="1792433439">
          <w:marLeft w:val="0"/>
          <w:marRight w:val="0"/>
          <w:marTop w:val="0"/>
          <w:marBottom w:val="0"/>
          <w:divBdr>
            <w:top w:val="none" w:sz="0" w:space="0" w:color="auto"/>
            <w:left w:val="none" w:sz="0" w:space="0" w:color="auto"/>
            <w:bottom w:val="none" w:sz="0" w:space="0" w:color="auto"/>
            <w:right w:val="none" w:sz="0" w:space="0" w:color="auto"/>
          </w:divBdr>
        </w:div>
        <w:div w:id="1894348130">
          <w:marLeft w:val="0"/>
          <w:marRight w:val="0"/>
          <w:marTop w:val="0"/>
          <w:marBottom w:val="0"/>
          <w:divBdr>
            <w:top w:val="none" w:sz="0" w:space="0" w:color="auto"/>
            <w:left w:val="none" w:sz="0" w:space="0" w:color="auto"/>
            <w:bottom w:val="none" w:sz="0" w:space="0" w:color="auto"/>
            <w:right w:val="none" w:sz="0" w:space="0" w:color="auto"/>
          </w:divBdr>
        </w:div>
        <w:div w:id="1921409184">
          <w:marLeft w:val="0"/>
          <w:marRight w:val="0"/>
          <w:marTop w:val="0"/>
          <w:marBottom w:val="0"/>
          <w:divBdr>
            <w:top w:val="none" w:sz="0" w:space="0" w:color="auto"/>
            <w:left w:val="none" w:sz="0" w:space="0" w:color="auto"/>
            <w:bottom w:val="none" w:sz="0" w:space="0" w:color="auto"/>
            <w:right w:val="none" w:sz="0" w:space="0" w:color="auto"/>
          </w:divBdr>
        </w:div>
        <w:div w:id="1958677015">
          <w:marLeft w:val="0"/>
          <w:marRight w:val="0"/>
          <w:marTop w:val="0"/>
          <w:marBottom w:val="0"/>
          <w:divBdr>
            <w:top w:val="none" w:sz="0" w:space="0" w:color="auto"/>
            <w:left w:val="none" w:sz="0" w:space="0" w:color="auto"/>
            <w:bottom w:val="none" w:sz="0" w:space="0" w:color="auto"/>
            <w:right w:val="none" w:sz="0" w:space="0" w:color="auto"/>
          </w:divBdr>
        </w:div>
      </w:divsChild>
    </w:div>
    <w:div w:id="564801427">
      <w:bodyDiv w:val="1"/>
      <w:marLeft w:val="0"/>
      <w:marRight w:val="0"/>
      <w:marTop w:val="0"/>
      <w:marBottom w:val="0"/>
      <w:divBdr>
        <w:top w:val="none" w:sz="0" w:space="0" w:color="auto"/>
        <w:left w:val="none" w:sz="0" w:space="0" w:color="auto"/>
        <w:bottom w:val="none" w:sz="0" w:space="0" w:color="auto"/>
        <w:right w:val="none" w:sz="0" w:space="0" w:color="auto"/>
      </w:divBdr>
      <w:divsChild>
        <w:div w:id="809329046">
          <w:marLeft w:val="0"/>
          <w:marRight w:val="0"/>
          <w:marTop w:val="0"/>
          <w:marBottom w:val="0"/>
          <w:divBdr>
            <w:top w:val="none" w:sz="0" w:space="0" w:color="auto"/>
            <w:left w:val="none" w:sz="0" w:space="0" w:color="auto"/>
            <w:bottom w:val="none" w:sz="0" w:space="0" w:color="auto"/>
            <w:right w:val="none" w:sz="0" w:space="0" w:color="auto"/>
          </w:divBdr>
        </w:div>
        <w:div w:id="1455489799">
          <w:marLeft w:val="0"/>
          <w:marRight w:val="0"/>
          <w:marTop w:val="0"/>
          <w:marBottom w:val="0"/>
          <w:divBdr>
            <w:top w:val="none" w:sz="0" w:space="0" w:color="auto"/>
            <w:left w:val="none" w:sz="0" w:space="0" w:color="auto"/>
            <w:bottom w:val="none" w:sz="0" w:space="0" w:color="auto"/>
            <w:right w:val="none" w:sz="0" w:space="0" w:color="auto"/>
          </w:divBdr>
        </w:div>
        <w:div w:id="1022174139">
          <w:marLeft w:val="0"/>
          <w:marRight w:val="0"/>
          <w:marTop w:val="0"/>
          <w:marBottom w:val="0"/>
          <w:divBdr>
            <w:top w:val="none" w:sz="0" w:space="0" w:color="auto"/>
            <w:left w:val="none" w:sz="0" w:space="0" w:color="auto"/>
            <w:bottom w:val="none" w:sz="0" w:space="0" w:color="auto"/>
            <w:right w:val="none" w:sz="0" w:space="0" w:color="auto"/>
          </w:divBdr>
        </w:div>
        <w:div w:id="1197550100">
          <w:marLeft w:val="0"/>
          <w:marRight w:val="0"/>
          <w:marTop w:val="0"/>
          <w:marBottom w:val="0"/>
          <w:divBdr>
            <w:top w:val="none" w:sz="0" w:space="0" w:color="auto"/>
            <w:left w:val="none" w:sz="0" w:space="0" w:color="auto"/>
            <w:bottom w:val="none" w:sz="0" w:space="0" w:color="auto"/>
            <w:right w:val="none" w:sz="0" w:space="0" w:color="auto"/>
          </w:divBdr>
        </w:div>
        <w:div w:id="1580288685">
          <w:marLeft w:val="0"/>
          <w:marRight w:val="0"/>
          <w:marTop w:val="0"/>
          <w:marBottom w:val="0"/>
          <w:divBdr>
            <w:top w:val="none" w:sz="0" w:space="0" w:color="auto"/>
            <w:left w:val="none" w:sz="0" w:space="0" w:color="auto"/>
            <w:bottom w:val="none" w:sz="0" w:space="0" w:color="auto"/>
            <w:right w:val="none" w:sz="0" w:space="0" w:color="auto"/>
          </w:divBdr>
        </w:div>
        <w:div w:id="2110272085">
          <w:marLeft w:val="0"/>
          <w:marRight w:val="0"/>
          <w:marTop w:val="0"/>
          <w:marBottom w:val="0"/>
          <w:divBdr>
            <w:top w:val="none" w:sz="0" w:space="0" w:color="auto"/>
            <w:left w:val="none" w:sz="0" w:space="0" w:color="auto"/>
            <w:bottom w:val="none" w:sz="0" w:space="0" w:color="auto"/>
            <w:right w:val="none" w:sz="0" w:space="0" w:color="auto"/>
          </w:divBdr>
        </w:div>
        <w:div w:id="199124598">
          <w:marLeft w:val="0"/>
          <w:marRight w:val="0"/>
          <w:marTop w:val="0"/>
          <w:marBottom w:val="0"/>
          <w:divBdr>
            <w:top w:val="none" w:sz="0" w:space="0" w:color="auto"/>
            <w:left w:val="none" w:sz="0" w:space="0" w:color="auto"/>
            <w:bottom w:val="none" w:sz="0" w:space="0" w:color="auto"/>
            <w:right w:val="none" w:sz="0" w:space="0" w:color="auto"/>
          </w:divBdr>
        </w:div>
        <w:div w:id="1688363161">
          <w:marLeft w:val="0"/>
          <w:marRight w:val="0"/>
          <w:marTop w:val="0"/>
          <w:marBottom w:val="0"/>
          <w:divBdr>
            <w:top w:val="none" w:sz="0" w:space="0" w:color="auto"/>
            <w:left w:val="none" w:sz="0" w:space="0" w:color="auto"/>
            <w:bottom w:val="none" w:sz="0" w:space="0" w:color="auto"/>
            <w:right w:val="none" w:sz="0" w:space="0" w:color="auto"/>
          </w:divBdr>
        </w:div>
        <w:div w:id="1965961835">
          <w:marLeft w:val="0"/>
          <w:marRight w:val="0"/>
          <w:marTop w:val="0"/>
          <w:marBottom w:val="0"/>
          <w:divBdr>
            <w:top w:val="none" w:sz="0" w:space="0" w:color="auto"/>
            <w:left w:val="none" w:sz="0" w:space="0" w:color="auto"/>
            <w:bottom w:val="none" w:sz="0" w:space="0" w:color="auto"/>
            <w:right w:val="none" w:sz="0" w:space="0" w:color="auto"/>
          </w:divBdr>
        </w:div>
        <w:div w:id="1295598067">
          <w:marLeft w:val="0"/>
          <w:marRight w:val="0"/>
          <w:marTop w:val="0"/>
          <w:marBottom w:val="0"/>
          <w:divBdr>
            <w:top w:val="none" w:sz="0" w:space="0" w:color="auto"/>
            <w:left w:val="none" w:sz="0" w:space="0" w:color="auto"/>
            <w:bottom w:val="none" w:sz="0" w:space="0" w:color="auto"/>
            <w:right w:val="none" w:sz="0" w:space="0" w:color="auto"/>
          </w:divBdr>
        </w:div>
      </w:divsChild>
    </w:div>
    <w:div w:id="714038635">
      <w:bodyDiv w:val="1"/>
      <w:marLeft w:val="0"/>
      <w:marRight w:val="0"/>
      <w:marTop w:val="0"/>
      <w:marBottom w:val="0"/>
      <w:divBdr>
        <w:top w:val="none" w:sz="0" w:space="0" w:color="auto"/>
        <w:left w:val="none" w:sz="0" w:space="0" w:color="auto"/>
        <w:bottom w:val="none" w:sz="0" w:space="0" w:color="auto"/>
        <w:right w:val="none" w:sz="0" w:space="0" w:color="auto"/>
      </w:divBdr>
      <w:divsChild>
        <w:div w:id="41291652">
          <w:marLeft w:val="0"/>
          <w:marRight w:val="0"/>
          <w:marTop w:val="135"/>
          <w:marBottom w:val="0"/>
          <w:divBdr>
            <w:top w:val="none" w:sz="0" w:space="0" w:color="auto"/>
            <w:left w:val="none" w:sz="0" w:space="0" w:color="auto"/>
            <w:bottom w:val="none" w:sz="0" w:space="0" w:color="auto"/>
            <w:right w:val="none" w:sz="0" w:space="0" w:color="auto"/>
          </w:divBdr>
        </w:div>
        <w:div w:id="936522840">
          <w:marLeft w:val="0"/>
          <w:marRight w:val="0"/>
          <w:marTop w:val="210"/>
          <w:marBottom w:val="0"/>
          <w:divBdr>
            <w:top w:val="none" w:sz="0" w:space="0" w:color="auto"/>
            <w:left w:val="none" w:sz="0" w:space="0" w:color="auto"/>
            <w:bottom w:val="none" w:sz="0" w:space="0" w:color="auto"/>
            <w:right w:val="none" w:sz="0" w:space="0" w:color="auto"/>
          </w:divBdr>
        </w:div>
      </w:divsChild>
    </w:div>
    <w:div w:id="725297466">
      <w:bodyDiv w:val="1"/>
      <w:marLeft w:val="0"/>
      <w:marRight w:val="0"/>
      <w:marTop w:val="0"/>
      <w:marBottom w:val="0"/>
      <w:divBdr>
        <w:top w:val="none" w:sz="0" w:space="0" w:color="auto"/>
        <w:left w:val="none" w:sz="0" w:space="0" w:color="auto"/>
        <w:bottom w:val="none" w:sz="0" w:space="0" w:color="auto"/>
        <w:right w:val="none" w:sz="0" w:space="0" w:color="auto"/>
      </w:divBdr>
      <w:divsChild>
        <w:div w:id="499269840">
          <w:marLeft w:val="0"/>
          <w:marRight w:val="0"/>
          <w:marTop w:val="0"/>
          <w:marBottom w:val="0"/>
          <w:divBdr>
            <w:top w:val="none" w:sz="0" w:space="0" w:color="auto"/>
            <w:left w:val="none" w:sz="0" w:space="0" w:color="auto"/>
            <w:bottom w:val="none" w:sz="0" w:space="0" w:color="auto"/>
            <w:right w:val="none" w:sz="0" w:space="0" w:color="auto"/>
          </w:divBdr>
        </w:div>
        <w:div w:id="535508693">
          <w:marLeft w:val="0"/>
          <w:marRight w:val="0"/>
          <w:marTop w:val="0"/>
          <w:marBottom w:val="0"/>
          <w:divBdr>
            <w:top w:val="none" w:sz="0" w:space="0" w:color="auto"/>
            <w:left w:val="none" w:sz="0" w:space="0" w:color="auto"/>
            <w:bottom w:val="none" w:sz="0" w:space="0" w:color="auto"/>
            <w:right w:val="none" w:sz="0" w:space="0" w:color="auto"/>
          </w:divBdr>
        </w:div>
        <w:div w:id="705567098">
          <w:marLeft w:val="0"/>
          <w:marRight w:val="0"/>
          <w:marTop w:val="0"/>
          <w:marBottom w:val="0"/>
          <w:divBdr>
            <w:top w:val="none" w:sz="0" w:space="0" w:color="auto"/>
            <w:left w:val="none" w:sz="0" w:space="0" w:color="auto"/>
            <w:bottom w:val="none" w:sz="0" w:space="0" w:color="auto"/>
            <w:right w:val="none" w:sz="0" w:space="0" w:color="auto"/>
          </w:divBdr>
        </w:div>
        <w:div w:id="1488286021">
          <w:marLeft w:val="0"/>
          <w:marRight w:val="0"/>
          <w:marTop w:val="0"/>
          <w:marBottom w:val="0"/>
          <w:divBdr>
            <w:top w:val="none" w:sz="0" w:space="0" w:color="auto"/>
            <w:left w:val="none" w:sz="0" w:space="0" w:color="auto"/>
            <w:bottom w:val="none" w:sz="0" w:space="0" w:color="auto"/>
            <w:right w:val="none" w:sz="0" w:space="0" w:color="auto"/>
          </w:divBdr>
        </w:div>
        <w:div w:id="1537424804">
          <w:marLeft w:val="0"/>
          <w:marRight w:val="0"/>
          <w:marTop w:val="0"/>
          <w:marBottom w:val="0"/>
          <w:divBdr>
            <w:top w:val="none" w:sz="0" w:space="0" w:color="auto"/>
            <w:left w:val="none" w:sz="0" w:space="0" w:color="auto"/>
            <w:bottom w:val="none" w:sz="0" w:space="0" w:color="auto"/>
            <w:right w:val="none" w:sz="0" w:space="0" w:color="auto"/>
          </w:divBdr>
        </w:div>
        <w:div w:id="1646425883">
          <w:marLeft w:val="0"/>
          <w:marRight w:val="0"/>
          <w:marTop w:val="0"/>
          <w:marBottom w:val="0"/>
          <w:divBdr>
            <w:top w:val="none" w:sz="0" w:space="0" w:color="auto"/>
            <w:left w:val="none" w:sz="0" w:space="0" w:color="auto"/>
            <w:bottom w:val="none" w:sz="0" w:space="0" w:color="auto"/>
            <w:right w:val="none" w:sz="0" w:space="0" w:color="auto"/>
          </w:divBdr>
        </w:div>
        <w:div w:id="1753887379">
          <w:marLeft w:val="0"/>
          <w:marRight w:val="0"/>
          <w:marTop w:val="0"/>
          <w:marBottom w:val="0"/>
          <w:divBdr>
            <w:top w:val="none" w:sz="0" w:space="0" w:color="auto"/>
            <w:left w:val="none" w:sz="0" w:space="0" w:color="auto"/>
            <w:bottom w:val="none" w:sz="0" w:space="0" w:color="auto"/>
            <w:right w:val="none" w:sz="0" w:space="0" w:color="auto"/>
          </w:divBdr>
        </w:div>
        <w:div w:id="2124415876">
          <w:marLeft w:val="0"/>
          <w:marRight w:val="0"/>
          <w:marTop w:val="0"/>
          <w:marBottom w:val="0"/>
          <w:divBdr>
            <w:top w:val="none" w:sz="0" w:space="0" w:color="auto"/>
            <w:left w:val="none" w:sz="0" w:space="0" w:color="auto"/>
            <w:bottom w:val="none" w:sz="0" w:space="0" w:color="auto"/>
            <w:right w:val="none" w:sz="0" w:space="0" w:color="auto"/>
          </w:divBdr>
        </w:div>
        <w:div w:id="2147042426">
          <w:marLeft w:val="0"/>
          <w:marRight w:val="0"/>
          <w:marTop w:val="0"/>
          <w:marBottom w:val="0"/>
          <w:divBdr>
            <w:top w:val="none" w:sz="0" w:space="0" w:color="auto"/>
            <w:left w:val="none" w:sz="0" w:space="0" w:color="auto"/>
            <w:bottom w:val="none" w:sz="0" w:space="0" w:color="auto"/>
            <w:right w:val="none" w:sz="0" w:space="0" w:color="auto"/>
          </w:divBdr>
        </w:div>
      </w:divsChild>
    </w:div>
    <w:div w:id="759183241">
      <w:bodyDiv w:val="1"/>
      <w:marLeft w:val="0"/>
      <w:marRight w:val="0"/>
      <w:marTop w:val="0"/>
      <w:marBottom w:val="0"/>
      <w:divBdr>
        <w:top w:val="none" w:sz="0" w:space="0" w:color="auto"/>
        <w:left w:val="none" w:sz="0" w:space="0" w:color="auto"/>
        <w:bottom w:val="none" w:sz="0" w:space="0" w:color="auto"/>
        <w:right w:val="none" w:sz="0" w:space="0" w:color="auto"/>
      </w:divBdr>
      <w:divsChild>
        <w:div w:id="313409752">
          <w:marLeft w:val="0"/>
          <w:marRight w:val="0"/>
          <w:marTop w:val="0"/>
          <w:marBottom w:val="0"/>
          <w:divBdr>
            <w:top w:val="none" w:sz="0" w:space="0" w:color="auto"/>
            <w:left w:val="none" w:sz="0" w:space="0" w:color="auto"/>
            <w:bottom w:val="none" w:sz="0" w:space="0" w:color="auto"/>
            <w:right w:val="none" w:sz="0" w:space="0" w:color="auto"/>
          </w:divBdr>
        </w:div>
        <w:div w:id="1033992781">
          <w:marLeft w:val="0"/>
          <w:marRight w:val="0"/>
          <w:marTop w:val="0"/>
          <w:marBottom w:val="0"/>
          <w:divBdr>
            <w:top w:val="none" w:sz="0" w:space="0" w:color="auto"/>
            <w:left w:val="none" w:sz="0" w:space="0" w:color="auto"/>
            <w:bottom w:val="none" w:sz="0" w:space="0" w:color="auto"/>
            <w:right w:val="none" w:sz="0" w:space="0" w:color="auto"/>
          </w:divBdr>
        </w:div>
        <w:div w:id="1325863632">
          <w:marLeft w:val="0"/>
          <w:marRight w:val="0"/>
          <w:marTop w:val="0"/>
          <w:marBottom w:val="0"/>
          <w:divBdr>
            <w:top w:val="none" w:sz="0" w:space="0" w:color="auto"/>
            <w:left w:val="none" w:sz="0" w:space="0" w:color="auto"/>
            <w:bottom w:val="none" w:sz="0" w:space="0" w:color="auto"/>
            <w:right w:val="none" w:sz="0" w:space="0" w:color="auto"/>
          </w:divBdr>
        </w:div>
      </w:divsChild>
    </w:div>
    <w:div w:id="814840478">
      <w:bodyDiv w:val="1"/>
      <w:marLeft w:val="0"/>
      <w:marRight w:val="0"/>
      <w:marTop w:val="0"/>
      <w:marBottom w:val="0"/>
      <w:divBdr>
        <w:top w:val="none" w:sz="0" w:space="0" w:color="auto"/>
        <w:left w:val="none" w:sz="0" w:space="0" w:color="auto"/>
        <w:bottom w:val="none" w:sz="0" w:space="0" w:color="auto"/>
        <w:right w:val="none" w:sz="0" w:space="0" w:color="auto"/>
      </w:divBdr>
      <w:divsChild>
        <w:div w:id="1447430574">
          <w:marLeft w:val="0"/>
          <w:marRight w:val="0"/>
          <w:marTop w:val="0"/>
          <w:marBottom w:val="0"/>
          <w:divBdr>
            <w:top w:val="none" w:sz="0" w:space="0" w:color="auto"/>
            <w:left w:val="none" w:sz="0" w:space="0" w:color="auto"/>
            <w:bottom w:val="none" w:sz="0" w:space="0" w:color="auto"/>
            <w:right w:val="none" w:sz="0" w:space="0" w:color="auto"/>
          </w:divBdr>
        </w:div>
        <w:div w:id="1937984213">
          <w:marLeft w:val="0"/>
          <w:marRight w:val="0"/>
          <w:marTop w:val="0"/>
          <w:marBottom w:val="0"/>
          <w:divBdr>
            <w:top w:val="none" w:sz="0" w:space="0" w:color="auto"/>
            <w:left w:val="none" w:sz="0" w:space="0" w:color="auto"/>
            <w:bottom w:val="none" w:sz="0" w:space="0" w:color="auto"/>
            <w:right w:val="none" w:sz="0" w:space="0" w:color="auto"/>
          </w:divBdr>
        </w:div>
        <w:div w:id="1717387713">
          <w:marLeft w:val="0"/>
          <w:marRight w:val="0"/>
          <w:marTop w:val="0"/>
          <w:marBottom w:val="0"/>
          <w:divBdr>
            <w:top w:val="none" w:sz="0" w:space="0" w:color="auto"/>
            <w:left w:val="none" w:sz="0" w:space="0" w:color="auto"/>
            <w:bottom w:val="none" w:sz="0" w:space="0" w:color="auto"/>
            <w:right w:val="none" w:sz="0" w:space="0" w:color="auto"/>
          </w:divBdr>
        </w:div>
      </w:divsChild>
    </w:div>
    <w:div w:id="838079744">
      <w:bodyDiv w:val="1"/>
      <w:marLeft w:val="0"/>
      <w:marRight w:val="0"/>
      <w:marTop w:val="0"/>
      <w:marBottom w:val="0"/>
      <w:divBdr>
        <w:top w:val="none" w:sz="0" w:space="0" w:color="auto"/>
        <w:left w:val="none" w:sz="0" w:space="0" w:color="auto"/>
        <w:bottom w:val="none" w:sz="0" w:space="0" w:color="auto"/>
        <w:right w:val="none" w:sz="0" w:space="0" w:color="auto"/>
      </w:divBdr>
      <w:divsChild>
        <w:div w:id="1425154123">
          <w:marLeft w:val="0"/>
          <w:marRight w:val="0"/>
          <w:marTop w:val="0"/>
          <w:marBottom w:val="0"/>
          <w:divBdr>
            <w:top w:val="none" w:sz="0" w:space="0" w:color="auto"/>
            <w:left w:val="none" w:sz="0" w:space="0" w:color="auto"/>
            <w:bottom w:val="none" w:sz="0" w:space="0" w:color="auto"/>
            <w:right w:val="none" w:sz="0" w:space="0" w:color="auto"/>
          </w:divBdr>
        </w:div>
        <w:div w:id="1894778868">
          <w:marLeft w:val="0"/>
          <w:marRight w:val="0"/>
          <w:marTop w:val="0"/>
          <w:marBottom w:val="0"/>
          <w:divBdr>
            <w:top w:val="none" w:sz="0" w:space="0" w:color="auto"/>
            <w:left w:val="none" w:sz="0" w:space="0" w:color="auto"/>
            <w:bottom w:val="none" w:sz="0" w:space="0" w:color="auto"/>
            <w:right w:val="none" w:sz="0" w:space="0" w:color="auto"/>
          </w:divBdr>
        </w:div>
      </w:divsChild>
    </w:div>
    <w:div w:id="900287802">
      <w:bodyDiv w:val="1"/>
      <w:marLeft w:val="0"/>
      <w:marRight w:val="0"/>
      <w:marTop w:val="0"/>
      <w:marBottom w:val="0"/>
      <w:divBdr>
        <w:top w:val="none" w:sz="0" w:space="0" w:color="auto"/>
        <w:left w:val="none" w:sz="0" w:space="0" w:color="auto"/>
        <w:bottom w:val="none" w:sz="0" w:space="0" w:color="auto"/>
        <w:right w:val="none" w:sz="0" w:space="0" w:color="auto"/>
      </w:divBdr>
      <w:divsChild>
        <w:div w:id="880895493">
          <w:marLeft w:val="0"/>
          <w:marRight w:val="0"/>
          <w:marTop w:val="0"/>
          <w:marBottom w:val="0"/>
          <w:divBdr>
            <w:top w:val="none" w:sz="0" w:space="0" w:color="auto"/>
            <w:left w:val="none" w:sz="0" w:space="0" w:color="auto"/>
            <w:bottom w:val="none" w:sz="0" w:space="0" w:color="auto"/>
            <w:right w:val="none" w:sz="0" w:space="0" w:color="auto"/>
          </w:divBdr>
        </w:div>
        <w:div w:id="118230995">
          <w:marLeft w:val="0"/>
          <w:marRight w:val="0"/>
          <w:marTop w:val="0"/>
          <w:marBottom w:val="0"/>
          <w:divBdr>
            <w:top w:val="none" w:sz="0" w:space="0" w:color="auto"/>
            <w:left w:val="none" w:sz="0" w:space="0" w:color="auto"/>
            <w:bottom w:val="none" w:sz="0" w:space="0" w:color="auto"/>
            <w:right w:val="none" w:sz="0" w:space="0" w:color="auto"/>
          </w:divBdr>
        </w:div>
        <w:div w:id="347634037">
          <w:marLeft w:val="0"/>
          <w:marRight w:val="0"/>
          <w:marTop w:val="0"/>
          <w:marBottom w:val="0"/>
          <w:divBdr>
            <w:top w:val="none" w:sz="0" w:space="0" w:color="auto"/>
            <w:left w:val="none" w:sz="0" w:space="0" w:color="auto"/>
            <w:bottom w:val="none" w:sz="0" w:space="0" w:color="auto"/>
            <w:right w:val="none" w:sz="0" w:space="0" w:color="auto"/>
          </w:divBdr>
        </w:div>
      </w:divsChild>
    </w:div>
    <w:div w:id="986468931">
      <w:bodyDiv w:val="1"/>
      <w:marLeft w:val="0"/>
      <w:marRight w:val="0"/>
      <w:marTop w:val="0"/>
      <w:marBottom w:val="0"/>
      <w:divBdr>
        <w:top w:val="none" w:sz="0" w:space="0" w:color="auto"/>
        <w:left w:val="none" w:sz="0" w:space="0" w:color="auto"/>
        <w:bottom w:val="none" w:sz="0" w:space="0" w:color="auto"/>
        <w:right w:val="none" w:sz="0" w:space="0" w:color="auto"/>
      </w:divBdr>
    </w:div>
    <w:div w:id="992374563">
      <w:bodyDiv w:val="1"/>
      <w:marLeft w:val="0"/>
      <w:marRight w:val="0"/>
      <w:marTop w:val="0"/>
      <w:marBottom w:val="0"/>
      <w:divBdr>
        <w:top w:val="none" w:sz="0" w:space="0" w:color="auto"/>
        <w:left w:val="none" w:sz="0" w:space="0" w:color="auto"/>
        <w:bottom w:val="none" w:sz="0" w:space="0" w:color="auto"/>
        <w:right w:val="none" w:sz="0" w:space="0" w:color="auto"/>
      </w:divBdr>
    </w:div>
    <w:div w:id="1086421300">
      <w:bodyDiv w:val="1"/>
      <w:marLeft w:val="0"/>
      <w:marRight w:val="0"/>
      <w:marTop w:val="0"/>
      <w:marBottom w:val="0"/>
      <w:divBdr>
        <w:top w:val="none" w:sz="0" w:space="0" w:color="auto"/>
        <w:left w:val="none" w:sz="0" w:space="0" w:color="auto"/>
        <w:bottom w:val="none" w:sz="0" w:space="0" w:color="auto"/>
        <w:right w:val="none" w:sz="0" w:space="0" w:color="auto"/>
      </w:divBdr>
      <w:divsChild>
        <w:div w:id="1195540208">
          <w:marLeft w:val="0"/>
          <w:marRight w:val="0"/>
          <w:marTop w:val="0"/>
          <w:marBottom w:val="0"/>
          <w:divBdr>
            <w:top w:val="none" w:sz="0" w:space="0" w:color="auto"/>
            <w:left w:val="none" w:sz="0" w:space="0" w:color="auto"/>
            <w:bottom w:val="none" w:sz="0" w:space="0" w:color="auto"/>
            <w:right w:val="none" w:sz="0" w:space="0" w:color="auto"/>
          </w:divBdr>
        </w:div>
        <w:div w:id="2071297920">
          <w:marLeft w:val="0"/>
          <w:marRight w:val="0"/>
          <w:marTop w:val="0"/>
          <w:marBottom w:val="0"/>
          <w:divBdr>
            <w:top w:val="none" w:sz="0" w:space="0" w:color="auto"/>
            <w:left w:val="none" w:sz="0" w:space="0" w:color="auto"/>
            <w:bottom w:val="none" w:sz="0" w:space="0" w:color="auto"/>
            <w:right w:val="none" w:sz="0" w:space="0" w:color="auto"/>
          </w:divBdr>
        </w:div>
        <w:div w:id="2073381301">
          <w:marLeft w:val="0"/>
          <w:marRight w:val="0"/>
          <w:marTop w:val="0"/>
          <w:marBottom w:val="0"/>
          <w:divBdr>
            <w:top w:val="none" w:sz="0" w:space="0" w:color="auto"/>
            <w:left w:val="none" w:sz="0" w:space="0" w:color="auto"/>
            <w:bottom w:val="none" w:sz="0" w:space="0" w:color="auto"/>
            <w:right w:val="none" w:sz="0" w:space="0" w:color="auto"/>
          </w:divBdr>
        </w:div>
      </w:divsChild>
    </w:div>
    <w:div w:id="1433015386">
      <w:bodyDiv w:val="1"/>
      <w:marLeft w:val="0"/>
      <w:marRight w:val="0"/>
      <w:marTop w:val="0"/>
      <w:marBottom w:val="0"/>
      <w:divBdr>
        <w:top w:val="none" w:sz="0" w:space="0" w:color="auto"/>
        <w:left w:val="none" w:sz="0" w:space="0" w:color="auto"/>
        <w:bottom w:val="none" w:sz="0" w:space="0" w:color="auto"/>
        <w:right w:val="none" w:sz="0" w:space="0" w:color="auto"/>
      </w:divBdr>
      <w:divsChild>
        <w:div w:id="1949920613">
          <w:marLeft w:val="0"/>
          <w:marRight w:val="0"/>
          <w:marTop w:val="0"/>
          <w:marBottom w:val="0"/>
          <w:divBdr>
            <w:top w:val="none" w:sz="0" w:space="0" w:color="auto"/>
            <w:left w:val="none" w:sz="0" w:space="0" w:color="auto"/>
            <w:bottom w:val="none" w:sz="0" w:space="0" w:color="auto"/>
            <w:right w:val="none" w:sz="0" w:space="0" w:color="auto"/>
          </w:divBdr>
        </w:div>
        <w:div w:id="1934363544">
          <w:marLeft w:val="0"/>
          <w:marRight w:val="0"/>
          <w:marTop w:val="0"/>
          <w:marBottom w:val="0"/>
          <w:divBdr>
            <w:top w:val="none" w:sz="0" w:space="0" w:color="auto"/>
            <w:left w:val="none" w:sz="0" w:space="0" w:color="auto"/>
            <w:bottom w:val="none" w:sz="0" w:space="0" w:color="auto"/>
            <w:right w:val="none" w:sz="0" w:space="0" w:color="auto"/>
          </w:divBdr>
        </w:div>
      </w:divsChild>
    </w:div>
    <w:div w:id="1487939270">
      <w:bodyDiv w:val="1"/>
      <w:marLeft w:val="0"/>
      <w:marRight w:val="0"/>
      <w:marTop w:val="0"/>
      <w:marBottom w:val="0"/>
      <w:divBdr>
        <w:top w:val="none" w:sz="0" w:space="0" w:color="auto"/>
        <w:left w:val="none" w:sz="0" w:space="0" w:color="auto"/>
        <w:bottom w:val="none" w:sz="0" w:space="0" w:color="auto"/>
        <w:right w:val="none" w:sz="0" w:space="0" w:color="auto"/>
      </w:divBdr>
      <w:divsChild>
        <w:div w:id="313142604">
          <w:marLeft w:val="0"/>
          <w:marRight w:val="0"/>
          <w:marTop w:val="0"/>
          <w:marBottom w:val="0"/>
          <w:divBdr>
            <w:top w:val="none" w:sz="0" w:space="0" w:color="auto"/>
            <w:left w:val="none" w:sz="0" w:space="0" w:color="auto"/>
            <w:bottom w:val="none" w:sz="0" w:space="0" w:color="auto"/>
            <w:right w:val="none" w:sz="0" w:space="0" w:color="auto"/>
          </w:divBdr>
        </w:div>
        <w:div w:id="619998243">
          <w:marLeft w:val="0"/>
          <w:marRight w:val="0"/>
          <w:marTop w:val="0"/>
          <w:marBottom w:val="0"/>
          <w:divBdr>
            <w:top w:val="none" w:sz="0" w:space="0" w:color="auto"/>
            <w:left w:val="none" w:sz="0" w:space="0" w:color="auto"/>
            <w:bottom w:val="none" w:sz="0" w:space="0" w:color="auto"/>
            <w:right w:val="none" w:sz="0" w:space="0" w:color="auto"/>
          </w:divBdr>
        </w:div>
        <w:div w:id="2048555171">
          <w:marLeft w:val="0"/>
          <w:marRight w:val="0"/>
          <w:marTop w:val="0"/>
          <w:marBottom w:val="0"/>
          <w:divBdr>
            <w:top w:val="none" w:sz="0" w:space="0" w:color="auto"/>
            <w:left w:val="none" w:sz="0" w:space="0" w:color="auto"/>
            <w:bottom w:val="none" w:sz="0" w:space="0" w:color="auto"/>
            <w:right w:val="none" w:sz="0" w:space="0" w:color="auto"/>
          </w:divBdr>
        </w:div>
      </w:divsChild>
    </w:div>
    <w:div w:id="1531801651">
      <w:bodyDiv w:val="1"/>
      <w:marLeft w:val="0"/>
      <w:marRight w:val="0"/>
      <w:marTop w:val="0"/>
      <w:marBottom w:val="0"/>
      <w:divBdr>
        <w:top w:val="none" w:sz="0" w:space="0" w:color="auto"/>
        <w:left w:val="none" w:sz="0" w:space="0" w:color="auto"/>
        <w:bottom w:val="none" w:sz="0" w:space="0" w:color="auto"/>
        <w:right w:val="none" w:sz="0" w:space="0" w:color="auto"/>
      </w:divBdr>
    </w:div>
    <w:div w:id="1579627953">
      <w:bodyDiv w:val="1"/>
      <w:marLeft w:val="0"/>
      <w:marRight w:val="0"/>
      <w:marTop w:val="0"/>
      <w:marBottom w:val="0"/>
      <w:divBdr>
        <w:top w:val="none" w:sz="0" w:space="0" w:color="auto"/>
        <w:left w:val="none" w:sz="0" w:space="0" w:color="auto"/>
        <w:bottom w:val="none" w:sz="0" w:space="0" w:color="auto"/>
        <w:right w:val="none" w:sz="0" w:space="0" w:color="auto"/>
      </w:divBdr>
      <w:divsChild>
        <w:div w:id="826433412">
          <w:marLeft w:val="0"/>
          <w:marRight w:val="0"/>
          <w:marTop w:val="0"/>
          <w:marBottom w:val="0"/>
          <w:divBdr>
            <w:top w:val="none" w:sz="0" w:space="0" w:color="auto"/>
            <w:left w:val="none" w:sz="0" w:space="0" w:color="auto"/>
            <w:bottom w:val="none" w:sz="0" w:space="0" w:color="auto"/>
            <w:right w:val="none" w:sz="0" w:space="0" w:color="auto"/>
          </w:divBdr>
        </w:div>
        <w:div w:id="951474163">
          <w:marLeft w:val="0"/>
          <w:marRight w:val="0"/>
          <w:marTop w:val="0"/>
          <w:marBottom w:val="0"/>
          <w:divBdr>
            <w:top w:val="none" w:sz="0" w:space="0" w:color="auto"/>
            <w:left w:val="none" w:sz="0" w:space="0" w:color="auto"/>
            <w:bottom w:val="none" w:sz="0" w:space="0" w:color="auto"/>
            <w:right w:val="none" w:sz="0" w:space="0" w:color="auto"/>
          </w:divBdr>
        </w:div>
        <w:div w:id="1967002648">
          <w:marLeft w:val="0"/>
          <w:marRight w:val="0"/>
          <w:marTop w:val="0"/>
          <w:marBottom w:val="0"/>
          <w:divBdr>
            <w:top w:val="none" w:sz="0" w:space="0" w:color="auto"/>
            <w:left w:val="none" w:sz="0" w:space="0" w:color="auto"/>
            <w:bottom w:val="none" w:sz="0" w:space="0" w:color="auto"/>
            <w:right w:val="none" w:sz="0" w:space="0" w:color="auto"/>
          </w:divBdr>
        </w:div>
      </w:divsChild>
    </w:div>
    <w:div w:id="1775976493">
      <w:bodyDiv w:val="1"/>
      <w:marLeft w:val="0"/>
      <w:marRight w:val="0"/>
      <w:marTop w:val="0"/>
      <w:marBottom w:val="0"/>
      <w:divBdr>
        <w:top w:val="none" w:sz="0" w:space="0" w:color="auto"/>
        <w:left w:val="none" w:sz="0" w:space="0" w:color="auto"/>
        <w:bottom w:val="none" w:sz="0" w:space="0" w:color="auto"/>
        <w:right w:val="none" w:sz="0" w:space="0" w:color="auto"/>
      </w:divBdr>
    </w:div>
    <w:div w:id="1793943230">
      <w:bodyDiv w:val="1"/>
      <w:marLeft w:val="0"/>
      <w:marRight w:val="0"/>
      <w:marTop w:val="0"/>
      <w:marBottom w:val="0"/>
      <w:divBdr>
        <w:top w:val="none" w:sz="0" w:space="0" w:color="auto"/>
        <w:left w:val="none" w:sz="0" w:space="0" w:color="auto"/>
        <w:bottom w:val="none" w:sz="0" w:space="0" w:color="auto"/>
        <w:right w:val="none" w:sz="0" w:space="0" w:color="auto"/>
      </w:divBdr>
      <w:divsChild>
        <w:div w:id="62682446">
          <w:marLeft w:val="0"/>
          <w:marRight w:val="0"/>
          <w:marTop w:val="0"/>
          <w:marBottom w:val="0"/>
          <w:divBdr>
            <w:top w:val="none" w:sz="0" w:space="0" w:color="auto"/>
            <w:left w:val="none" w:sz="0" w:space="0" w:color="auto"/>
            <w:bottom w:val="none" w:sz="0" w:space="0" w:color="auto"/>
            <w:right w:val="none" w:sz="0" w:space="0" w:color="auto"/>
          </w:divBdr>
        </w:div>
        <w:div w:id="891884152">
          <w:marLeft w:val="0"/>
          <w:marRight w:val="0"/>
          <w:marTop w:val="0"/>
          <w:marBottom w:val="0"/>
          <w:divBdr>
            <w:top w:val="none" w:sz="0" w:space="0" w:color="auto"/>
            <w:left w:val="none" w:sz="0" w:space="0" w:color="auto"/>
            <w:bottom w:val="none" w:sz="0" w:space="0" w:color="auto"/>
            <w:right w:val="none" w:sz="0" w:space="0" w:color="auto"/>
          </w:divBdr>
        </w:div>
      </w:divsChild>
    </w:div>
    <w:div w:id="1898861739">
      <w:bodyDiv w:val="1"/>
      <w:marLeft w:val="0"/>
      <w:marRight w:val="0"/>
      <w:marTop w:val="0"/>
      <w:marBottom w:val="0"/>
      <w:divBdr>
        <w:top w:val="none" w:sz="0" w:space="0" w:color="auto"/>
        <w:left w:val="none" w:sz="0" w:space="0" w:color="auto"/>
        <w:bottom w:val="none" w:sz="0" w:space="0" w:color="auto"/>
        <w:right w:val="none" w:sz="0" w:space="0" w:color="auto"/>
      </w:divBdr>
      <w:divsChild>
        <w:div w:id="532381082">
          <w:marLeft w:val="0"/>
          <w:marRight w:val="0"/>
          <w:marTop w:val="0"/>
          <w:marBottom w:val="0"/>
          <w:divBdr>
            <w:top w:val="none" w:sz="0" w:space="0" w:color="auto"/>
            <w:left w:val="none" w:sz="0" w:space="0" w:color="auto"/>
            <w:bottom w:val="none" w:sz="0" w:space="0" w:color="auto"/>
            <w:right w:val="none" w:sz="0" w:space="0" w:color="auto"/>
          </w:divBdr>
        </w:div>
        <w:div w:id="786197619">
          <w:marLeft w:val="0"/>
          <w:marRight w:val="0"/>
          <w:marTop w:val="0"/>
          <w:marBottom w:val="0"/>
          <w:divBdr>
            <w:top w:val="none" w:sz="0" w:space="0" w:color="auto"/>
            <w:left w:val="none" w:sz="0" w:space="0" w:color="auto"/>
            <w:bottom w:val="none" w:sz="0" w:space="0" w:color="auto"/>
            <w:right w:val="none" w:sz="0" w:space="0" w:color="auto"/>
          </w:divBdr>
        </w:div>
        <w:div w:id="883950885">
          <w:marLeft w:val="0"/>
          <w:marRight w:val="0"/>
          <w:marTop w:val="0"/>
          <w:marBottom w:val="0"/>
          <w:divBdr>
            <w:top w:val="none" w:sz="0" w:space="0" w:color="auto"/>
            <w:left w:val="none" w:sz="0" w:space="0" w:color="auto"/>
            <w:bottom w:val="none" w:sz="0" w:space="0" w:color="auto"/>
            <w:right w:val="none" w:sz="0" w:space="0" w:color="auto"/>
          </w:divBdr>
        </w:div>
        <w:div w:id="1568029937">
          <w:marLeft w:val="0"/>
          <w:marRight w:val="0"/>
          <w:marTop w:val="0"/>
          <w:marBottom w:val="0"/>
          <w:divBdr>
            <w:top w:val="none" w:sz="0" w:space="0" w:color="auto"/>
            <w:left w:val="none" w:sz="0" w:space="0" w:color="auto"/>
            <w:bottom w:val="none" w:sz="0" w:space="0" w:color="auto"/>
            <w:right w:val="none" w:sz="0" w:space="0" w:color="auto"/>
          </w:divBdr>
        </w:div>
        <w:div w:id="204643997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335383"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ikumi.lv/ta/id/33538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33538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ikumi.lv/ta/id/335383" TargetMode="External"/><Relationship Id="rId4" Type="http://schemas.openxmlformats.org/officeDocument/2006/relationships/settings" Target="settings.xml"/><Relationship Id="rId9" Type="http://schemas.openxmlformats.org/officeDocument/2006/relationships/hyperlink" Target="https://likumi.lv/ta/id/335383"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8825AE357F141DA826325C94A7DB109"/>
        <w:category>
          <w:name w:val="General"/>
          <w:gallery w:val="placeholder"/>
        </w:category>
        <w:types>
          <w:type w:val="bbPlcHdr"/>
        </w:types>
        <w:behaviors>
          <w:behavior w:val="content"/>
        </w:behaviors>
        <w:guid w:val="{270506CB-00A8-4487-AD17-ACC3B5768642}"/>
      </w:docPartPr>
      <w:docPartBody>
        <w:p w:rsidR="00B54815" w:rsidRDefault="00B54815">
          <w:pPr>
            <w:pStyle w:val="38825AE357F141DA826325C94A7DB109"/>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7C062199D1294741A75A59B5A2C0CAB1"/>
        <w:category>
          <w:name w:val="General"/>
          <w:gallery w:val="placeholder"/>
        </w:category>
        <w:types>
          <w:type w:val="bbPlcHdr"/>
        </w:types>
        <w:behaviors>
          <w:behavior w:val="content"/>
        </w:behaviors>
        <w:guid w:val="{4AA5CC30-3233-4F37-9297-57F96CDD9CE8}"/>
      </w:docPartPr>
      <w:docPartBody>
        <w:p w:rsidR="00B54815" w:rsidRDefault="00B54815">
          <w:pPr>
            <w:pStyle w:val="7C062199D1294741A75A59B5A2C0CAB1"/>
          </w:pPr>
          <w:r w:rsidRPr="00811BE5">
            <w:rPr>
              <w:color w:val="808080" w:themeColor="background1" w:themeShade="80"/>
            </w:rPr>
            <w:t>[Datums]</w:t>
          </w:r>
        </w:p>
      </w:docPartBody>
    </w:docPart>
    <w:docPart>
      <w:docPartPr>
        <w:name w:val="3CC6D5A87AEB4202880FFC912594CCE4"/>
        <w:category>
          <w:name w:val="General"/>
          <w:gallery w:val="placeholder"/>
        </w:category>
        <w:types>
          <w:type w:val="bbPlcHdr"/>
        </w:types>
        <w:behaviors>
          <w:behavior w:val="content"/>
        </w:behaviors>
        <w:guid w:val="{A34666A0-DE1F-47BE-AE81-DBFE0FA5F1B4}"/>
      </w:docPartPr>
      <w:docPartBody>
        <w:p w:rsidR="00B54815" w:rsidRDefault="00B54815">
          <w:pPr>
            <w:pStyle w:val="3CC6D5A87AEB4202880FFC912594CCE4"/>
          </w:pPr>
          <w:r>
            <w:t xml:space="preserve">Noteikumi </w:t>
          </w:r>
        </w:p>
      </w:docPartBody>
    </w:docPart>
    <w:docPart>
      <w:docPartPr>
        <w:name w:val="0BF8AD24C5564DAFB2D3F4D3C52040ED"/>
        <w:category>
          <w:name w:val="General"/>
          <w:gallery w:val="placeholder"/>
        </w:category>
        <w:types>
          <w:type w:val="bbPlcHdr"/>
        </w:types>
        <w:behaviors>
          <w:behavior w:val="content"/>
        </w:behaviors>
        <w:guid w:val="{A781C2D2-923D-45A0-BF0B-10796EF3CFBA}"/>
      </w:docPartPr>
      <w:docPartBody>
        <w:p w:rsidR="00B54815" w:rsidRDefault="00B54815">
          <w:pPr>
            <w:pStyle w:val="0BF8AD24C5564DAFB2D3F4D3C52040ED"/>
          </w:pPr>
          <w:r>
            <w:t xml:space="preserve">Nr. </w:t>
          </w:r>
        </w:p>
      </w:docPartBody>
    </w:docPart>
    <w:docPart>
      <w:docPartPr>
        <w:name w:val="E2E1A397DF2C4348A98B0CA2452F88D8"/>
        <w:category>
          <w:name w:val="General"/>
          <w:gallery w:val="placeholder"/>
        </w:category>
        <w:types>
          <w:type w:val="bbPlcHdr"/>
        </w:types>
        <w:behaviors>
          <w:behavior w:val="content"/>
        </w:behaviors>
        <w:guid w:val="{AB2B0E71-E40B-46DE-A54B-047C1B9AD2CA}"/>
      </w:docPartPr>
      <w:docPartBody>
        <w:p w:rsidR="00B54815" w:rsidRDefault="00B54815">
          <w:pPr>
            <w:pStyle w:val="E2E1A397DF2C4348A98B0CA2452F88D8"/>
          </w:pPr>
          <w:r>
            <w:t>_____</w:t>
          </w:r>
        </w:p>
      </w:docPartBody>
    </w:docPart>
    <w:docPart>
      <w:docPartPr>
        <w:name w:val="BF5DE37566DD4B3A9D53214DD0C6848E"/>
        <w:category>
          <w:name w:val="General"/>
          <w:gallery w:val="placeholder"/>
        </w:category>
        <w:types>
          <w:type w:val="bbPlcHdr"/>
        </w:types>
        <w:behaviors>
          <w:behavior w:val="content"/>
        </w:behaviors>
        <w:guid w:val="{FFC52544-087E-4D4F-8FDD-31A25F7CCDDD}"/>
      </w:docPartPr>
      <w:docPartBody>
        <w:p w:rsidR="00B54815" w:rsidRDefault="00B54815">
          <w:pPr>
            <w:pStyle w:val="BF5DE37566DD4B3A9D53214DD0C6848E"/>
          </w:pPr>
          <w:r>
            <w:rPr>
              <w:rFonts w:cs="Times New Roman"/>
            </w:rPr>
            <w:t>Rīgā</w:t>
          </w:r>
        </w:p>
      </w:docPartBody>
    </w:docPart>
    <w:docPart>
      <w:docPartPr>
        <w:name w:val="8C01BBFC5B17433C869244EDDAD1ECCF"/>
        <w:category>
          <w:name w:val="General"/>
          <w:gallery w:val="placeholder"/>
        </w:category>
        <w:types>
          <w:type w:val="bbPlcHdr"/>
        </w:types>
        <w:behaviors>
          <w:behavior w:val="content"/>
        </w:behaviors>
        <w:guid w:val="{E25716D9-0A6D-4B0C-9DCE-0E33055668FD}"/>
      </w:docPartPr>
      <w:docPartBody>
        <w:p w:rsidR="00B54815" w:rsidRDefault="00B54815">
          <w:pPr>
            <w:pStyle w:val="8C01BBFC5B17433C869244EDDAD1ECCF"/>
          </w:pPr>
          <w:r w:rsidRPr="00F5647B">
            <w:rPr>
              <w:rStyle w:val="PlaceholderText"/>
              <w:b/>
            </w:rPr>
            <w:t>[Nosaukums]</w:t>
          </w:r>
        </w:p>
      </w:docPartBody>
    </w:docPart>
    <w:docPart>
      <w:docPartPr>
        <w:name w:val="841EE5B51BDB47139D6D63A41ED17CBE"/>
        <w:category>
          <w:name w:val="General"/>
          <w:gallery w:val="placeholder"/>
        </w:category>
        <w:types>
          <w:type w:val="bbPlcHdr"/>
        </w:types>
        <w:behaviors>
          <w:behavior w:val="content"/>
        </w:behaviors>
        <w:guid w:val="{F7646A57-C046-4BFF-9569-8FC3FF2CC0CD}"/>
      </w:docPartPr>
      <w:docPartBody>
        <w:p w:rsidR="00B54815" w:rsidRDefault="00B54815">
          <w:pPr>
            <w:pStyle w:val="841EE5B51BDB47139D6D63A41ED17CBE"/>
          </w:pPr>
          <w:r>
            <w:rPr>
              <w:rFonts w:cs="Times New Roman"/>
            </w:rPr>
            <w:t xml:space="preserve">Izdoti </w:t>
          </w:r>
        </w:p>
      </w:docPartBody>
    </w:docPart>
    <w:docPart>
      <w:docPartPr>
        <w:name w:val="7DBA5A6257064C8FAF44CE02CF44F30F"/>
        <w:category>
          <w:name w:val="General"/>
          <w:gallery w:val="placeholder"/>
        </w:category>
        <w:types>
          <w:type w:val="bbPlcHdr"/>
        </w:types>
        <w:behaviors>
          <w:behavior w:val="content"/>
        </w:behaviors>
        <w:guid w:val="{83D7B548-1D26-4DEB-B1AE-68C35AFCC3AF}"/>
      </w:docPartPr>
      <w:docPartBody>
        <w:p w:rsidR="00B54815" w:rsidRDefault="00B54815">
          <w:pPr>
            <w:pStyle w:val="7DBA5A6257064C8FAF44CE02CF44F30F"/>
          </w:pPr>
          <w:r>
            <w:rPr>
              <w:rFonts w:cs="Times New Roman"/>
            </w:rPr>
            <w:t>saskaņā ar</w:t>
          </w:r>
        </w:p>
      </w:docPartBody>
    </w:docPart>
    <w:docPart>
      <w:docPartPr>
        <w:name w:val="1BA0230B88E04E379AED5829129900EC"/>
        <w:category>
          <w:name w:val="General"/>
          <w:gallery w:val="placeholder"/>
        </w:category>
        <w:types>
          <w:type w:val="bbPlcHdr"/>
        </w:types>
        <w:behaviors>
          <w:behavior w:val="content"/>
        </w:behaviors>
        <w:guid w:val="{433C5F37-9B7F-42E1-ABFC-0DC3891019E8}"/>
      </w:docPartPr>
      <w:docPartBody>
        <w:p w:rsidR="00B54815" w:rsidRDefault="00B54815">
          <w:pPr>
            <w:pStyle w:val="1BA0230B88E04E379AED5829129900EC"/>
          </w:pPr>
          <w:r w:rsidRPr="00301089">
            <w:rPr>
              <w:rStyle w:val="PlaceholderText"/>
            </w:rPr>
            <w:t>[likuma]</w:t>
          </w:r>
        </w:p>
      </w:docPartBody>
    </w:docPart>
    <w:docPart>
      <w:docPartPr>
        <w:name w:val="30E70B1A0BFF41B496E24FEF178FE2C1"/>
        <w:category>
          <w:name w:val="General"/>
          <w:gallery w:val="placeholder"/>
        </w:category>
        <w:types>
          <w:type w:val="bbPlcHdr"/>
        </w:types>
        <w:behaviors>
          <w:behavior w:val="content"/>
        </w:behaviors>
        <w:guid w:val="{F6E2B048-F2C2-4670-B697-9CC2DCC78BF5}"/>
      </w:docPartPr>
      <w:docPartBody>
        <w:p w:rsidR="00B54815" w:rsidRDefault="00B54815">
          <w:pPr>
            <w:pStyle w:val="30E70B1A0BFF41B496E24FEF178FE2C1"/>
          </w:pPr>
          <w:r>
            <w:rPr>
              <w:rFonts w:ascii="Times New Roman" w:hAnsi="Times New Roman" w:cs="Times New Roman"/>
            </w:rPr>
            <w:t>{amats}</w:t>
          </w:r>
        </w:p>
      </w:docPartBody>
    </w:docPart>
    <w:docPart>
      <w:docPartPr>
        <w:name w:val="97F5716F2F874A57A01D1121724359ED"/>
        <w:category>
          <w:name w:val="General"/>
          <w:gallery w:val="placeholder"/>
        </w:category>
        <w:types>
          <w:type w:val="bbPlcHdr"/>
        </w:types>
        <w:behaviors>
          <w:behavior w:val="content"/>
        </w:behaviors>
        <w:guid w:val="{0380F257-38E3-494E-A3B7-244409E8FA37}"/>
      </w:docPartPr>
      <w:docPartBody>
        <w:p w:rsidR="00B54815" w:rsidRDefault="00B54815">
          <w:pPr>
            <w:pStyle w:val="97F5716F2F874A57A01D1121724359ED"/>
          </w:pPr>
          <w:r w:rsidRPr="00811BE5">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altName w:val="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815"/>
    <w:rsid w:val="0001014D"/>
    <w:rsid w:val="000F29AA"/>
    <w:rsid w:val="0011119D"/>
    <w:rsid w:val="001A083E"/>
    <w:rsid w:val="002C7A87"/>
    <w:rsid w:val="002F002C"/>
    <w:rsid w:val="003A6D68"/>
    <w:rsid w:val="003F16AA"/>
    <w:rsid w:val="00470CB1"/>
    <w:rsid w:val="0048723A"/>
    <w:rsid w:val="004C1909"/>
    <w:rsid w:val="005D2F2A"/>
    <w:rsid w:val="006E47E9"/>
    <w:rsid w:val="00700468"/>
    <w:rsid w:val="00741416"/>
    <w:rsid w:val="007F331A"/>
    <w:rsid w:val="00954BD6"/>
    <w:rsid w:val="009856E1"/>
    <w:rsid w:val="009E15BB"/>
    <w:rsid w:val="00A67CD1"/>
    <w:rsid w:val="00A77915"/>
    <w:rsid w:val="00A9492A"/>
    <w:rsid w:val="00B2111C"/>
    <w:rsid w:val="00B54815"/>
    <w:rsid w:val="00C158B3"/>
    <w:rsid w:val="00DB474A"/>
    <w:rsid w:val="00E00FCD"/>
    <w:rsid w:val="00E04367"/>
    <w:rsid w:val="00F03786"/>
    <w:rsid w:val="00F64A2A"/>
    <w:rsid w:val="00F740CD"/>
    <w:rsid w:val="00F74A33"/>
    <w:rsid w:val="00F7711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8825AE357F141DA826325C94A7DB109">
    <w:name w:val="38825AE357F141DA826325C94A7DB109"/>
  </w:style>
  <w:style w:type="paragraph" w:customStyle="1" w:styleId="7C062199D1294741A75A59B5A2C0CAB1">
    <w:name w:val="7C062199D1294741A75A59B5A2C0CAB1"/>
  </w:style>
  <w:style w:type="paragraph" w:customStyle="1" w:styleId="3CC6D5A87AEB4202880FFC912594CCE4">
    <w:name w:val="3CC6D5A87AEB4202880FFC912594CCE4"/>
  </w:style>
  <w:style w:type="paragraph" w:customStyle="1" w:styleId="0BF8AD24C5564DAFB2D3F4D3C52040ED">
    <w:name w:val="0BF8AD24C5564DAFB2D3F4D3C52040ED"/>
  </w:style>
  <w:style w:type="paragraph" w:customStyle="1" w:styleId="E2E1A397DF2C4348A98B0CA2452F88D8">
    <w:name w:val="E2E1A397DF2C4348A98B0CA2452F88D8"/>
  </w:style>
  <w:style w:type="paragraph" w:customStyle="1" w:styleId="BF5DE37566DD4B3A9D53214DD0C6848E">
    <w:name w:val="BF5DE37566DD4B3A9D53214DD0C6848E"/>
  </w:style>
  <w:style w:type="character" w:styleId="PlaceholderText">
    <w:name w:val="Placeholder Text"/>
    <w:basedOn w:val="DefaultParagraphFont"/>
    <w:uiPriority w:val="99"/>
    <w:semiHidden/>
    <w:rPr>
      <w:color w:val="808080"/>
    </w:rPr>
  </w:style>
  <w:style w:type="paragraph" w:customStyle="1" w:styleId="8C01BBFC5B17433C869244EDDAD1ECCF">
    <w:name w:val="8C01BBFC5B17433C869244EDDAD1ECCF"/>
  </w:style>
  <w:style w:type="paragraph" w:customStyle="1" w:styleId="841EE5B51BDB47139D6D63A41ED17CBE">
    <w:name w:val="841EE5B51BDB47139D6D63A41ED17CBE"/>
  </w:style>
  <w:style w:type="paragraph" w:customStyle="1" w:styleId="7DBA5A6257064C8FAF44CE02CF44F30F">
    <w:name w:val="7DBA5A6257064C8FAF44CE02CF44F30F"/>
  </w:style>
  <w:style w:type="paragraph" w:customStyle="1" w:styleId="1BA0230B88E04E379AED5829129900EC">
    <w:name w:val="1BA0230B88E04E379AED5829129900EC"/>
  </w:style>
  <w:style w:type="paragraph" w:customStyle="1" w:styleId="30E70B1A0BFF41B496E24FEF178FE2C1">
    <w:name w:val="30E70B1A0BFF41B496E24FEF178FE2C1"/>
  </w:style>
  <w:style w:type="paragraph" w:customStyle="1" w:styleId="97F5716F2F874A57A01D1121724359ED">
    <w:name w:val="97F5716F2F874A57A01D1121724359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4</TotalTime>
  <Pages>11</Pages>
  <Words>22401</Words>
  <Characters>12770</Characters>
  <Application>Microsoft Office Word</Application>
  <DocSecurity>0</DocSecurity>
  <Lines>106</Lines>
  <Paragraphs>70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35101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Maija Valce</dc:creator>
  <cp:keywords/>
  <dc:description/>
  <cp:lastModifiedBy>Maija Valce</cp:lastModifiedBy>
  <cp:revision>3</cp:revision>
  <cp:lastPrinted>2010-12-20T19:45:00Z</cp:lastPrinted>
  <dcterms:created xsi:type="dcterms:W3CDTF">2024-09-20T10:50:00Z</dcterms:created>
  <dcterms:modified xsi:type="dcterms:W3CDTF">2024-09-20T11:15:00Z</dcterms:modified>
</cp:coreProperties>
</file>