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851BD" w14:textId="77777777" w:rsidR="009C42A8" w:rsidRPr="0079205D" w:rsidRDefault="00735D7E"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16D25F15A3C54C80BA704D341023A44B"/>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49478D4" w14:textId="6ACC44E9" w:rsidR="009C42A8" w:rsidRDefault="003C1EF2" w:rsidP="003C1EF2">
      <w:pPr>
        <w:spacing w:before="240"/>
        <w:jc w:val="right"/>
        <w:rPr>
          <w:rFonts w:cs="Times New Roman"/>
          <w:szCs w:val="24"/>
        </w:rPr>
      </w:pPr>
      <w:r>
        <w:rPr>
          <w:rFonts w:cs="Times New Roman"/>
          <w:szCs w:val="24"/>
        </w:rPr>
        <w:t>Projekts (</w:t>
      </w:r>
      <w:r w:rsidR="00EB3A45">
        <w:rPr>
          <w:rFonts w:cs="Times New Roman"/>
          <w:szCs w:val="24"/>
        </w:rPr>
        <w:t>1</w:t>
      </w:r>
      <w:r>
        <w:rPr>
          <w:rFonts w:cs="Times New Roman"/>
          <w:szCs w:val="24"/>
        </w:rPr>
        <w:t>.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B8D6283" w14:textId="77777777" w:rsidTr="00723141">
        <w:sdt>
          <w:sdtPr>
            <w:rPr>
              <w:rFonts w:cs="Times New Roman"/>
            </w:rPr>
            <w:id w:val="25447574"/>
            <w:lock w:val="sdtLocked"/>
            <w:placeholder>
              <w:docPart w:val="4F132DB8F5E145C98E08AF5001CB752D"/>
            </w:placeholder>
            <w:showingPlcHdr/>
          </w:sdtPr>
          <w:sdtEndPr/>
          <w:sdtContent>
            <w:tc>
              <w:tcPr>
                <w:tcW w:w="4360" w:type="dxa"/>
                <w:vAlign w:val="bottom"/>
              </w:tcPr>
              <w:p w14:paraId="7EEC4D8E"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4A683A32" w14:textId="77777777" w:rsidR="003C1EF2" w:rsidRDefault="00735D7E" w:rsidP="00B661AA">
            <w:pPr>
              <w:pStyle w:val="NoSpacing"/>
              <w:ind w:right="-111"/>
              <w:jc w:val="right"/>
            </w:pPr>
            <w:sdt>
              <w:sdtPr>
                <w:id w:val="32932642"/>
                <w:lock w:val="sdtContentLocked"/>
                <w:placeholder>
                  <w:docPart w:val="5913913E970B453990ADCD332223DE86"/>
                </w:placeholder>
                <w:showingPlcHdr/>
              </w:sdtPr>
              <w:sdtEndPr/>
              <w:sdtContent>
                <w:r w:rsidR="00F13DD7">
                  <w:t xml:space="preserve">Noteikumi </w:t>
                </w:r>
              </w:sdtContent>
            </w:sdt>
            <w:sdt>
              <w:sdtPr>
                <w:id w:val="25447619"/>
                <w:lock w:val="sdtContentLocked"/>
                <w:placeholder>
                  <w:docPart w:val="53A6A414E78647F08BE34136BDE847A3"/>
                </w:placeholder>
                <w:showingPlcHdr/>
              </w:sdtPr>
              <w:sdtEndPr/>
              <w:sdtContent>
                <w:r w:rsidR="003C1EF2">
                  <w:t xml:space="preserve">Nr. </w:t>
                </w:r>
              </w:sdtContent>
            </w:sdt>
            <w:sdt>
              <w:sdtPr>
                <w:id w:val="25447645"/>
                <w:lock w:val="sdtLocked"/>
                <w:placeholder>
                  <w:docPart w:val="3AD15FDC563F4B9E9FB24251343AD5A4"/>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rPr>
        <w:id w:val="25447675"/>
        <w:lock w:val="sdtContentLocked"/>
        <w:placeholder>
          <w:docPart w:val="C5DD1EC5491645048D24BFF5D797BB00"/>
        </w:placeholder>
        <w:showingPlcHdr/>
      </w:sdtPr>
      <w:sdtEndPr/>
      <w:sdtContent>
        <w:p w14:paraId="1A0906F8" w14:textId="77777777" w:rsidR="003C1EF2" w:rsidRDefault="00C2284A" w:rsidP="00C2284A">
          <w:pPr>
            <w:rPr>
              <w:rFonts w:cs="Times New Roman"/>
              <w:szCs w:val="24"/>
            </w:rPr>
          </w:pPr>
          <w:r>
            <w:rPr>
              <w:rFonts w:cs="Times New Roman"/>
              <w:szCs w:val="24"/>
            </w:rPr>
            <w:t>Rīgā</w:t>
          </w:r>
        </w:p>
      </w:sdtContent>
    </w:sdt>
    <w:p w14:paraId="675D2797" w14:textId="7609C46C" w:rsidR="00C2284A" w:rsidRPr="003A6C53" w:rsidRDefault="00735D7E" w:rsidP="00C2284A">
      <w:pPr>
        <w:spacing w:before="240" w:after="240"/>
        <w:rPr>
          <w:rFonts w:cs="Times New Roman"/>
          <w:b/>
          <w:szCs w:val="24"/>
        </w:rPr>
      </w:pPr>
      <w:sdt>
        <w:sdtPr>
          <w:rPr>
            <w:rFonts w:cs="Times New Roman"/>
            <w:b/>
            <w:szCs w:val="24"/>
          </w:rPr>
          <w:alias w:val="Nosaukums"/>
          <w:tag w:val="Nosaukums"/>
          <w:id w:val="25447728"/>
          <w:placeholder>
            <w:docPart w:val="58EC445556D04EC9959B9FDE7AFF48FB"/>
          </w:placeholder>
        </w:sdtPr>
        <w:sdtEndPr/>
        <w:sdtContent>
          <w:sdt>
            <w:sdtPr>
              <w:rPr>
                <w:rFonts w:cs="Times New Roman"/>
                <w:b/>
                <w:szCs w:val="24"/>
              </w:rPr>
              <w:alias w:val="Nosaukums"/>
              <w:tag w:val="Nosaukums"/>
              <w:id w:val="-1969434381"/>
              <w:placeholder>
                <w:docPart w:val="2630DD7248DE44E0AEC920100D224675"/>
              </w:placeholder>
            </w:sdtPr>
            <w:sdtEndPr/>
            <w:sdtContent>
              <w:r w:rsidR="00A601B4">
                <w:rPr>
                  <w:rFonts w:cs="Times New Roman"/>
                  <w:b/>
                  <w:szCs w:val="24"/>
                </w:rPr>
                <w:t xml:space="preserve">Noziedzīgi iegūtu līdzekļu legalizācijas un terorisma un proliferācijas finansēšanas riska pārvaldīšanas </w:t>
              </w:r>
              <w:r w:rsidR="00827BDB">
                <w:rPr>
                  <w:rFonts w:cs="Times New Roman"/>
                  <w:b/>
                  <w:szCs w:val="24"/>
                </w:rPr>
                <w:t>noteikumi</w:t>
              </w:r>
            </w:sdtContent>
          </w:sdt>
        </w:sdtContent>
      </w:sdt>
    </w:p>
    <w:p w14:paraId="7BC4C157" w14:textId="77777777" w:rsidR="00C2284A" w:rsidRDefault="00735D7E" w:rsidP="00723203">
      <w:pPr>
        <w:jc w:val="right"/>
        <w:rPr>
          <w:rFonts w:cs="Times New Roman"/>
          <w:szCs w:val="24"/>
        </w:rPr>
      </w:pPr>
      <w:sdt>
        <w:sdtPr>
          <w:rPr>
            <w:rFonts w:cs="Times New Roman"/>
            <w:color w:val="808080"/>
            <w:szCs w:val="24"/>
          </w:rPr>
          <w:id w:val="32932717"/>
          <w:lock w:val="sdtContentLocked"/>
          <w:placeholder>
            <w:docPart w:val="6D9FF65D17954ABEB6A74EDD9A7E03E8"/>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9467E1BD741744268630848AE54E72A3"/>
          </w:placeholder>
          <w:showingPlcHdr/>
        </w:sdtPr>
        <w:sdtEndPr/>
        <w:sdtContent>
          <w:r w:rsidR="00301089">
            <w:rPr>
              <w:rFonts w:cs="Times New Roman"/>
              <w:szCs w:val="24"/>
            </w:rPr>
            <w:t>saskaņā ar</w:t>
          </w:r>
        </w:sdtContent>
      </w:sdt>
    </w:p>
    <w:sdt>
      <w:sdtPr>
        <w:rPr>
          <w:rFonts w:cs="Times New Roman"/>
        </w:rPr>
        <w:id w:val="25447800"/>
        <w:placeholder>
          <w:docPart w:val="8CD4102648AE41429B09150ACBA94CB9"/>
        </w:placeholder>
      </w:sdtPr>
      <w:sdtEndPr/>
      <w:sdtContent>
        <w:p w14:paraId="463A1F9D" w14:textId="2048C536" w:rsidR="00301089" w:rsidRDefault="003A6C53" w:rsidP="00723203">
          <w:pPr>
            <w:jc w:val="right"/>
            <w:rPr>
              <w:rFonts w:cs="Times New Roman"/>
              <w:szCs w:val="24"/>
            </w:rPr>
          </w:pPr>
          <w:r>
            <w:rPr>
              <w:rFonts w:cs="Times New Roman"/>
              <w:szCs w:val="24"/>
            </w:rPr>
            <w:t xml:space="preserve">Noziedzīgi iegūtu līdzekļu legalizācijas un terorisma </w:t>
          </w:r>
          <w:r w:rsidR="00A15B59">
            <w:rPr>
              <w:rFonts w:cs="Times New Roman"/>
              <w:szCs w:val="24"/>
            </w:rPr>
            <w:br/>
          </w:r>
          <w:r>
            <w:rPr>
              <w:rFonts w:cs="Times New Roman"/>
              <w:szCs w:val="24"/>
            </w:rPr>
            <w:t>un proliferācijas finansēšanas novēršanas likuma</w:t>
          </w:r>
          <w:sdt>
            <w:sdtPr>
              <w:rPr>
                <w:rFonts w:cs="Times New Roman"/>
                <w:color w:val="000000" w:themeColor="text1"/>
                <w:szCs w:val="24"/>
              </w:rPr>
              <w:id w:val="25447827"/>
              <w:placeholder>
                <w:docPart w:val="3604C608419F47AAA41E94357AA93AC1"/>
              </w:placeholder>
            </w:sdtPr>
            <w:sdtEndPr/>
            <w:sdtContent>
              <w:r w:rsidR="00A15B59">
                <w:rPr>
                  <w:rFonts w:cs="Times New Roman"/>
                  <w:color w:val="000000" w:themeColor="text1"/>
                  <w:szCs w:val="24"/>
                </w:rPr>
                <w:br/>
              </w:r>
              <w:r w:rsidR="00A601B4">
                <w:rPr>
                  <w:rFonts w:cs="Times New Roman"/>
                  <w:color w:val="000000" w:themeColor="text1"/>
                  <w:szCs w:val="24"/>
                </w:rPr>
                <w:t>47.</w:t>
              </w:r>
              <w:r w:rsidR="00A15B59">
                <w:rPr>
                  <w:rFonts w:cs="Times New Roman"/>
                  <w:color w:val="000000" w:themeColor="text1"/>
                  <w:szCs w:val="24"/>
                </w:rPr>
                <w:t> </w:t>
              </w:r>
              <w:r w:rsidR="00A601B4">
                <w:rPr>
                  <w:rFonts w:cs="Times New Roman"/>
                  <w:color w:val="000000" w:themeColor="text1"/>
                  <w:szCs w:val="24"/>
                </w:rPr>
                <w:t>panta otrās daļas 1. un 7.</w:t>
              </w:r>
              <w:r w:rsidR="00A15B59">
                <w:rPr>
                  <w:rFonts w:cs="Times New Roman"/>
                  <w:color w:val="000000" w:themeColor="text1"/>
                  <w:szCs w:val="24"/>
                </w:rPr>
                <w:t> </w:t>
              </w:r>
              <w:r w:rsidR="00A601B4">
                <w:rPr>
                  <w:rFonts w:cs="Times New Roman"/>
                  <w:color w:val="000000" w:themeColor="text1"/>
                  <w:szCs w:val="24"/>
                </w:rPr>
                <w:t>punktu</w:t>
              </w:r>
            </w:sdtContent>
          </w:sdt>
        </w:p>
      </w:sdtContent>
    </w:sdt>
    <w:p w14:paraId="0D3002C6" w14:textId="003114C5" w:rsidR="00123001" w:rsidRPr="00406D1B" w:rsidRDefault="00406D1B" w:rsidP="004E0445">
      <w:pPr>
        <w:pStyle w:val="NAnodala"/>
      </w:pPr>
      <w:r>
        <w:t>1.</w:t>
      </w:r>
      <w:r w:rsidRPr="00406D1B">
        <w:t xml:space="preserve"> </w:t>
      </w:r>
      <w:r w:rsidR="00123001" w:rsidRPr="00406D1B">
        <w:t>Vispārīgie jautājumi</w:t>
      </w:r>
    </w:p>
    <w:p w14:paraId="22905479" w14:textId="504F3E15" w:rsidR="00722C79" w:rsidRDefault="007D5E3E" w:rsidP="00630A07">
      <w:pPr>
        <w:pStyle w:val="NApunkts1"/>
        <w:rPr>
          <w:lang w:eastAsia="en-GB"/>
        </w:rPr>
      </w:pPr>
      <w:r w:rsidRPr="00314BC5">
        <w:rPr>
          <w:lang w:eastAsia="en-GB"/>
        </w:rPr>
        <w:t>N</w:t>
      </w:r>
      <w:r w:rsidR="002F3B80" w:rsidRPr="00314BC5">
        <w:rPr>
          <w:lang w:eastAsia="en-GB"/>
        </w:rPr>
        <w:t xml:space="preserve">oteikumi </w:t>
      </w:r>
      <w:r w:rsidR="00722C79">
        <w:rPr>
          <w:lang w:eastAsia="en-GB"/>
        </w:rPr>
        <w:t>nosaka</w:t>
      </w:r>
      <w:r w:rsidR="0018780D">
        <w:rPr>
          <w:lang w:eastAsia="en-GB"/>
        </w:rPr>
        <w:t xml:space="preserve"> prasības</w:t>
      </w:r>
      <w:r w:rsidR="00722C79">
        <w:rPr>
          <w:lang w:eastAsia="en-GB"/>
        </w:rPr>
        <w:t>:</w:t>
      </w:r>
    </w:p>
    <w:p w14:paraId="5958DD44" w14:textId="5BF9B073" w:rsidR="00DB06EF" w:rsidRPr="00550D65" w:rsidRDefault="00630A07" w:rsidP="00630A07">
      <w:pPr>
        <w:pStyle w:val="NApunkts2"/>
        <w:rPr>
          <w:lang w:eastAsia="en-GB"/>
        </w:rPr>
      </w:pPr>
      <w:r>
        <w:t>Noziedzīgi iegūtu līdzekļu legalizācijas un terorisma un proliferācijas finansēšanas</w:t>
      </w:r>
      <w:r>
        <w:rPr>
          <w:lang w:eastAsia="en-GB"/>
        </w:rPr>
        <w:t xml:space="preserve"> n</w:t>
      </w:r>
      <w:r w:rsidR="00DB06EF">
        <w:rPr>
          <w:lang w:eastAsia="en-GB"/>
        </w:rPr>
        <w:t xml:space="preserve">ovēršanas likuma </w:t>
      </w:r>
      <w:r>
        <w:rPr>
          <w:lang w:eastAsia="en-GB"/>
        </w:rPr>
        <w:t>(turpmāk</w:t>
      </w:r>
      <w:r w:rsidR="00A15B59">
        <w:rPr>
          <w:lang w:eastAsia="en-GB"/>
        </w:rPr>
        <w:t> </w:t>
      </w:r>
      <w:r>
        <w:rPr>
          <w:lang w:eastAsia="en-GB"/>
        </w:rPr>
        <w:t xml:space="preserve">– Novēršanas likums) </w:t>
      </w:r>
      <w:r w:rsidR="00DB06EF">
        <w:rPr>
          <w:lang w:eastAsia="en-GB"/>
        </w:rPr>
        <w:t>45.</w:t>
      </w:r>
      <w:r w:rsidR="00835974" w:rsidRPr="00435118">
        <w:t> </w:t>
      </w:r>
      <w:r w:rsidR="00DB06EF">
        <w:rPr>
          <w:lang w:eastAsia="en-GB"/>
        </w:rPr>
        <w:t xml:space="preserve">panta </w:t>
      </w:r>
      <w:r w:rsidR="00DB06EF" w:rsidRPr="00314BC5">
        <w:rPr>
          <w:lang w:eastAsia="en-GB"/>
        </w:rPr>
        <w:t>pirmās daļas 1.</w:t>
      </w:r>
      <w:r w:rsidR="00DB06EF">
        <w:rPr>
          <w:lang w:eastAsia="en-GB"/>
        </w:rPr>
        <w:t> </w:t>
      </w:r>
      <w:r w:rsidR="00DB06EF" w:rsidRPr="00314BC5">
        <w:rPr>
          <w:lang w:eastAsia="en-GB"/>
        </w:rPr>
        <w:t xml:space="preserve">punktā </w:t>
      </w:r>
      <w:r w:rsidR="00DB06EF" w:rsidRPr="00AB7A0A">
        <w:rPr>
          <w:lang w:eastAsia="en-GB"/>
        </w:rPr>
        <w:t>minētajiem subjektiem (turpmāk</w:t>
      </w:r>
      <w:r w:rsidR="004E0445" w:rsidRPr="00AB7A0A">
        <w:t> </w:t>
      </w:r>
      <w:r w:rsidR="00DB06EF" w:rsidRPr="00AB7A0A">
        <w:rPr>
          <w:lang w:eastAsia="en-GB"/>
        </w:rPr>
        <w:t>– iestāde), kas ietveramas noziedzīgi iegūtu līdzekļu legalizācijas un terorisma un proliferācijas finansēšanas novēršanas iekšējās kontroles sistēmā papildus Novēršanas likuma</w:t>
      </w:r>
      <w:r w:rsidRPr="00AB7A0A">
        <w:rPr>
          <w:lang w:eastAsia="en-GB"/>
        </w:rPr>
        <w:t xml:space="preserve"> </w:t>
      </w:r>
      <w:hyperlink r:id="rId8" w:anchor="p7" w:history="1">
        <w:r w:rsidR="00DB06EF" w:rsidRPr="00AB7A0A">
          <w:rPr>
            <w:lang w:eastAsia="en-GB"/>
          </w:rPr>
          <w:t>7. panta</w:t>
        </w:r>
      </w:hyperlink>
      <w:r w:rsidR="00835974" w:rsidRPr="00AB7A0A">
        <w:rPr>
          <w:lang w:eastAsia="en-GB"/>
        </w:rPr>
        <w:t xml:space="preserve"> </w:t>
      </w:r>
      <w:r w:rsidR="00DB06EF" w:rsidRPr="00AB7A0A">
        <w:rPr>
          <w:lang w:eastAsia="en-GB"/>
        </w:rPr>
        <w:t>pirmajā daļā noteiktajam attiecībā uz</w:t>
      </w:r>
      <w:r w:rsidR="00F66ABF" w:rsidRPr="00AB7A0A">
        <w:rPr>
          <w:lang w:eastAsia="en-GB"/>
        </w:rPr>
        <w:t xml:space="preserve"> </w:t>
      </w:r>
      <w:r w:rsidR="0004103F" w:rsidRPr="00AB7A0A">
        <w:rPr>
          <w:lang w:eastAsia="en-GB"/>
        </w:rPr>
        <w:t>noziedzīgi iegūtu līdzekļu legalizācijas un terorisma un proliferācijas finansēšanas</w:t>
      </w:r>
      <w:r w:rsidR="00BE5998" w:rsidRPr="00AB7A0A">
        <w:rPr>
          <w:lang w:eastAsia="en-GB"/>
        </w:rPr>
        <w:t xml:space="preserve"> </w:t>
      </w:r>
      <w:r w:rsidR="00AC2349" w:rsidRPr="00AB7A0A">
        <w:rPr>
          <w:lang w:eastAsia="en-GB"/>
        </w:rPr>
        <w:t>riska</w:t>
      </w:r>
      <w:r w:rsidR="00AC2349" w:rsidRPr="00550D65">
        <w:rPr>
          <w:lang w:eastAsia="en-GB"/>
        </w:rPr>
        <w:t xml:space="preserve"> (turpmāk</w:t>
      </w:r>
      <w:r w:rsidR="00A15B59">
        <w:rPr>
          <w:lang w:eastAsia="en-GB"/>
        </w:rPr>
        <w:t> </w:t>
      </w:r>
      <w:r w:rsidR="00AC2349" w:rsidRPr="00550D65">
        <w:rPr>
          <w:lang w:eastAsia="en-GB"/>
        </w:rPr>
        <w:t>–</w:t>
      </w:r>
      <w:r w:rsidR="00DB06EF" w:rsidRPr="00550D65">
        <w:rPr>
          <w:lang w:eastAsia="en-GB"/>
        </w:rPr>
        <w:t xml:space="preserve"> NILLTPF risk</w:t>
      </w:r>
      <w:r w:rsidR="00AC2349" w:rsidRPr="00550D65">
        <w:rPr>
          <w:lang w:eastAsia="en-GB"/>
        </w:rPr>
        <w:t>s)</w:t>
      </w:r>
      <w:r w:rsidR="00DB06EF" w:rsidRPr="00550D65">
        <w:rPr>
          <w:lang w:eastAsia="en-GB"/>
        </w:rPr>
        <w:t xml:space="preserve"> pārvaldīšanu un iestādes amatpersonu un darbinieku atbildību</w:t>
      </w:r>
      <w:r w:rsidR="00DB6F4D" w:rsidRPr="00550D65">
        <w:rPr>
          <w:lang w:eastAsia="en-GB"/>
        </w:rPr>
        <w:t>;</w:t>
      </w:r>
    </w:p>
    <w:p w14:paraId="168D0105" w14:textId="38C8A826" w:rsidR="003224FF" w:rsidRDefault="00803199" w:rsidP="00630A07">
      <w:pPr>
        <w:pStyle w:val="NApunkts2"/>
        <w:rPr>
          <w:lang w:eastAsia="en-GB"/>
        </w:rPr>
      </w:pPr>
      <w:r w:rsidRPr="00550D65">
        <w:rPr>
          <w:lang w:eastAsia="en-GB"/>
        </w:rPr>
        <w:t>Latvijas Republikā reģistrētām kredītiestādēm (turpmāk</w:t>
      </w:r>
      <w:r w:rsidR="00A15B59">
        <w:rPr>
          <w:lang w:eastAsia="en-GB"/>
        </w:rPr>
        <w:t> </w:t>
      </w:r>
      <w:r w:rsidRPr="00550D65">
        <w:rPr>
          <w:lang w:eastAsia="en-GB"/>
        </w:rPr>
        <w:t xml:space="preserve">– kredītiestāde) </w:t>
      </w:r>
      <w:r w:rsidR="0018780D" w:rsidRPr="00550D65">
        <w:rPr>
          <w:lang w:eastAsia="en-GB"/>
        </w:rPr>
        <w:t xml:space="preserve">attiecībā uz pasākumiem </w:t>
      </w:r>
      <w:r w:rsidR="00493F43" w:rsidRPr="00550D65">
        <w:rPr>
          <w:lang w:eastAsia="en-GB"/>
        </w:rPr>
        <w:t>NILLTPF</w:t>
      </w:r>
      <w:r w:rsidR="0018780D" w:rsidRPr="00550D65">
        <w:rPr>
          <w:lang w:eastAsia="en-GB"/>
        </w:rPr>
        <w:t xml:space="preserve"> risk</w:t>
      </w:r>
      <w:r w:rsidR="00493F43" w:rsidRPr="00550D65">
        <w:rPr>
          <w:lang w:eastAsia="en-GB"/>
        </w:rPr>
        <w:t>a</w:t>
      </w:r>
      <w:r w:rsidR="0018780D" w:rsidRPr="00550D65">
        <w:rPr>
          <w:lang w:eastAsia="en-GB"/>
        </w:rPr>
        <w:t xml:space="preserve"> pārvaldībai un t</w:t>
      </w:r>
      <w:r w:rsidR="00521F36" w:rsidRPr="00550D65">
        <w:rPr>
          <w:lang w:eastAsia="en-GB"/>
        </w:rPr>
        <w:t>ā</w:t>
      </w:r>
      <w:r w:rsidR="0018780D" w:rsidRPr="00550D65">
        <w:rPr>
          <w:lang w:eastAsia="en-GB"/>
        </w:rPr>
        <w:t xml:space="preserve"> mazināšanai</w:t>
      </w:r>
      <w:r w:rsidR="00C60280">
        <w:rPr>
          <w:lang w:eastAsia="en-GB"/>
        </w:rPr>
        <w:t>,</w:t>
      </w:r>
      <w:r w:rsidR="006D0CFF">
        <w:rPr>
          <w:lang w:eastAsia="en-GB"/>
        </w:rPr>
        <w:t xml:space="preserve"> kā arī</w:t>
      </w:r>
      <w:r w:rsidR="00235A32" w:rsidRPr="00550D65">
        <w:rPr>
          <w:lang w:eastAsia="en-GB"/>
        </w:rPr>
        <w:t xml:space="preserve"> a</w:t>
      </w:r>
      <w:r w:rsidR="00DB06EF" w:rsidRPr="00550D65">
        <w:rPr>
          <w:lang w:eastAsia="en-GB"/>
        </w:rPr>
        <w:t xml:space="preserve">ttiecībā uz NILLTPF riska </w:t>
      </w:r>
      <w:r w:rsidR="000222A7">
        <w:rPr>
          <w:lang w:eastAsia="en-GB"/>
        </w:rPr>
        <w:t xml:space="preserve">pārvaldīšanas </w:t>
      </w:r>
      <w:r w:rsidR="00DB06EF" w:rsidRPr="00550D65">
        <w:rPr>
          <w:lang w:eastAsia="en-GB"/>
        </w:rPr>
        <w:t>stratēģijas izstrādi</w:t>
      </w:r>
      <w:r w:rsidR="006D0CFF">
        <w:rPr>
          <w:lang w:eastAsia="en-GB"/>
        </w:rPr>
        <w:t>;</w:t>
      </w:r>
    </w:p>
    <w:p w14:paraId="57BA3F0E" w14:textId="04E787F5" w:rsidR="00803199" w:rsidRDefault="00A3618D" w:rsidP="00630A07">
      <w:pPr>
        <w:pStyle w:val="NApunkts2"/>
        <w:rPr>
          <w:lang w:eastAsia="en-GB"/>
        </w:rPr>
      </w:pPr>
      <w:r w:rsidRPr="00CD0B0B">
        <w:rPr>
          <w:lang w:eastAsia="en-GB"/>
        </w:rPr>
        <w:t>k</w:t>
      </w:r>
      <w:r w:rsidR="003224FF" w:rsidRPr="00CD0B0B">
        <w:rPr>
          <w:lang w:eastAsia="en-GB"/>
        </w:rPr>
        <w:t xml:space="preserve">redītiestādēm, kā arī </w:t>
      </w:r>
      <w:r w:rsidR="006915A3">
        <w:rPr>
          <w:lang w:eastAsia="en-GB"/>
        </w:rPr>
        <w:t xml:space="preserve">citu </w:t>
      </w:r>
      <w:r w:rsidR="003224FF" w:rsidRPr="00CD0B0B">
        <w:rPr>
          <w:lang w:eastAsia="en-GB"/>
        </w:rPr>
        <w:t xml:space="preserve">dalībvalstu un trešo valstu kredītiestāžu filiālēm Latvijas Republikā </w:t>
      </w:r>
      <w:r w:rsidRPr="00CD0B0B">
        <w:rPr>
          <w:lang w:eastAsia="en-GB"/>
        </w:rPr>
        <w:t>attiecībā uz</w:t>
      </w:r>
      <w:r w:rsidR="003224FF" w:rsidRPr="00CD0B0B">
        <w:rPr>
          <w:lang w:eastAsia="en-GB"/>
        </w:rPr>
        <w:t xml:space="preserve"> NILLTPF riska ekspozīcijas raksturojuma pārskata sagatavošanu</w:t>
      </w:r>
      <w:r w:rsidRPr="00CD0B0B">
        <w:rPr>
          <w:lang w:eastAsia="en-GB"/>
        </w:rPr>
        <w:t>.</w:t>
      </w:r>
    </w:p>
    <w:p w14:paraId="668A93ED" w14:textId="55DAC37B" w:rsidR="002F3B80" w:rsidRPr="00681AAF" w:rsidRDefault="00B84931" w:rsidP="006E185B">
      <w:pPr>
        <w:pStyle w:val="NApunkts1"/>
        <w:rPr>
          <w:lang w:eastAsia="en-GB"/>
        </w:rPr>
      </w:pPr>
      <w:r w:rsidRPr="00681AAF">
        <w:rPr>
          <w:lang w:eastAsia="en-GB"/>
        </w:rPr>
        <w:t>Noteikumos</w:t>
      </w:r>
      <w:r w:rsidR="00123001" w:rsidRPr="00681AAF">
        <w:rPr>
          <w:lang w:eastAsia="en-GB"/>
        </w:rPr>
        <w:t xml:space="preserve"> lietoti šādi termini:</w:t>
      </w:r>
    </w:p>
    <w:p w14:paraId="1F3C5390" w14:textId="6275471A" w:rsidR="008E0CF5" w:rsidRPr="00AC5AB2" w:rsidRDefault="008E0CF5" w:rsidP="006E185B">
      <w:pPr>
        <w:pStyle w:val="NApunkts2"/>
        <w:rPr>
          <w:lang w:eastAsia="en-GB"/>
        </w:rPr>
      </w:pPr>
      <w:r w:rsidRPr="008E0CF5">
        <w:rPr>
          <w:lang w:eastAsia="en-GB"/>
        </w:rPr>
        <w:t>fiduciārais kredīts</w:t>
      </w:r>
      <w:r w:rsidR="00A15B59">
        <w:rPr>
          <w:lang w:eastAsia="en-GB"/>
        </w:rPr>
        <w:t> </w:t>
      </w:r>
      <w:r w:rsidRPr="008E0CF5">
        <w:rPr>
          <w:lang w:eastAsia="en-GB"/>
        </w:rPr>
        <w:t xml:space="preserve">– darījums, kura ietvaros </w:t>
      </w:r>
      <w:r w:rsidR="00C53B09">
        <w:rPr>
          <w:lang w:eastAsia="en-GB"/>
        </w:rPr>
        <w:t>tiek</w:t>
      </w:r>
      <w:r w:rsidRPr="008E0CF5">
        <w:rPr>
          <w:lang w:eastAsia="en-GB"/>
        </w:rPr>
        <w:t xml:space="preserve"> </w:t>
      </w:r>
      <w:r w:rsidR="00C53B09" w:rsidRPr="008E0CF5">
        <w:rPr>
          <w:lang w:eastAsia="en-GB"/>
        </w:rPr>
        <w:t>izsnie</w:t>
      </w:r>
      <w:r w:rsidR="00C53B09">
        <w:rPr>
          <w:lang w:eastAsia="en-GB"/>
        </w:rPr>
        <w:t xml:space="preserve">gts </w:t>
      </w:r>
      <w:r w:rsidRPr="008E0CF5">
        <w:rPr>
          <w:lang w:eastAsia="en-GB"/>
        </w:rPr>
        <w:t>aizdevum</w:t>
      </w:r>
      <w:r w:rsidR="00C53B09">
        <w:rPr>
          <w:lang w:eastAsia="en-GB"/>
        </w:rPr>
        <w:t>s</w:t>
      </w:r>
      <w:r w:rsidRPr="008E0CF5">
        <w:rPr>
          <w:lang w:eastAsia="en-GB"/>
        </w:rPr>
        <w:t xml:space="preserve"> klientam </w:t>
      </w:r>
      <w:r w:rsidR="00C53B09">
        <w:rPr>
          <w:lang w:eastAsia="en-GB"/>
        </w:rPr>
        <w:t>iest</w:t>
      </w:r>
      <w:r w:rsidR="009D4935">
        <w:rPr>
          <w:lang w:eastAsia="en-GB"/>
        </w:rPr>
        <w:t>ā</w:t>
      </w:r>
      <w:r w:rsidR="00C53B09">
        <w:rPr>
          <w:lang w:eastAsia="en-GB"/>
        </w:rPr>
        <w:t xml:space="preserve">des </w:t>
      </w:r>
      <w:r w:rsidRPr="008E0CF5">
        <w:rPr>
          <w:lang w:eastAsia="en-GB"/>
        </w:rPr>
        <w:t>vārdā, kurā trešās personas aktīvi (</w:t>
      </w:r>
      <w:r w:rsidR="00702B59">
        <w:rPr>
          <w:lang w:eastAsia="en-GB"/>
        </w:rPr>
        <w:t xml:space="preserve">piemēram, </w:t>
      </w:r>
      <w:r w:rsidRPr="008E0CF5">
        <w:rPr>
          <w:lang w:eastAsia="en-GB"/>
        </w:rPr>
        <w:t xml:space="preserve">finanšu līdzekļi, </w:t>
      </w:r>
      <w:r w:rsidRPr="00AC5AB2">
        <w:rPr>
          <w:lang w:eastAsia="en-GB"/>
        </w:rPr>
        <w:t>īpašums) kalpo kā aizdevuma nodrošinājums un kurā trešā persona uzņemas no klienta saistībām izrietošo risku;</w:t>
      </w:r>
    </w:p>
    <w:p w14:paraId="685E6FD6" w14:textId="08BB534D" w:rsidR="008E0CF5" w:rsidRPr="00AC5AB2" w:rsidRDefault="008E0CF5" w:rsidP="006E185B">
      <w:pPr>
        <w:pStyle w:val="NApunkts2"/>
        <w:rPr>
          <w:lang w:eastAsia="en-GB"/>
        </w:rPr>
      </w:pPr>
      <w:r w:rsidRPr="00AC5AB2">
        <w:rPr>
          <w:lang w:eastAsia="en-GB"/>
        </w:rPr>
        <w:t>finanšu aktīvi</w:t>
      </w:r>
      <w:r w:rsidR="00A15B59" w:rsidRPr="00AC5AB2">
        <w:rPr>
          <w:lang w:eastAsia="en-GB"/>
        </w:rPr>
        <w:t> </w:t>
      </w:r>
      <w:r w:rsidRPr="00AC5AB2">
        <w:rPr>
          <w:lang w:eastAsia="en-GB"/>
        </w:rPr>
        <w:t>– klienta naudas līdzekļi (noguldījumi), kas nodoti glabāšanā iestādes kontā noteiktu vai nenoteiktu laiku ar vai bez procentiem, uzticības operāciju (trastu (pasīvu pārvaldīšanā))</w:t>
      </w:r>
      <w:r w:rsidR="00702B59" w:rsidRPr="00AC5AB2">
        <w:rPr>
          <w:lang w:eastAsia="en-GB"/>
        </w:rPr>
        <w:t xml:space="preserve"> un</w:t>
      </w:r>
      <w:r w:rsidRPr="00AC5AB2">
        <w:rPr>
          <w:lang w:eastAsia="en-GB"/>
        </w:rPr>
        <w:t xml:space="preserve"> klienta finanšu instrumentu portfeļu, kas tiek turēti iestādē, tai skaitā finanšu instrumentu portfeļu, kas nodoti iestādei pārvaldīšanā, vērtība, kā arī citi finanšu aktīvi (piemēram, </w:t>
      </w:r>
      <w:proofErr w:type="spellStart"/>
      <w:r w:rsidRPr="00AC5AB2">
        <w:rPr>
          <w:lang w:eastAsia="en-GB"/>
        </w:rPr>
        <w:t>kriptoaktīvi</w:t>
      </w:r>
      <w:proofErr w:type="spellEnd"/>
      <w:r w:rsidRPr="00AC5AB2">
        <w:rPr>
          <w:lang w:eastAsia="en-GB"/>
        </w:rPr>
        <w:t>, dārgmetāli);</w:t>
      </w:r>
    </w:p>
    <w:p w14:paraId="09F54B3F" w14:textId="23253317" w:rsidR="008E0CF5" w:rsidRPr="006E5615" w:rsidRDefault="008E0CF5" w:rsidP="00900084">
      <w:pPr>
        <w:pStyle w:val="NApunkts2"/>
        <w:rPr>
          <w:lang w:eastAsia="en-GB"/>
        </w:rPr>
      </w:pPr>
      <w:r w:rsidRPr="008E0CF5">
        <w:rPr>
          <w:lang w:eastAsia="en-GB"/>
        </w:rPr>
        <w:t>ienākumi</w:t>
      </w:r>
      <w:r w:rsidR="00A15B59">
        <w:rPr>
          <w:lang w:eastAsia="en-GB"/>
        </w:rPr>
        <w:t> </w:t>
      </w:r>
      <w:r w:rsidRPr="008E0CF5">
        <w:rPr>
          <w:lang w:eastAsia="en-GB"/>
        </w:rPr>
        <w:t>–</w:t>
      </w:r>
      <w:r w:rsidR="00C60280">
        <w:rPr>
          <w:lang w:eastAsia="en-GB"/>
        </w:rPr>
        <w:t xml:space="preserve"> </w:t>
      </w:r>
      <w:r w:rsidRPr="008E0CF5">
        <w:rPr>
          <w:lang w:eastAsia="en-GB"/>
        </w:rPr>
        <w:t xml:space="preserve">iestādes kopējie faktiskie ienākumi no pakalpojumu sniegšanas klientiem </w:t>
      </w:r>
      <w:r w:rsidR="00617549">
        <w:rPr>
          <w:lang w:eastAsia="en-GB"/>
        </w:rPr>
        <w:t>kalendārā gada</w:t>
      </w:r>
      <w:r w:rsidR="00617549" w:rsidRPr="008E0CF5">
        <w:rPr>
          <w:lang w:eastAsia="en-GB"/>
        </w:rPr>
        <w:t xml:space="preserve"> </w:t>
      </w:r>
      <w:r w:rsidRPr="008E0CF5">
        <w:rPr>
          <w:lang w:eastAsia="en-GB"/>
        </w:rPr>
        <w:t>ceturksnī</w:t>
      </w:r>
      <w:r w:rsidR="00617549">
        <w:rPr>
          <w:lang w:eastAsia="en-GB"/>
        </w:rPr>
        <w:t xml:space="preserve"> (turpmāk</w:t>
      </w:r>
      <w:r w:rsidR="00A15B59">
        <w:rPr>
          <w:lang w:eastAsia="en-GB"/>
        </w:rPr>
        <w:t> </w:t>
      </w:r>
      <w:r w:rsidR="00617549">
        <w:rPr>
          <w:lang w:eastAsia="en-GB"/>
        </w:rPr>
        <w:t>– pārskata ceturksnis)</w:t>
      </w:r>
      <w:r w:rsidRPr="008E0CF5">
        <w:rPr>
          <w:lang w:eastAsia="en-GB"/>
        </w:rPr>
        <w:t>, tai skaitā</w:t>
      </w:r>
      <w:r w:rsidR="00501695" w:rsidRPr="00501695">
        <w:rPr>
          <w:lang w:eastAsia="en-GB"/>
        </w:rPr>
        <w:t xml:space="preserve"> </w:t>
      </w:r>
      <w:r w:rsidR="00501695" w:rsidRPr="006E5615">
        <w:rPr>
          <w:lang w:eastAsia="en-GB"/>
        </w:rPr>
        <w:t xml:space="preserve">ienākumi par </w:t>
      </w:r>
      <w:r w:rsidR="00F32446" w:rsidRPr="00E64F6F">
        <w:rPr>
          <w:lang w:eastAsia="en-GB"/>
        </w:rPr>
        <w:t>pārskata ceturksnī</w:t>
      </w:r>
      <w:r w:rsidR="00F32446" w:rsidRPr="006E5615">
        <w:rPr>
          <w:lang w:eastAsia="en-GB"/>
        </w:rPr>
        <w:t xml:space="preserve"> </w:t>
      </w:r>
      <w:r w:rsidR="00501695" w:rsidRPr="006E5615">
        <w:rPr>
          <w:lang w:eastAsia="en-GB"/>
        </w:rPr>
        <w:t>saņemtajām komisijām;</w:t>
      </w:r>
    </w:p>
    <w:p w14:paraId="5F0BCEC7" w14:textId="788169E7" w:rsidR="008E0CF5" w:rsidRPr="008E0CF5" w:rsidRDefault="008E0CF5" w:rsidP="006E185B">
      <w:pPr>
        <w:pStyle w:val="NApunkts2"/>
        <w:rPr>
          <w:lang w:eastAsia="en-GB"/>
        </w:rPr>
      </w:pPr>
      <w:r w:rsidRPr="008E0CF5">
        <w:rPr>
          <w:lang w:eastAsia="en-GB"/>
        </w:rPr>
        <w:lastRenderedPageBreak/>
        <w:t>klients</w:t>
      </w:r>
      <w:r w:rsidR="00A15B59">
        <w:rPr>
          <w:lang w:eastAsia="en-GB"/>
        </w:rPr>
        <w:t> </w:t>
      </w:r>
      <w:r w:rsidRPr="008E0CF5">
        <w:rPr>
          <w:lang w:eastAsia="en-GB"/>
        </w:rPr>
        <w:t>–</w:t>
      </w:r>
      <w:r w:rsidR="000B215B">
        <w:rPr>
          <w:lang w:eastAsia="en-GB"/>
        </w:rPr>
        <w:t xml:space="preserve"> </w:t>
      </w:r>
      <w:r w:rsidRPr="008E0CF5">
        <w:rPr>
          <w:lang w:eastAsia="en-GB"/>
        </w:rPr>
        <w:t xml:space="preserve">persona </w:t>
      </w:r>
      <w:r w:rsidR="00630A07" w:rsidRPr="006E185B">
        <w:rPr>
          <w:lang w:eastAsia="en-GB"/>
        </w:rPr>
        <w:t>Novēršanas likuma</w:t>
      </w:r>
      <w:r w:rsidR="00835974" w:rsidRPr="00630A07">
        <w:rPr>
          <w:rStyle w:val="Hyperlink"/>
          <w:color w:val="auto"/>
          <w:u w:val="none"/>
          <w:lang w:eastAsia="en-GB"/>
        </w:rPr>
        <w:t xml:space="preserve"> </w:t>
      </w:r>
      <w:hyperlink r:id="rId9" w:anchor="p1" w:tgtFrame="_blank" w:history="1">
        <w:r w:rsidRPr="00630A07">
          <w:rPr>
            <w:rStyle w:val="Hyperlink"/>
            <w:color w:val="auto"/>
            <w:u w:val="none"/>
            <w:lang w:eastAsia="en-GB"/>
          </w:rPr>
          <w:t>1.</w:t>
        </w:r>
        <w:r w:rsidR="00835974" w:rsidRPr="00630A07">
          <w:t> </w:t>
        </w:r>
        <w:r w:rsidRPr="00630A07">
          <w:rPr>
            <w:rStyle w:val="Hyperlink"/>
            <w:color w:val="auto"/>
            <w:u w:val="none"/>
            <w:lang w:eastAsia="en-GB"/>
          </w:rPr>
          <w:t>panta</w:t>
        </w:r>
      </w:hyperlink>
      <w:r w:rsidR="00835974">
        <w:rPr>
          <w:lang w:eastAsia="en-GB"/>
        </w:rPr>
        <w:t xml:space="preserve"> </w:t>
      </w:r>
      <w:r w:rsidR="00CA30B8">
        <w:rPr>
          <w:lang w:eastAsia="en-GB"/>
        </w:rPr>
        <w:t xml:space="preserve">pirmās daļas </w:t>
      </w:r>
      <w:r w:rsidRPr="008E0CF5">
        <w:rPr>
          <w:lang w:eastAsia="en-GB"/>
        </w:rPr>
        <w:t>4.</w:t>
      </w:r>
      <w:r w:rsidR="00835974" w:rsidRPr="00435118">
        <w:t> </w:t>
      </w:r>
      <w:r w:rsidRPr="008E0CF5">
        <w:rPr>
          <w:lang w:eastAsia="en-GB"/>
        </w:rPr>
        <w:t>punkta izpratnē</w:t>
      </w:r>
      <w:r w:rsidR="000B215B">
        <w:rPr>
          <w:lang w:eastAsia="en-GB"/>
        </w:rPr>
        <w:t>. Par klientu neuzskata</w:t>
      </w:r>
      <w:r w:rsidRPr="008E0CF5">
        <w:rPr>
          <w:lang w:eastAsia="en-GB"/>
        </w:rPr>
        <w:t xml:space="preserve"> person</w:t>
      </w:r>
      <w:r w:rsidR="000B215B">
        <w:rPr>
          <w:lang w:eastAsia="en-GB"/>
        </w:rPr>
        <w:t>u</w:t>
      </w:r>
      <w:r w:rsidRPr="008E0CF5">
        <w:rPr>
          <w:lang w:eastAsia="en-GB"/>
        </w:rPr>
        <w:t>, kura veic gadījuma rakstura darījumu</w:t>
      </w:r>
      <w:r w:rsidR="00835974">
        <w:rPr>
          <w:lang w:eastAsia="en-GB"/>
        </w:rPr>
        <w:t xml:space="preserve"> </w:t>
      </w:r>
      <w:r w:rsidR="00630A07" w:rsidRPr="006E185B">
        <w:t>N</w:t>
      </w:r>
      <w:r w:rsidR="00630A07" w:rsidRPr="006E185B">
        <w:rPr>
          <w:lang w:eastAsia="en-GB"/>
        </w:rPr>
        <w:t>ovēršanas likuma</w:t>
      </w:r>
      <w:r w:rsidR="00835974">
        <w:rPr>
          <w:lang w:eastAsia="en-GB"/>
        </w:rPr>
        <w:t xml:space="preserve"> </w:t>
      </w:r>
      <w:r w:rsidR="00630A07" w:rsidRPr="006E185B">
        <w:rPr>
          <w:lang w:eastAsia="en-GB"/>
        </w:rPr>
        <w:t>1. panta</w:t>
      </w:r>
      <w:r w:rsidR="00CA30B8">
        <w:rPr>
          <w:lang w:eastAsia="en-GB"/>
        </w:rPr>
        <w:t xml:space="preserve"> pirmās daļas</w:t>
      </w:r>
      <w:r w:rsidR="00835974">
        <w:rPr>
          <w:lang w:eastAsia="en-GB"/>
        </w:rPr>
        <w:t xml:space="preserve"> </w:t>
      </w:r>
      <w:r w:rsidRPr="008E0CF5">
        <w:rPr>
          <w:lang w:eastAsia="en-GB"/>
        </w:rPr>
        <w:t>3.</w:t>
      </w:r>
      <w:r w:rsidRPr="008E0CF5">
        <w:rPr>
          <w:vertAlign w:val="superscript"/>
          <w:lang w:eastAsia="en-GB"/>
        </w:rPr>
        <w:t>1</w:t>
      </w:r>
      <w:r w:rsidRPr="00835974">
        <w:rPr>
          <w:lang w:eastAsia="en-GB"/>
        </w:rPr>
        <w:t> </w:t>
      </w:r>
      <w:r w:rsidRPr="008E0CF5">
        <w:rPr>
          <w:lang w:eastAsia="en-GB"/>
        </w:rPr>
        <w:t>punkta izpratnē, kā arī centrāl</w:t>
      </w:r>
      <w:r w:rsidR="000B215B">
        <w:rPr>
          <w:lang w:eastAsia="en-GB"/>
        </w:rPr>
        <w:t>o</w:t>
      </w:r>
      <w:r w:rsidRPr="008E0CF5">
        <w:rPr>
          <w:lang w:eastAsia="en-GB"/>
        </w:rPr>
        <w:t xml:space="preserve"> bank</w:t>
      </w:r>
      <w:r w:rsidR="000B215B">
        <w:rPr>
          <w:lang w:eastAsia="en-GB"/>
        </w:rPr>
        <w:t>u</w:t>
      </w:r>
      <w:r w:rsidR="00F32446">
        <w:rPr>
          <w:lang w:eastAsia="en-GB"/>
        </w:rPr>
        <w:t>,</w:t>
      </w:r>
      <w:r w:rsidRPr="008E0CF5">
        <w:rPr>
          <w:lang w:eastAsia="en-GB"/>
        </w:rPr>
        <w:t xml:space="preserve"> kredītiestād</w:t>
      </w:r>
      <w:r w:rsidR="000B215B">
        <w:rPr>
          <w:lang w:eastAsia="en-GB"/>
        </w:rPr>
        <w:t>i</w:t>
      </w:r>
      <w:r w:rsidR="00D85824">
        <w:rPr>
          <w:lang w:eastAsia="en-GB"/>
        </w:rPr>
        <w:t xml:space="preserve"> un citas E</w:t>
      </w:r>
      <w:r w:rsidR="00F32446">
        <w:rPr>
          <w:lang w:eastAsia="en-GB"/>
        </w:rPr>
        <w:t>iropas Savienības</w:t>
      </w:r>
      <w:r w:rsidR="00D85824">
        <w:rPr>
          <w:lang w:eastAsia="en-GB"/>
        </w:rPr>
        <w:t xml:space="preserve"> dalībvalsts </w:t>
      </w:r>
      <w:r w:rsidR="00F32446">
        <w:rPr>
          <w:lang w:eastAsia="en-GB"/>
        </w:rPr>
        <w:t xml:space="preserve">kredītiestādes </w:t>
      </w:r>
      <w:r w:rsidR="00D85824">
        <w:rPr>
          <w:lang w:eastAsia="en-GB"/>
        </w:rPr>
        <w:t>filiāli</w:t>
      </w:r>
      <w:r w:rsidRPr="008E0CF5">
        <w:rPr>
          <w:lang w:eastAsia="en-GB"/>
        </w:rPr>
        <w:t>. Par klient</w:t>
      </w:r>
      <w:r w:rsidR="006520A2">
        <w:rPr>
          <w:lang w:eastAsia="en-GB"/>
        </w:rPr>
        <w:t>u</w:t>
      </w:r>
      <w:r w:rsidRPr="008E0CF5">
        <w:rPr>
          <w:lang w:eastAsia="en-GB"/>
        </w:rPr>
        <w:t xml:space="preserve"> uzskat</w:t>
      </w:r>
      <w:r w:rsidR="006520A2">
        <w:rPr>
          <w:lang w:eastAsia="en-GB"/>
        </w:rPr>
        <w:t>a</w:t>
      </w:r>
      <w:r w:rsidRPr="008E0CF5">
        <w:rPr>
          <w:lang w:eastAsia="en-GB"/>
        </w:rPr>
        <w:t>:</w:t>
      </w:r>
    </w:p>
    <w:p w14:paraId="630886B3" w14:textId="14E8755E" w:rsidR="008E0CF5" w:rsidRPr="008E0CF5" w:rsidRDefault="006520A2" w:rsidP="006E185B">
      <w:pPr>
        <w:pStyle w:val="NApunkts3"/>
        <w:rPr>
          <w:lang w:eastAsia="en-GB"/>
        </w:rPr>
      </w:pPr>
      <w:r>
        <w:rPr>
          <w:lang w:eastAsia="en-GB"/>
        </w:rPr>
        <w:t>personu</w:t>
      </w:r>
      <w:r w:rsidR="008E0CF5" w:rsidRPr="008E0CF5">
        <w:rPr>
          <w:lang w:eastAsia="en-GB"/>
        </w:rPr>
        <w:t>, ar kur</w:t>
      </w:r>
      <w:r>
        <w:rPr>
          <w:lang w:eastAsia="en-GB"/>
        </w:rPr>
        <w:t>u</w:t>
      </w:r>
      <w:r w:rsidR="008E0CF5" w:rsidRPr="008E0CF5">
        <w:rPr>
          <w:lang w:eastAsia="en-GB"/>
        </w:rPr>
        <w:t xml:space="preserve"> iestādei ir noslēgts un ir spēkā līgums par iestādes pakalpojumu sniegšanu;</w:t>
      </w:r>
    </w:p>
    <w:p w14:paraId="59247C22" w14:textId="4C76E3EB" w:rsidR="008E0CF5" w:rsidRPr="008E0CF5" w:rsidRDefault="006520A2" w:rsidP="006E185B">
      <w:pPr>
        <w:pStyle w:val="NApunkts3"/>
        <w:rPr>
          <w:lang w:eastAsia="en-GB"/>
        </w:rPr>
      </w:pPr>
      <w:r>
        <w:rPr>
          <w:lang w:eastAsia="en-GB"/>
        </w:rPr>
        <w:t>personu</w:t>
      </w:r>
      <w:r w:rsidR="008E0CF5" w:rsidRPr="008E0CF5">
        <w:rPr>
          <w:lang w:eastAsia="en-GB"/>
        </w:rPr>
        <w:t>, ar kur</w:t>
      </w:r>
      <w:r>
        <w:rPr>
          <w:lang w:eastAsia="en-GB"/>
        </w:rPr>
        <w:t>u</w:t>
      </w:r>
      <w:r w:rsidR="008E0CF5" w:rsidRPr="008E0CF5">
        <w:rPr>
          <w:lang w:eastAsia="en-GB"/>
        </w:rPr>
        <w:t xml:space="preserve"> ir izbeigtas darījuma attiecības vai pieņemts lēmums par darījuma attiecību pārtraukšanu un kur</w:t>
      </w:r>
      <w:r>
        <w:rPr>
          <w:lang w:eastAsia="en-GB"/>
        </w:rPr>
        <w:t>ai</w:t>
      </w:r>
      <w:r w:rsidR="008E0CF5" w:rsidRPr="008E0CF5">
        <w:rPr>
          <w:lang w:eastAsia="en-GB"/>
        </w:rPr>
        <w:t xml:space="preserve"> ir </w:t>
      </w:r>
      <w:r w:rsidR="008E0CF5" w:rsidRPr="00AB7A0A">
        <w:rPr>
          <w:lang w:eastAsia="en-GB"/>
        </w:rPr>
        <w:t>nenokārtotas parādsaistības pret</w:t>
      </w:r>
      <w:r w:rsidR="008E0CF5" w:rsidRPr="008E0CF5">
        <w:rPr>
          <w:lang w:eastAsia="en-GB"/>
        </w:rPr>
        <w:t xml:space="preserve"> iestādi;</w:t>
      </w:r>
    </w:p>
    <w:p w14:paraId="67BB0EE6" w14:textId="4D47AB86" w:rsidR="008E0CF5" w:rsidRPr="008E0CF5" w:rsidRDefault="006520A2" w:rsidP="006E185B">
      <w:pPr>
        <w:pStyle w:val="NApunkts3"/>
        <w:rPr>
          <w:lang w:eastAsia="en-GB"/>
        </w:rPr>
      </w:pPr>
      <w:r>
        <w:rPr>
          <w:lang w:eastAsia="en-GB"/>
        </w:rPr>
        <w:t>personu</w:t>
      </w:r>
      <w:r w:rsidR="008E0CF5" w:rsidRPr="008E0CF5">
        <w:rPr>
          <w:lang w:eastAsia="en-GB"/>
        </w:rPr>
        <w:t>, ar kur</w:t>
      </w:r>
      <w:r>
        <w:rPr>
          <w:lang w:eastAsia="en-GB"/>
        </w:rPr>
        <w:t>u</w:t>
      </w:r>
      <w:r w:rsidR="008E0CF5" w:rsidRPr="008E0CF5">
        <w:rPr>
          <w:lang w:eastAsia="en-GB"/>
        </w:rPr>
        <w:t xml:space="preserve"> iestāde pēc savas iniciatīvas ir izbeigusi darījuma attiecības un ir slēgusi </w:t>
      </w:r>
      <w:r>
        <w:rPr>
          <w:lang w:eastAsia="en-GB"/>
        </w:rPr>
        <w:t xml:space="preserve">tai </w:t>
      </w:r>
      <w:r w:rsidR="008E0CF5" w:rsidRPr="008E0CF5">
        <w:rPr>
          <w:lang w:eastAsia="en-GB"/>
        </w:rPr>
        <w:t xml:space="preserve">visus kontus, kuros joprojām atrodas </w:t>
      </w:r>
      <w:r>
        <w:rPr>
          <w:lang w:eastAsia="en-GB"/>
        </w:rPr>
        <w:t>šīs personas</w:t>
      </w:r>
      <w:r w:rsidRPr="008E0CF5">
        <w:rPr>
          <w:lang w:eastAsia="en-GB"/>
        </w:rPr>
        <w:t xml:space="preserve"> </w:t>
      </w:r>
      <w:r w:rsidR="008E0CF5" w:rsidRPr="008E0CF5">
        <w:rPr>
          <w:lang w:eastAsia="en-GB"/>
        </w:rPr>
        <w:t>finanšu aktīvi (slēgtie konti ar atlikumu);</w:t>
      </w:r>
    </w:p>
    <w:p w14:paraId="0E3772A3" w14:textId="08818FDE" w:rsidR="008E0CF5" w:rsidRPr="008E0CF5" w:rsidRDefault="006520A2" w:rsidP="006E185B">
      <w:pPr>
        <w:pStyle w:val="NApunkts3"/>
        <w:rPr>
          <w:lang w:eastAsia="en-GB"/>
        </w:rPr>
      </w:pPr>
      <w:r>
        <w:rPr>
          <w:lang w:eastAsia="en-GB"/>
        </w:rPr>
        <w:t>personu</w:t>
      </w:r>
      <w:r w:rsidR="008E0CF5" w:rsidRPr="008E0CF5">
        <w:rPr>
          <w:lang w:eastAsia="en-GB"/>
        </w:rPr>
        <w:t>, kur</w:t>
      </w:r>
      <w:r>
        <w:rPr>
          <w:lang w:eastAsia="en-GB"/>
        </w:rPr>
        <w:t>ai</w:t>
      </w:r>
      <w:r w:rsidR="008E0CF5" w:rsidRPr="008E0CF5">
        <w:rPr>
          <w:lang w:eastAsia="en-GB"/>
        </w:rPr>
        <w:t xml:space="preserve"> iestādē ir atvērts pagaidu konts pamatkapitāla iemaksai;</w:t>
      </w:r>
    </w:p>
    <w:p w14:paraId="00358BF8" w14:textId="51E407AD" w:rsidR="008E0CF5" w:rsidRPr="008E0CF5" w:rsidRDefault="006520A2" w:rsidP="006E185B">
      <w:pPr>
        <w:pStyle w:val="NApunkts3"/>
        <w:rPr>
          <w:lang w:eastAsia="en-GB"/>
        </w:rPr>
      </w:pPr>
      <w:r>
        <w:rPr>
          <w:lang w:eastAsia="en-GB"/>
        </w:rPr>
        <w:t>personu</w:t>
      </w:r>
      <w:r w:rsidR="008E0CF5" w:rsidRPr="008E0CF5">
        <w:rPr>
          <w:lang w:eastAsia="en-GB"/>
        </w:rPr>
        <w:t>, kur</w:t>
      </w:r>
      <w:r>
        <w:rPr>
          <w:lang w:eastAsia="en-GB"/>
        </w:rPr>
        <w:t>as</w:t>
      </w:r>
      <w:r w:rsidR="008E0CF5" w:rsidRPr="008E0CF5">
        <w:rPr>
          <w:lang w:eastAsia="en-GB"/>
        </w:rPr>
        <w:t xml:space="preserve"> saistības iestāde ir pārņēmusi no citas iestādes, tai skaitā uz cesijas līguma pamata;</w:t>
      </w:r>
    </w:p>
    <w:p w14:paraId="214757C7" w14:textId="73BC6930" w:rsidR="008E0CF5" w:rsidRPr="008E0CF5" w:rsidRDefault="00936CB4" w:rsidP="006E185B">
      <w:pPr>
        <w:pStyle w:val="NApunkts2"/>
        <w:rPr>
          <w:lang w:eastAsia="en-GB"/>
        </w:rPr>
      </w:pPr>
      <w:r w:rsidRPr="000175D8">
        <w:rPr>
          <w:lang w:eastAsia="en-GB"/>
        </w:rPr>
        <w:t>paaugstināta riska jurisdikcija</w:t>
      </w:r>
      <w:r w:rsidR="00A15B59">
        <w:rPr>
          <w:lang w:eastAsia="en-GB"/>
        </w:rPr>
        <w:t> </w:t>
      </w:r>
      <w:r w:rsidR="00D656B3">
        <w:rPr>
          <w:lang w:eastAsia="en-GB"/>
        </w:rPr>
        <w:t>–</w:t>
      </w:r>
      <w:r w:rsidRPr="000175D8">
        <w:rPr>
          <w:lang w:eastAsia="en-GB"/>
        </w:rPr>
        <w:t xml:space="preserve"> </w:t>
      </w:r>
      <w:r w:rsidR="008E0CF5" w:rsidRPr="008E0CF5">
        <w:rPr>
          <w:lang w:eastAsia="en-GB"/>
        </w:rPr>
        <w:t>jurisdikcija</w:t>
      </w:r>
      <w:r w:rsidR="00861600">
        <w:rPr>
          <w:lang w:eastAsia="en-GB"/>
        </w:rPr>
        <w:t xml:space="preserve"> </w:t>
      </w:r>
      <w:r w:rsidR="00630A07" w:rsidRPr="006E185B">
        <w:rPr>
          <w:lang w:eastAsia="en-GB"/>
        </w:rPr>
        <w:t>Novēršanas likuma</w:t>
      </w:r>
      <w:r w:rsidR="00861600">
        <w:rPr>
          <w:lang w:eastAsia="en-GB"/>
        </w:rPr>
        <w:t xml:space="preserve"> </w:t>
      </w:r>
      <w:r w:rsidR="00630A07" w:rsidRPr="006E185B">
        <w:rPr>
          <w:lang w:eastAsia="en-GB"/>
        </w:rPr>
        <w:t>11.</w:t>
      </w:r>
      <w:r w:rsidR="00630A07" w:rsidRPr="006E185B">
        <w:rPr>
          <w:vertAlign w:val="superscript"/>
          <w:lang w:eastAsia="en-GB"/>
        </w:rPr>
        <w:t>1</w:t>
      </w:r>
      <w:r w:rsidR="00630A07" w:rsidRPr="006E185B">
        <w:rPr>
          <w:lang w:eastAsia="en-GB"/>
        </w:rPr>
        <w:t> panta</w:t>
      </w:r>
      <w:r w:rsidR="00861600">
        <w:rPr>
          <w:lang w:eastAsia="en-GB"/>
        </w:rPr>
        <w:t xml:space="preserve"> </w:t>
      </w:r>
      <w:r w:rsidR="008E0CF5" w:rsidRPr="008E0CF5">
        <w:rPr>
          <w:lang w:eastAsia="en-GB"/>
        </w:rPr>
        <w:t>trešās daļas 2.</w:t>
      </w:r>
      <w:r w:rsidR="00835974" w:rsidRPr="00435118">
        <w:t> </w:t>
      </w:r>
      <w:r w:rsidR="008E0CF5" w:rsidRPr="008E0CF5">
        <w:rPr>
          <w:lang w:eastAsia="en-GB"/>
        </w:rPr>
        <w:t>punkta izpratnē;</w:t>
      </w:r>
    </w:p>
    <w:p w14:paraId="48FF26FD" w14:textId="5B6A9BE4" w:rsidR="008E0CF5" w:rsidRPr="008E0CF5" w:rsidRDefault="008E0CF5" w:rsidP="006E185B">
      <w:pPr>
        <w:pStyle w:val="NApunkts2"/>
        <w:rPr>
          <w:lang w:eastAsia="en-GB"/>
        </w:rPr>
      </w:pPr>
      <w:r w:rsidRPr="008E0CF5">
        <w:rPr>
          <w:lang w:eastAsia="en-GB"/>
        </w:rPr>
        <w:t>NILLTPF risks</w:t>
      </w:r>
      <w:r w:rsidR="00A15B59">
        <w:rPr>
          <w:lang w:eastAsia="en-GB"/>
        </w:rPr>
        <w:t> </w:t>
      </w:r>
      <w:r w:rsidRPr="008E0CF5">
        <w:rPr>
          <w:lang w:eastAsia="en-GB"/>
        </w:rPr>
        <w:t xml:space="preserve">– ietekme un iespējamība, ka iestāde var tikt izmantota </w:t>
      </w:r>
      <w:r w:rsidR="00521F36" w:rsidRPr="00D051BC">
        <w:rPr>
          <w:lang w:eastAsia="en-GB"/>
        </w:rPr>
        <w:t>noziedzīgi iegūtu līdzekļu legalizāci</w:t>
      </w:r>
      <w:r w:rsidR="00521F36">
        <w:rPr>
          <w:lang w:eastAsia="en-GB"/>
        </w:rPr>
        <w:t>jā vai</w:t>
      </w:r>
      <w:r w:rsidR="00521F36" w:rsidRPr="00D051BC">
        <w:rPr>
          <w:lang w:eastAsia="en-GB"/>
        </w:rPr>
        <w:t xml:space="preserve"> terorisma </w:t>
      </w:r>
      <w:r w:rsidR="00521F36">
        <w:rPr>
          <w:lang w:eastAsia="en-GB"/>
        </w:rPr>
        <w:t>vai</w:t>
      </w:r>
      <w:r w:rsidR="00521F36" w:rsidRPr="00D051BC">
        <w:rPr>
          <w:lang w:eastAsia="en-GB"/>
        </w:rPr>
        <w:t xml:space="preserve"> proliferācijas finansēšan</w:t>
      </w:r>
      <w:r w:rsidR="00521F36">
        <w:rPr>
          <w:lang w:eastAsia="en-GB"/>
        </w:rPr>
        <w:t>ā</w:t>
      </w:r>
      <w:r w:rsidRPr="008E0CF5">
        <w:rPr>
          <w:lang w:eastAsia="en-GB"/>
        </w:rPr>
        <w:t>;</w:t>
      </w:r>
    </w:p>
    <w:p w14:paraId="7F879AE3" w14:textId="31155460" w:rsidR="008E0CF5" w:rsidRPr="008E0CF5" w:rsidRDefault="008E0CF5" w:rsidP="006E185B">
      <w:pPr>
        <w:pStyle w:val="NApunkts2"/>
        <w:rPr>
          <w:lang w:eastAsia="en-GB"/>
        </w:rPr>
      </w:pPr>
      <w:r w:rsidRPr="008E0CF5">
        <w:rPr>
          <w:lang w:eastAsia="en-GB"/>
        </w:rPr>
        <w:t>NILLTPF riska ekspozīcija</w:t>
      </w:r>
      <w:r w:rsidR="00A15B59">
        <w:rPr>
          <w:lang w:eastAsia="en-GB"/>
        </w:rPr>
        <w:t> </w:t>
      </w:r>
      <w:r w:rsidRPr="008E0CF5">
        <w:rPr>
          <w:lang w:eastAsia="en-GB"/>
        </w:rPr>
        <w:t>– NILLTPF riska, kuram ir pakļauta iestāde, ņemot vērā tās klientiem, produktiem un pakalpojumiem, to piegādes kanāliem un iestādes darbības ģeogrāfijai piemītošo NILLTPF risku, ietekme;</w:t>
      </w:r>
    </w:p>
    <w:p w14:paraId="104DF4A6" w14:textId="38D6DFEC" w:rsidR="008E0CF5" w:rsidRPr="008E0CF5" w:rsidRDefault="008E0CF5" w:rsidP="006E185B">
      <w:pPr>
        <w:pStyle w:val="NApunkts2"/>
        <w:rPr>
          <w:lang w:eastAsia="en-GB"/>
        </w:rPr>
      </w:pPr>
      <w:r w:rsidRPr="008E0CF5">
        <w:rPr>
          <w:lang w:eastAsia="en-GB"/>
        </w:rPr>
        <w:t>NILLTPF riska pārvaldīšanas stratēģija</w:t>
      </w:r>
      <w:r w:rsidR="00A15B59">
        <w:rPr>
          <w:lang w:eastAsia="en-GB"/>
        </w:rPr>
        <w:t> </w:t>
      </w:r>
      <w:r w:rsidRPr="008E0CF5">
        <w:rPr>
          <w:lang w:eastAsia="en-GB"/>
        </w:rPr>
        <w:t xml:space="preserve">– dokuments, kurā iestāde nosaka NILLTPF riska, </w:t>
      </w:r>
      <w:r w:rsidRPr="00AC5AB2">
        <w:rPr>
          <w:lang w:eastAsia="en-GB"/>
        </w:rPr>
        <w:t xml:space="preserve">kuru tā uzskata par iespējamu uzņemties, ekspozīciju, ņemot vērā tās darbības </w:t>
      </w:r>
      <w:r w:rsidRPr="008E0CF5">
        <w:rPr>
          <w:lang w:eastAsia="en-GB"/>
        </w:rPr>
        <w:t>stratēģiju un spēju pārvaldīt NILLTPF risku, kā arī nosaka prasības, kā iestāde nodrošina tās noteikto NILLTPF riska ekspozīcijas rādītāju maksimālo pieļaujamo robežvērtību nepārsniegšanu un NILLTPF riska pārvaldību;</w:t>
      </w:r>
    </w:p>
    <w:p w14:paraId="19AF334A" w14:textId="2E3A5A24" w:rsidR="008E0CF5" w:rsidRPr="008E0CF5" w:rsidRDefault="008E0CF5" w:rsidP="006E185B">
      <w:pPr>
        <w:pStyle w:val="NApunkts2"/>
        <w:rPr>
          <w:lang w:eastAsia="en-GB"/>
        </w:rPr>
      </w:pPr>
      <w:r w:rsidRPr="008E0CF5">
        <w:rPr>
          <w:lang w:eastAsia="en-GB"/>
        </w:rPr>
        <w:t>pakalpojum</w:t>
      </w:r>
      <w:r w:rsidR="00B91624">
        <w:rPr>
          <w:lang w:eastAsia="en-GB"/>
        </w:rPr>
        <w:t>i</w:t>
      </w:r>
      <w:r w:rsidRPr="008E0CF5">
        <w:rPr>
          <w:lang w:eastAsia="en-GB"/>
        </w:rPr>
        <w:t xml:space="preserve"> turīgiem klientiem</w:t>
      </w:r>
      <w:r w:rsidR="00A15B59">
        <w:rPr>
          <w:lang w:eastAsia="en-GB"/>
        </w:rPr>
        <w:t> </w:t>
      </w:r>
      <w:r w:rsidRPr="008E0CF5">
        <w:rPr>
          <w:lang w:eastAsia="en-GB"/>
        </w:rPr>
        <w:t>– finanšu pakalpojumi, k</w:t>
      </w:r>
      <w:r w:rsidR="009B07BE">
        <w:rPr>
          <w:lang w:eastAsia="en-GB"/>
        </w:rPr>
        <w:t>urus</w:t>
      </w:r>
      <w:r w:rsidRPr="008E0CF5">
        <w:rPr>
          <w:lang w:eastAsia="en-GB"/>
        </w:rPr>
        <w:t xml:space="preserve"> iestāde sniedz klientam</w:t>
      </w:r>
      <w:r w:rsidR="00630A07">
        <w:rPr>
          <w:lang w:eastAsia="en-GB"/>
        </w:rPr>
        <w:t>, kas ir</w:t>
      </w:r>
      <w:r w:rsidRPr="008E0CF5">
        <w:rPr>
          <w:lang w:eastAsia="en-GB"/>
        </w:rPr>
        <w:t xml:space="preserve"> fizisk</w:t>
      </w:r>
      <w:r w:rsidR="00630A07">
        <w:rPr>
          <w:lang w:eastAsia="en-GB"/>
        </w:rPr>
        <w:t>ā</w:t>
      </w:r>
      <w:r w:rsidRPr="008E0CF5">
        <w:rPr>
          <w:lang w:eastAsia="en-GB"/>
        </w:rPr>
        <w:t xml:space="preserve"> persona, ja </w:t>
      </w:r>
      <w:r w:rsidR="001C2237">
        <w:rPr>
          <w:lang w:eastAsia="en-GB"/>
        </w:rPr>
        <w:t xml:space="preserve">vienlaikus </w:t>
      </w:r>
      <w:r w:rsidRPr="008E0CF5">
        <w:rPr>
          <w:lang w:eastAsia="en-GB"/>
        </w:rPr>
        <w:t xml:space="preserve">ir izpildīti </w:t>
      </w:r>
      <w:r w:rsidR="001F0BAB">
        <w:rPr>
          <w:lang w:eastAsia="en-GB"/>
        </w:rPr>
        <w:t xml:space="preserve">šādi </w:t>
      </w:r>
      <w:r w:rsidRPr="008E0CF5">
        <w:rPr>
          <w:lang w:eastAsia="en-GB"/>
        </w:rPr>
        <w:t>nosacījumi:</w:t>
      </w:r>
    </w:p>
    <w:p w14:paraId="714F4D16" w14:textId="3CC45DF2" w:rsidR="008E0CF5" w:rsidRPr="008E0CF5" w:rsidRDefault="008E0CF5" w:rsidP="006E185B">
      <w:pPr>
        <w:pStyle w:val="NApunkts3"/>
        <w:rPr>
          <w:lang w:eastAsia="en-GB"/>
        </w:rPr>
      </w:pPr>
      <w:r w:rsidRPr="008E0CF5">
        <w:rPr>
          <w:lang w:eastAsia="en-GB"/>
        </w:rPr>
        <w:t>klienta</w:t>
      </w:r>
      <w:r w:rsidR="00E57F72">
        <w:rPr>
          <w:lang w:eastAsia="en-GB"/>
        </w:rPr>
        <w:t>, kas ir fiziskā persona,</w:t>
      </w:r>
      <w:r w:rsidRPr="008E0CF5">
        <w:rPr>
          <w:lang w:eastAsia="en-GB"/>
        </w:rPr>
        <w:t xml:space="preserve"> finanšu aktīvu apmērs pārskata ceturkšņa beigās sasniedz vismaz 500</w:t>
      </w:r>
      <w:r w:rsidR="00BE5998">
        <w:rPr>
          <w:lang w:eastAsia="en-GB"/>
        </w:rPr>
        <w:t> </w:t>
      </w:r>
      <w:r w:rsidRPr="008E0CF5">
        <w:rPr>
          <w:lang w:eastAsia="en-GB"/>
        </w:rPr>
        <w:t>000 </w:t>
      </w:r>
      <w:r w:rsidRPr="008E0CF5">
        <w:rPr>
          <w:i/>
          <w:iCs/>
          <w:lang w:eastAsia="en-GB"/>
        </w:rPr>
        <w:t>euro</w:t>
      </w:r>
      <w:r w:rsidR="00A15B59">
        <w:rPr>
          <w:lang w:eastAsia="en-GB"/>
        </w:rPr>
        <w:t xml:space="preserve"> </w:t>
      </w:r>
      <w:r w:rsidRPr="008E0CF5">
        <w:rPr>
          <w:lang w:eastAsia="en-GB"/>
        </w:rPr>
        <w:t>vai klienta faktiskais kredīta apgrozījums sasniedz vismaz 1</w:t>
      </w:r>
      <w:r w:rsidR="00DB6F4D">
        <w:rPr>
          <w:lang w:eastAsia="en-GB"/>
        </w:rPr>
        <w:t> </w:t>
      </w:r>
      <w:r w:rsidRPr="008E0CF5">
        <w:rPr>
          <w:lang w:eastAsia="en-GB"/>
        </w:rPr>
        <w:t>000</w:t>
      </w:r>
      <w:r w:rsidR="00DB6F4D">
        <w:rPr>
          <w:lang w:eastAsia="en-GB"/>
        </w:rPr>
        <w:t> </w:t>
      </w:r>
      <w:r w:rsidRPr="008E0CF5">
        <w:rPr>
          <w:lang w:eastAsia="en-GB"/>
        </w:rPr>
        <w:t>000 </w:t>
      </w:r>
      <w:r w:rsidRPr="008E0CF5">
        <w:rPr>
          <w:i/>
          <w:iCs/>
          <w:lang w:eastAsia="en-GB"/>
        </w:rPr>
        <w:t>euro</w:t>
      </w:r>
      <w:r w:rsidR="00A15B59">
        <w:rPr>
          <w:lang w:eastAsia="en-GB"/>
        </w:rPr>
        <w:t xml:space="preserve"> </w:t>
      </w:r>
      <w:r w:rsidRPr="008E0CF5">
        <w:rPr>
          <w:lang w:eastAsia="en-GB"/>
        </w:rPr>
        <w:t>gadā;</w:t>
      </w:r>
    </w:p>
    <w:p w14:paraId="0A4D2F78" w14:textId="59953B3B" w:rsidR="008E0CF5" w:rsidRPr="008E0CF5" w:rsidRDefault="008E0CF5" w:rsidP="006E185B">
      <w:pPr>
        <w:pStyle w:val="NApunkts3"/>
        <w:rPr>
          <w:lang w:eastAsia="en-GB"/>
        </w:rPr>
      </w:pPr>
      <w:r w:rsidRPr="008E0CF5">
        <w:rPr>
          <w:lang w:eastAsia="en-GB"/>
        </w:rPr>
        <w:t>iestāde sniedz klientam</w:t>
      </w:r>
      <w:r w:rsidR="00E57F72">
        <w:rPr>
          <w:lang w:eastAsia="en-GB"/>
        </w:rPr>
        <w:t>, kas ir fiziskā persona,</w:t>
      </w:r>
      <w:r w:rsidRPr="008E0CF5">
        <w:rPr>
          <w:lang w:eastAsia="en-GB"/>
        </w:rPr>
        <w:t xml:space="preserve"> vismaz vienu no šādiem pakalpojumiem:</w:t>
      </w:r>
    </w:p>
    <w:p w14:paraId="4E22C66A" w14:textId="33579F53" w:rsidR="008E0CF5" w:rsidRPr="008E0CF5" w:rsidRDefault="008E0CF5" w:rsidP="006E185B">
      <w:pPr>
        <w:pStyle w:val="NApunkts4"/>
        <w:rPr>
          <w:lang w:eastAsia="en-GB"/>
        </w:rPr>
      </w:pPr>
      <w:r w:rsidRPr="008E0CF5">
        <w:rPr>
          <w:lang w:eastAsia="en-GB"/>
        </w:rPr>
        <w:t>dārgmetālu konti;</w:t>
      </w:r>
    </w:p>
    <w:p w14:paraId="2722B6B6" w14:textId="1C3F74DE" w:rsidR="008E0CF5" w:rsidRPr="008E0CF5" w:rsidRDefault="008E0CF5" w:rsidP="006E185B">
      <w:pPr>
        <w:pStyle w:val="NApunkts4"/>
        <w:rPr>
          <w:lang w:eastAsia="en-GB"/>
        </w:rPr>
      </w:pPr>
      <w:r w:rsidRPr="008E0CF5">
        <w:rPr>
          <w:lang w:eastAsia="en-GB"/>
        </w:rPr>
        <w:t xml:space="preserve">fiduciārie darījumi, fiduciārais </w:t>
      </w:r>
      <w:r w:rsidR="00CC0CBA">
        <w:rPr>
          <w:lang w:eastAsia="en-GB"/>
        </w:rPr>
        <w:t>noguldījums</w:t>
      </w:r>
      <w:r w:rsidRPr="008E0CF5">
        <w:rPr>
          <w:lang w:eastAsia="en-GB"/>
        </w:rPr>
        <w:t xml:space="preserve"> vai fiduciārais kredīts;</w:t>
      </w:r>
    </w:p>
    <w:p w14:paraId="79C834A9" w14:textId="60AEA1EC" w:rsidR="008E0CF5" w:rsidRPr="008E0CF5" w:rsidRDefault="008E0CF5" w:rsidP="006E185B">
      <w:pPr>
        <w:pStyle w:val="NApunkts4"/>
        <w:rPr>
          <w:lang w:eastAsia="en-GB"/>
        </w:rPr>
      </w:pPr>
      <w:r w:rsidRPr="008E0CF5">
        <w:rPr>
          <w:lang w:eastAsia="en-GB"/>
        </w:rPr>
        <w:t>investīcijas, aktīvu pārvaldīšana un glabāšana, tai skaitā brokeru pakalpojumi, portfeļa pārvaldīšana klienta vārdā vai klienta paša iegādāto vērtspapīru portfe</w:t>
      </w:r>
      <w:r w:rsidR="009B07BE">
        <w:rPr>
          <w:lang w:eastAsia="en-GB"/>
        </w:rPr>
        <w:t>ļa</w:t>
      </w:r>
      <w:r w:rsidRPr="008E0CF5">
        <w:rPr>
          <w:lang w:eastAsia="en-GB"/>
        </w:rPr>
        <w:t xml:space="preserve"> </w:t>
      </w:r>
      <w:r w:rsidR="009B07BE">
        <w:rPr>
          <w:lang w:eastAsia="en-GB"/>
        </w:rPr>
        <w:t xml:space="preserve">pārvaldīšana </w:t>
      </w:r>
      <w:r w:rsidRPr="008E0CF5">
        <w:rPr>
          <w:lang w:eastAsia="en-GB"/>
        </w:rPr>
        <w:t>(</w:t>
      </w:r>
      <w:proofErr w:type="spellStart"/>
      <w:r w:rsidRPr="008E0CF5">
        <w:rPr>
          <w:i/>
          <w:iCs/>
          <w:lang w:eastAsia="en-GB"/>
        </w:rPr>
        <w:t>brokerage</w:t>
      </w:r>
      <w:proofErr w:type="spellEnd"/>
      <w:r w:rsidRPr="008E0CF5">
        <w:rPr>
          <w:i/>
          <w:iCs/>
          <w:lang w:eastAsia="en-GB"/>
        </w:rPr>
        <w:t xml:space="preserve"> </w:t>
      </w:r>
      <w:proofErr w:type="spellStart"/>
      <w:r w:rsidRPr="008E0CF5">
        <w:rPr>
          <w:i/>
          <w:iCs/>
          <w:lang w:eastAsia="en-GB"/>
        </w:rPr>
        <w:t>portfolio</w:t>
      </w:r>
      <w:proofErr w:type="spellEnd"/>
      <w:r w:rsidRPr="008E0CF5">
        <w:rPr>
          <w:lang w:eastAsia="en-GB"/>
        </w:rPr>
        <w:t>);</w:t>
      </w:r>
    </w:p>
    <w:p w14:paraId="109941B7" w14:textId="1DC3A3C9" w:rsidR="008E0CF5" w:rsidRPr="008E0CF5" w:rsidRDefault="008E0CF5" w:rsidP="006E185B">
      <w:pPr>
        <w:pStyle w:val="NApunkts4"/>
        <w:rPr>
          <w:lang w:eastAsia="en-GB"/>
        </w:rPr>
      </w:pPr>
      <w:r w:rsidRPr="008E0CF5">
        <w:rPr>
          <w:lang w:eastAsia="en-GB"/>
        </w:rPr>
        <w:t>seifi;</w:t>
      </w:r>
    </w:p>
    <w:p w14:paraId="627AC8F1" w14:textId="4219644C" w:rsidR="008E0CF5" w:rsidRPr="008E0CF5" w:rsidRDefault="008E0CF5" w:rsidP="006E185B">
      <w:pPr>
        <w:pStyle w:val="NApunkts4"/>
        <w:rPr>
          <w:lang w:eastAsia="en-GB"/>
        </w:rPr>
      </w:pPr>
      <w:r w:rsidRPr="008E0CF5">
        <w:rPr>
          <w:lang w:eastAsia="en-GB"/>
        </w:rPr>
        <w:t>uzticības operācijas (trasts);</w:t>
      </w:r>
    </w:p>
    <w:p w14:paraId="1B7BBFFC" w14:textId="4C8FBC85" w:rsidR="008E0CF5" w:rsidRPr="008E0CF5" w:rsidRDefault="008E0CF5" w:rsidP="006E185B">
      <w:pPr>
        <w:pStyle w:val="NApunkts4"/>
        <w:rPr>
          <w:lang w:eastAsia="en-GB"/>
        </w:rPr>
      </w:pPr>
      <w:r w:rsidRPr="008E0CF5">
        <w:rPr>
          <w:lang w:eastAsia="en-GB"/>
        </w:rPr>
        <w:t>citi līdzīgi pakalpojumi;</w:t>
      </w:r>
    </w:p>
    <w:p w14:paraId="7580F8BE" w14:textId="149BDCAF" w:rsidR="008E0CF5" w:rsidRPr="008E0CF5" w:rsidRDefault="008E0CF5" w:rsidP="006E185B">
      <w:pPr>
        <w:pStyle w:val="NApunkts2"/>
        <w:rPr>
          <w:lang w:eastAsia="en-GB"/>
        </w:rPr>
      </w:pPr>
      <w:r w:rsidRPr="008E0CF5">
        <w:rPr>
          <w:lang w:eastAsia="en-GB"/>
        </w:rPr>
        <w:t>pārējās valstis</w:t>
      </w:r>
      <w:r w:rsidR="00A15B59">
        <w:rPr>
          <w:lang w:eastAsia="en-GB"/>
        </w:rPr>
        <w:t> </w:t>
      </w:r>
      <w:r w:rsidRPr="008E0CF5">
        <w:rPr>
          <w:lang w:eastAsia="en-GB"/>
        </w:rPr>
        <w:t>– valstis, kas nav Eiropas Savienības dalībvalstis;</w:t>
      </w:r>
    </w:p>
    <w:p w14:paraId="6FD374D3" w14:textId="43C0CA12" w:rsidR="008E0CF5" w:rsidRPr="008E0CF5" w:rsidRDefault="008E0CF5" w:rsidP="006E185B">
      <w:pPr>
        <w:pStyle w:val="NApunkts2"/>
        <w:rPr>
          <w:lang w:eastAsia="en-GB"/>
        </w:rPr>
      </w:pPr>
      <w:r w:rsidRPr="008E0CF5">
        <w:rPr>
          <w:lang w:eastAsia="en-GB"/>
        </w:rPr>
        <w:t>rezidences (reģistrācijas) valsts kods</w:t>
      </w:r>
      <w:r w:rsidR="00A15B59">
        <w:rPr>
          <w:lang w:eastAsia="en-GB"/>
        </w:rPr>
        <w:t> </w:t>
      </w:r>
      <w:r w:rsidRPr="008E0CF5">
        <w:rPr>
          <w:lang w:eastAsia="en-GB"/>
        </w:rPr>
        <w:t xml:space="preserve">– jurisdikcijas, ar kuru klients ir saistīts, </w:t>
      </w:r>
      <w:r w:rsidR="00D50F3A">
        <w:rPr>
          <w:lang w:eastAsia="en-GB"/>
        </w:rPr>
        <w:t xml:space="preserve">valsts </w:t>
      </w:r>
      <w:r w:rsidRPr="008E0CF5">
        <w:rPr>
          <w:lang w:eastAsia="en-GB"/>
        </w:rPr>
        <w:t>kods</w:t>
      </w:r>
      <w:r w:rsidR="00D50F3A">
        <w:rPr>
          <w:lang w:eastAsia="en-GB"/>
        </w:rPr>
        <w:t xml:space="preserve"> saskaņā ar </w:t>
      </w:r>
      <w:r w:rsidR="00B74068" w:rsidRPr="00B74068">
        <w:rPr>
          <w:lang w:eastAsia="en-GB"/>
        </w:rPr>
        <w:t>starptautisko standartu ISO 3166 "Valstu un to administratīvi teritoriālā iedalījuma vienību nosaukumu kodi"</w:t>
      </w:r>
      <w:r w:rsidRPr="008E0CF5">
        <w:rPr>
          <w:lang w:eastAsia="en-GB"/>
        </w:rPr>
        <w:t>, kuru iestāde:</w:t>
      </w:r>
    </w:p>
    <w:p w14:paraId="1E35C0C2" w14:textId="02EFDF46" w:rsidR="008E0CF5" w:rsidRPr="008E0CF5" w:rsidRDefault="008E0CF5" w:rsidP="006E185B">
      <w:pPr>
        <w:pStyle w:val="NApunkts3"/>
        <w:rPr>
          <w:lang w:eastAsia="en-GB"/>
        </w:rPr>
      </w:pPr>
      <w:r w:rsidRPr="008E0CF5">
        <w:rPr>
          <w:lang w:eastAsia="en-GB"/>
        </w:rPr>
        <w:t>klientam</w:t>
      </w:r>
      <w:r w:rsidR="00D775C9">
        <w:rPr>
          <w:lang w:eastAsia="en-GB"/>
        </w:rPr>
        <w:t xml:space="preserve">, kas ir </w:t>
      </w:r>
      <w:r w:rsidRPr="008E0CF5">
        <w:rPr>
          <w:lang w:eastAsia="en-GB"/>
        </w:rPr>
        <w:t>fizisk</w:t>
      </w:r>
      <w:r w:rsidR="00D775C9">
        <w:rPr>
          <w:lang w:eastAsia="en-GB"/>
        </w:rPr>
        <w:t>ā</w:t>
      </w:r>
      <w:r w:rsidRPr="008E0CF5">
        <w:rPr>
          <w:lang w:eastAsia="en-GB"/>
        </w:rPr>
        <w:t xml:space="preserve"> persona</w:t>
      </w:r>
      <w:r w:rsidR="00D775C9">
        <w:rPr>
          <w:lang w:eastAsia="en-GB"/>
        </w:rPr>
        <w:t>,</w:t>
      </w:r>
      <w:r w:rsidRPr="008E0CF5">
        <w:rPr>
          <w:lang w:eastAsia="en-GB"/>
        </w:rPr>
        <w:t xml:space="preserve"> vai klienta</w:t>
      </w:r>
      <w:r w:rsidR="00D775C9">
        <w:rPr>
          <w:lang w:eastAsia="en-GB"/>
        </w:rPr>
        <w:t xml:space="preserve">, kas ir </w:t>
      </w:r>
      <w:r w:rsidRPr="008E0CF5">
        <w:rPr>
          <w:lang w:eastAsia="en-GB"/>
        </w:rPr>
        <w:t>juridisk</w:t>
      </w:r>
      <w:r w:rsidR="00D775C9">
        <w:rPr>
          <w:lang w:eastAsia="en-GB"/>
        </w:rPr>
        <w:t>ā</w:t>
      </w:r>
      <w:r w:rsidRPr="008E0CF5">
        <w:rPr>
          <w:lang w:eastAsia="en-GB"/>
        </w:rPr>
        <w:t xml:space="preserve"> persona</w:t>
      </w:r>
      <w:r w:rsidR="00D775C9">
        <w:rPr>
          <w:lang w:eastAsia="en-GB"/>
        </w:rPr>
        <w:t>,</w:t>
      </w:r>
      <w:r w:rsidRPr="008E0CF5">
        <w:rPr>
          <w:lang w:eastAsia="en-GB"/>
        </w:rPr>
        <w:t xml:space="preserve"> </w:t>
      </w:r>
      <w:r w:rsidR="00AC2349" w:rsidRPr="008E0CF5">
        <w:rPr>
          <w:lang w:eastAsia="en-GB"/>
        </w:rPr>
        <w:t>paties</w:t>
      </w:r>
      <w:r w:rsidR="00AC2349">
        <w:rPr>
          <w:lang w:eastAsia="en-GB"/>
        </w:rPr>
        <w:t>ajam</w:t>
      </w:r>
      <w:r w:rsidR="00AC2349" w:rsidRPr="008E0CF5">
        <w:rPr>
          <w:lang w:eastAsia="en-GB"/>
        </w:rPr>
        <w:t xml:space="preserve"> labuma guvēj</w:t>
      </w:r>
      <w:r w:rsidR="00AC2349">
        <w:rPr>
          <w:lang w:eastAsia="en-GB"/>
        </w:rPr>
        <w:t>am</w:t>
      </w:r>
      <w:r w:rsidRPr="008E0CF5">
        <w:rPr>
          <w:lang w:eastAsia="en-GB"/>
        </w:rPr>
        <w:t xml:space="preserve"> nosaka atbilstoši šādai prioritātei:</w:t>
      </w:r>
    </w:p>
    <w:p w14:paraId="0F30A0EE" w14:textId="290E8FF8" w:rsidR="008E0CF5" w:rsidRPr="008E0CF5" w:rsidRDefault="008E0CF5" w:rsidP="006E185B">
      <w:pPr>
        <w:pStyle w:val="NApunkts4"/>
        <w:rPr>
          <w:lang w:eastAsia="en-GB"/>
        </w:rPr>
      </w:pPr>
      <w:r w:rsidRPr="008E0CF5">
        <w:rPr>
          <w:lang w:eastAsia="en-GB"/>
        </w:rPr>
        <w:t>pastāvīgās vai deklarētās dzīvesvietas valsts;</w:t>
      </w:r>
    </w:p>
    <w:p w14:paraId="579A84C1" w14:textId="123CE9A0" w:rsidR="008E0CF5" w:rsidRPr="008E0CF5" w:rsidRDefault="008E0CF5" w:rsidP="006E185B">
      <w:pPr>
        <w:pStyle w:val="NApunkts4"/>
        <w:rPr>
          <w:lang w:eastAsia="en-GB"/>
        </w:rPr>
      </w:pPr>
      <w:r w:rsidRPr="008E0CF5">
        <w:rPr>
          <w:lang w:eastAsia="en-GB"/>
        </w:rPr>
        <w:t>nodokļu rezidences valsts;</w:t>
      </w:r>
    </w:p>
    <w:p w14:paraId="5DE3C617" w14:textId="0AD725CB" w:rsidR="008E0CF5" w:rsidRPr="008E0CF5" w:rsidRDefault="008E0CF5" w:rsidP="006E185B">
      <w:pPr>
        <w:pStyle w:val="NApunkts4"/>
        <w:rPr>
          <w:lang w:eastAsia="en-GB"/>
        </w:rPr>
      </w:pPr>
      <w:r w:rsidRPr="008E0CF5">
        <w:rPr>
          <w:lang w:eastAsia="en-GB"/>
        </w:rPr>
        <w:t>valstspiederība (pilsonības valsts) vai pavalstniecība;</w:t>
      </w:r>
    </w:p>
    <w:p w14:paraId="1CA45ECD" w14:textId="1B3FB3FC" w:rsidR="00A833B0" w:rsidRDefault="008E0CF5" w:rsidP="006E185B">
      <w:pPr>
        <w:pStyle w:val="NApunkts3"/>
        <w:rPr>
          <w:lang w:eastAsia="en-GB"/>
        </w:rPr>
      </w:pPr>
      <w:r w:rsidRPr="008E0CF5">
        <w:rPr>
          <w:lang w:eastAsia="en-GB"/>
        </w:rPr>
        <w:t>klientam</w:t>
      </w:r>
      <w:r w:rsidR="00D775C9">
        <w:rPr>
          <w:lang w:eastAsia="en-GB"/>
        </w:rPr>
        <w:t>, kas</w:t>
      </w:r>
      <w:r w:rsidRPr="008E0CF5">
        <w:rPr>
          <w:lang w:eastAsia="en-GB"/>
        </w:rPr>
        <w:t xml:space="preserve"> </w:t>
      </w:r>
      <w:r w:rsidR="00D775C9">
        <w:rPr>
          <w:lang w:eastAsia="en-GB"/>
        </w:rPr>
        <w:t xml:space="preserve">ir </w:t>
      </w:r>
      <w:r w:rsidRPr="008E0CF5">
        <w:rPr>
          <w:lang w:eastAsia="en-GB"/>
        </w:rPr>
        <w:t>juridisk</w:t>
      </w:r>
      <w:r w:rsidR="00D775C9">
        <w:rPr>
          <w:lang w:eastAsia="en-GB"/>
        </w:rPr>
        <w:t>ā</w:t>
      </w:r>
      <w:r w:rsidRPr="008E0CF5">
        <w:rPr>
          <w:lang w:eastAsia="en-GB"/>
        </w:rPr>
        <w:t xml:space="preserve"> persona, juridisk</w:t>
      </w:r>
      <w:r w:rsidR="00D775C9">
        <w:rPr>
          <w:lang w:eastAsia="en-GB"/>
        </w:rPr>
        <w:t>s</w:t>
      </w:r>
      <w:r w:rsidRPr="008E0CF5">
        <w:rPr>
          <w:lang w:eastAsia="en-GB"/>
        </w:rPr>
        <w:t xml:space="preserve"> veidojum</w:t>
      </w:r>
      <w:r w:rsidR="00D775C9">
        <w:rPr>
          <w:lang w:eastAsia="en-GB"/>
        </w:rPr>
        <w:t>s</w:t>
      </w:r>
      <w:r w:rsidR="00702B59">
        <w:rPr>
          <w:lang w:eastAsia="en-GB"/>
        </w:rPr>
        <w:t>,</w:t>
      </w:r>
      <w:r w:rsidRPr="008E0CF5">
        <w:rPr>
          <w:lang w:eastAsia="en-GB"/>
        </w:rPr>
        <w:t xml:space="preserve"> šādu personu apvienība vai veidojumu apvienība</w:t>
      </w:r>
      <w:r w:rsidR="00F32446">
        <w:rPr>
          <w:lang w:eastAsia="en-GB"/>
        </w:rPr>
        <w:t>,</w:t>
      </w:r>
      <w:r w:rsidRPr="008E0CF5">
        <w:rPr>
          <w:lang w:eastAsia="en-GB"/>
        </w:rPr>
        <w:t xml:space="preserve"> nosaka atbilstoši tā reģistrācijas valstij</w:t>
      </w:r>
      <w:r w:rsidR="00A833B0">
        <w:rPr>
          <w:lang w:eastAsia="en-GB"/>
        </w:rPr>
        <w:t>;</w:t>
      </w:r>
    </w:p>
    <w:p w14:paraId="40E5641A" w14:textId="1E99F4B5" w:rsidR="00722C79" w:rsidRDefault="00A833B0" w:rsidP="006E185B">
      <w:pPr>
        <w:pStyle w:val="NApunkts2"/>
        <w:rPr>
          <w:lang w:eastAsia="en-GB"/>
        </w:rPr>
      </w:pPr>
      <w:r>
        <w:rPr>
          <w:lang w:eastAsia="en-GB"/>
        </w:rPr>
        <w:lastRenderedPageBreak/>
        <w:t>grupas konts</w:t>
      </w:r>
      <w:r w:rsidR="00A15B59">
        <w:rPr>
          <w:lang w:eastAsia="en-GB"/>
        </w:rPr>
        <w:t> </w:t>
      </w:r>
      <w:r>
        <w:rPr>
          <w:lang w:eastAsia="en-GB"/>
        </w:rPr>
        <w:t xml:space="preserve">– kredītiestādes pakalpojums, kas </w:t>
      </w:r>
      <w:r w:rsidRPr="00A833B0">
        <w:rPr>
          <w:lang w:eastAsia="en-GB"/>
        </w:rPr>
        <w:t xml:space="preserve">ir paredzēts </w:t>
      </w:r>
      <w:r>
        <w:rPr>
          <w:lang w:eastAsia="en-GB"/>
        </w:rPr>
        <w:t>klientu</w:t>
      </w:r>
      <w:r w:rsidRPr="00A833B0">
        <w:rPr>
          <w:lang w:eastAsia="en-GB"/>
        </w:rPr>
        <w:t xml:space="preserve"> grupai, lai gūtu pilnīgu pārskatu par grupas finan</w:t>
      </w:r>
      <w:r w:rsidR="00F32446">
        <w:rPr>
          <w:lang w:eastAsia="en-GB"/>
        </w:rPr>
        <w:t>siālo</w:t>
      </w:r>
      <w:r w:rsidRPr="00A833B0">
        <w:rPr>
          <w:lang w:eastAsia="en-GB"/>
        </w:rPr>
        <w:t xml:space="preserve"> stāvokli un efektīvi izmantotu grupas apgrozāmos līdzekļus.</w:t>
      </w:r>
    </w:p>
    <w:p w14:paraId="119B8612" w14:textId="1BD575AA" w:rsidR="005631DD" w:rsidRDefault="00406D1B" w:rsidP="004E0445">
      <w:pPr>
        <w:pStyle w:val="NAnodala"/>
      </w:pPr>
      <w:bookmarkStart w:id="1" w:name="p4"/>
      <w:bookmarkStart w:id="2" w:name="p-1167991"/>
      <w:bookmarkStart w:id="3" w:name="p5"/>
      <w:bookmarkStart w:id="4" w:name="p-1167992"/>
      <w:bookmarkEnd w:id="1"/>
      <w:bookmarkEnd w:id="2"/>
      <w:bookmarkEnd w:id="3"/>
      <w:bookmarkEnd w:id="4"/>
      <w:r>
        <w:t>2.</w:t>
      </w:r>
      <w:r w:rsidRPr="00406D1B">
        <w:t xml:space="preserve"> </w:t>
      </w:r>
      <w:r w:rsidR="00722C79" w:rsidRPr="00722C79">
        <w:t>NILLTPF riska pārvaldīšana</w:t>
      </w:r>
      <w:r w:rsidR="00E87B1E">
        <w:t xml:space="preserve"> </w:t>
      </w:r>
      <w:r w:rsidR="00722C79" w:rsidRPr="00722C79">
        <w:t>un NILLTPF riska pārvaldīšanas iekšējās kontroles sistēma</w:t>
      </w:r>
    </w:p>
    <w:p w14:paraId="64459D5E" w14:textId="696237D9" w:rsidR="00857100" w:rsidRPr="00884B05" w:rsidRDefault="00857100" w:rsidP="004E0445">
      <w:pPr>
        <w:pStyle w:val="NAapaksnodala"/>
        <w:numPr>
          <w:ilvl w:val="0"/>
          <w:numId w:val="0"/>
        </w:numPr>
      </w:pPr>
      <w:r w:rsidRPr="00884B05">
        <w:t xml:space="preserve">2.1. Vispārējās </w:t>
      </w:r>
      <w:r w:rsidRPr="004E0445">
        <w:t>prasības</w:t>
      </w:r>
    </w:p>
    <w:p w14:paraId="2295F2E6" w14:textId="7A999039" w:rsidR="00884B05" w:rsidRPr="00817AA4" w:rsidRDefault="00884B05" w:rsidP="006E185B">
      <w:pPr>
        <w:pStyle w:val="NApunkts1"/>
        <w:shd w:val="clear" w:color="auto" w:fill="FFFFFF"/>
        <w:tabs>
          <w:tab w:val="left" w:pos="284"/>
          <w:tab w:val="left" w:pos="426"/>
        </w:tabs>
        <w:ind w:left="0" w:firstLine="0"/>
        <w:rPr>
          <w:lang w:eastAsia="en-GB"/>
        </w:rPr>
      </w:pPr>
      <w:r w:rsidRPr="00817AA4">
        <w:rPr>
          <w:lang w:eastAsia="en-GB"/>
        </w:rPr>
        <w:t>Iestāde iekšējās kontroles sistēmas ietvaros veic NILLTPF riska izvērtēšanu un izveido, uztur un attīsta savai saimnieciskajai darbībai piemērotu NILLTPF riska pārvaldīšanas iekšējās kontroles sistēmu</w:t>
      </w:r>
      <w:r w:rsidR="002B7BCF" w:rsidRPr="00817AA4">
        <w:rPr>
          <w:lang w:eastAsia="en-GB"/>
        </w:rPr>
        <w:t>. Kredītiestāde izveido un uztur NILLTPF riska pārvaldīšanas stratēģiju atbilstoši šo noteikumu 1</w:t>
      </w:r>
      <w:r w:rsidR="006A2F2C" w:rsidRPr="00817AA4">
        <w:rPr>
          <w:lang w:eastAsia="en-GB"/>
        </w:rPr>
        <w:t>7</w:t>
      </w:r>
      <w:r w:rsidR="002B7BCF" w:rsidRPr="00817AA4">
        <w:rPr>
          <w:lang w:eastAsia="en-GB"/>
        </w:rPr>
        <w:t>.</w:t>
      </w:r>
      <w:r w:rsidR="00835974" w:rsidRPr="00435118">
        <w:t> </w:t>
      </w:r>
      <w:r w:rsidR="002B7BCF" w:rsidRPr="00817AA4">
        <w:rPr>
          <w:lang w:eastAsia="en-GB"/>
        </w:rPr>
        <w:t xml:space="preserve">punkta prasībām. </w:t>
      </w:r>
      <w:r w:rsidR="00C20687" w:rsidRPr="00817AA4">
        <w:rPr>
          <w:lang w:eastAsia="en-GB"/>
        </w:rPr>
        <w:t>Iestāde, kas nav kredītiestāde</w:t>
      </w:r>
      <w:r w:rsidR="001F0BAB" w:rsidRPr="00817AA4">
        <w:rPr>
          <w:lang w:eastAsia="en-GB"/>
        </w:rPr>
        <w:t>,</w:t>
      </w:r>
      <w:r w:rsidR="00C20687" w:rsidRPr="00817AA4">
        <w:rPr>
          <w:lang w:eastAsia="en-GB"/>
        </w:rPr>
        <w:t xml:space="preserve"> ja tai piemīt paaugstināts NILLTPF risks, izveido un uztur NILLTPF riska pārvaldīšanas stratēģiju, ietverot</w:t>
      </w:r>
      <w:r w:rsidR="00702B59">
        <w:rPr>
          <w:lang w:eastAsia="en-GB"/>
        </w:rPr>
        <w:t xml:space="preserve"> tajā</w:t>
      </w:r>
      <w:r w:rsidR="00C20687" w:rsidRPr="00817AA4">
        <w:rPr>
          <w:lang w:eastAsia="en-GB"/>
        </w:rPr>
        <w:t xml:space="preserve"> šo noteikumu 17.</w:t>
      </w:r>
      <w:r w:rsidR="00835974" w:rsidRPr="00435118">
        <w:t> </w:t>
      </w:r>
      <w:r w:rsidR="00C20687" w:rsidRPr="00817AA4">
        <w:rPr>
          <w:lang w:eastAsia="en-GB"/>
        </w:rPr>
        <w:t>punkta prasības</w:t>
      </w:r>
      <w:r w:rsidR="00EB2779" w:rsidRPr="00817AA4">
        <w:rPr>
          <w:lang w:eastAsia="en-GB"/>
        </w:rPr>
        <w:t xml:space="preserve"> apjomā, kas</w:t>
      </w:r>
      <w:r w:rsidR="00C20687" w:rsidRPr="00817AA4">
        <w:rPr>
          <w:lang w:eastAsia="en-GB"/>
        </w:rPr>
        <w:t xml:space="preserve"> atbilst iestādes darbības specifikai un</w:t>
      </w:r>
      <w:r w:rsidR="00F32446">
        <w:rPr>
          <w:lang w:eastAsia="en-GB"/>
        </w:rPr>
        <w:t xml:space="preserve"> tai</w:t>
      </w:r>
      <w:r w:rsidR="00C20687" w:rsidRPr="00817AA4">
        <w:rPr>
          <w:lang w:eastAsia="en-GB"/>
        </w:rPr>
        <w:t xml:space="preserve"> piemītošajam NILLTPF riskam.</w:t>
      </w:r>
    </w:p>
    <w:p w14:paraId="0DE3E92C" w14:textId="74F23231" w:rsidR="00884B05" w:rsidRDefault="00884B05" w:rsidP="006E185B">
      <w:pPr>
        <w:pStyle w:val="NApunkts1"/>
        <w:shd w:val="clear" w:color="auto" w:fill="FFFFFF"/>
        <w:tabs>
          <w:tab w:val="left" w:pos="284"/>
          <w:tab w:val="left" w:pos="426"/>
        </w:tabs>
        <w:ind w:left="0" w:firstLine="0"/>
        <w:rPr>
          <w:lang w:eastAsia="en-GB"/>
        </w:rPr>
      </w:pPr>
      <w:r w:rsidRPr="00722C79">
        <w:rPr>
          <w:lang w:eastAsia="en-GB"/>
        </w:rPr>
        <w:t xml:space="preserve">Pirms jauna finanšu pakalpojuma ieviešanas vai būtiskas finanšu pakalpojuma sniegšanas kārtības grozīšanas vai pirms finanšu pakalpojuma sniegšanas jaunai klientu mērķauditorijai iestāde izvērtē šiem pakalpojumiem, klientiem un valstīm, ar kurām tie saistīti, piemītošo NILLTPF risku </w:t>
      </w:r>
      <w:r w:rsidR="00E87B1E">
        <w:rPr>
          <w:lang w:eastAsia="en-GB"/>
        </w:rPr>
        <w:t>un</w:t>
      </w:r>
      <w:r w:rsidR="00BE5998">
        <w:rPr>
          <w:lang w:eastAsia="en-GB"/>
        </w:rPr>
        <w:t xml:space="preserve"> </w:t>
      </w:r>
      <w:r w:rsidRPr="00722C79">
        <w:rPr>
          <w:lang w:eastAsia="en-GB"/>
        </w:rPr>
        <w:t>izvērtē nepieciešamību izstrādāt jaunas šo finanšu pakalpojumu NILLTPF riska pārvaldīšanas politikas un procedūras vai veikt grozījumus spēkā esošajās politikās un procedūrās.</w:t>
      </w:r>
    </w:p>
    <w:p w14:paraId="7E9F26C7" w14:textId="66324B12" w:rsidR="00884B05" w:rsidRPr="00722C79" w:rsidRDefault="00884B05" w:rsidP="006E185B">
      <w:pPr>
        <w:pStyle w:val="NApunkts1"/>
        <w:shd w:val="clear" w:color="auto" w:fill="FFFFFF"/>
        <w:tabs>
          <w:tab w:val="left" w:pos="284"/>
          <w:tab w:val="left" w:pos="426"/>
        </w:tabs>
        <w:ind w:left="0" w:firstLine="0"/>
        <w:rPr>
          <w:lang w:eastAsia="en-GB"/>
        </w:rPr>
      </w:pPr>
      <w:r>
        <w:rPr>
          <w:lang w:eastAsia="en-GB"/>
        </w:rPr>
        <w:t>I</w:t>
      </w:r>
      <w:r w:rsidRPr="00722C79">
        <w:rPr>
          <w:lang w:eastAsia="en-GB"/>
        </w:rPr>
        <w:t xml:space="preserve">estāde regulāri izvērtē un nodrošina NILLTPF riska pārvaldīšanas iekšējās kontroles sistēmā konstatēto trūkumu novēršanu </w:t>
      </w:r>
      <w:r w:rsidR="002B7BCF">
        <w:rPr>
          <w:lang w:eastAsia="en-GB"/>
        </w:rPr>
        <w:t>iestādes</w:t>
      </w:r>
      <w:r w:rsidRPr="00722C79">
        <w:rPr>
          <w:lang w:eastAsia="en-GB"/>
        </w:rPr>
        <w:t xml:space="preserve"> darbībā, tai skaitā attiecībā uz tādiem finanšu pakalpojumiem, kuru nosacījumi tiek būtiski mainīti.</w:t>
      </w:r>
    </w:p>
    <w:p w14:paraId="18E22877" w14:textId="14F19C8E" w:rsidR="005631DD" w:rsidRDefault="00884B05" w:rsidP="006E185B">
      <w:pPr>
        <w:pStyle w:val="NApunkts1"/>
        <w:shd w:val="clear" w:color="auto" w:fill="FFFFFF"/>
        <w:tabs>
          <w:tab w:val="left" w:pos="284"/>
          <w:tab w:val="left" w:pos="426"/>
        </w:tabs>
        <w:ind w:left="0" w:firstLine="0"/>
        <w:rPr>
          <w:lang w:eastAsia="en-GB"/>
        </w:rPr>
      </w:pPr>
      <w:bookmarkStart w:id="5" w:name="p-1167995"/>
      <w:bookmarkEnd w:id="5"/>
      <w:r>
        <w:rPr>
          <w:lang w:eastAsia="en-GB"/>
        </w:rPr>
        <w:t>I</w:t>
      </w:r>
      <w:r w:rsidR="005631DD" w:rsidRPr="005631DD">
        <w:rPr>
          <w:lang w:eastAsia="en-GB"/>
        </w:rPr>
        <w:t>estāde nodrošina NILLTPF riska pārvaldīšanu nepārtraukti visā tās darbības laikā, ņemot vērā tā mijiedarbību ar citiem iestādes darbībai piemītošajiem riskiem.</w:t>
      </w:r>
    </w:p>
    <w:p w14:paraId="0EAFBCCA" w14:textId="3B011A86" w:rsidR="005631DD" w:rsidRDefault="00884B05" w:rsidP="006E185B">
      <w:pPr>
        <w:pStyle w:val="NApunkts1"/>
        <w:shd w:val="clear" w:color="auto" w:fill="FFFFFF"/>
        <w:tabs>
          <w:tab w:val="left" w:pos="284"/>
          <w:tab w:val="left" w:pos="426"/>
        </w:tabs>
        <w:ind w:left="0" w:firstLine="0"/>
        <w:rPr>
          <w:lang w:eastAsia="en-GB"/>
        </w:rPr>
      </w:pPr>
      <w:bookmarkStart w:id="6" w:name="p-1167996"/>
      <w:bookmarkEnd w:id="6"/>
      <w:r>
        <w:rPr>
          <w:lang w:eastAsia="en-GB"/>
        </w:rPr>
        <w:t>I</w:t>
      </w:r>
      <w:r w:rsidR="005631DD" w:rsidRPr="005631DD">
        <w:rPr>
          <w:lang w:eastAsia="en-GB"/>
        </w:rPr>
        <w:t>estāde nodrošina visu NILLTPF riska pārvaldīšanas pasākumu izpildi pilnā ap</w:t>
      </w:r>
      <w:r w:rsidR="001670E7">
        <w:rPr>
          <w:lang w:eastAsia="en-GB"/>
        </w:rPr>
        <w:t>jom</w:t>
      </w:r>
      <w:r w:rsidR="005631DD" w:rsidRPr="005631DD">
        <w:rPr>
          <w:lang w:eastAsia="en-GB"/>
        </w:rPr>
        <w:t>ā attiecībā uz visiem klientiem, tai skaitā klientiem, kas ir ar iestādi saistīt</w:t>
      </w:r>
      <w:r w:rsidR="00206772">
        <w:rPr>
          <w:lang w:eastAsia="en-GB"/>
        </w:rPr>
        <w:t>a</w:t>
      </w:r>
      <w:r w:rsidR="005631DD" w:rsidRPr="005631DD">
        <w:rPr>
          <w:lang w:eastAsia="en-GB"/>
        </w:rPr>
        <w:t>s personas.</w:t>
      </w:r>
    </w:p>
    <w:p w14:paraId="120013B3" w14:textId="1D0B5F74" w:rsidR="00857100" w:rsidRDefault="00857100" w:rsidP="00884B05">
      <w:pPr>
        <w:pStyle w:val="NAapaksnodala"/>
        <w:numPr>
          <w:ilvl w:val="0"/>
          <w:numId w:val="0"/>
        </w:numPr>
        <w:rPr>
          <w:bCs/>
        </w:rPr>
      </w:pPr>
      <w:r w:rsidRPr="00681AAF">
        <w:rPr>
          <w:bCs/>
        </w:rPr>
        <w:t xml:space="preserve">2.2. </w:t>
      </w:r>
      <w:r w:rsidR="00884B05">
        <w:rPr>
          <w:bCs/>
        </w:rPr>
        <w:t>I</w:t>
      </w:r>
      <w:r w:rsidR="00884B05">
        <w:t xml:space="preserve">estādes </w:t>
      </w:r>
      <w:r w:rsidR="00884B05" w:rsidRPr="000175D8">
        <w:rPr>
          <w:bCs/>
        </w:rPr>
        <w:t>amatpersonu un darbinieku atbildība</w:t>
      </w:r>
    </w:p>
    <w:p w14:paraId="501F11B7" w14:textId="377717C8" w:rsidR="000C46F2" w:rsidRDefault="009174B7" w:rsidP="006E185B">
      <w:pPr>
        <w:pStyle w:val="NApunkts1"/>
        <w:shd w:val="clear" w:color="auto" w:fill="FFFFFF"/>
        <w:tabs>
          <w:tab w:val="left" w:pos="284"/>
          <w:tab w:val="left" w:pos="426"/>
        </w:tabs>
        <w:ind w:left="0" w:firstLine="0"/>
        <w:rPr>
          <w:lang w:eastAsia="en-GB"/>
        </w:rPr>
      </w:pPr>
      <w:r>
        <w:rPr>
          <w:lang w:eastAsia="en-GB"/>
        </w:rPr>
        <w:t>Iestādes p</w:t>
      </w:r>
      <w:r w:rsidR="00121747">
        <w:rPr>
          <w:lang w:eastAsia="en-GB"/>
        </w:rPr>
        <w:t>a</w:t>
      </w:r>
      <w:r w:rsidR="00884B05" w:rsidRPr="006F3F44">
        <w:rPr>
          <w:lang w:eastAsia="en-GB"/>
        </w:rPr>
        <w:t>dome</w:t>
      </w:r>
      <w:r w:rsidR="00884B05">
        <w:rPr>
          <w:lang w:eastAsia="en-GB"/>
        </w:rPr>
        <w:t>, ja tāda izveidota</w:t>
      </w:r>
      <w:r w:rsidR="00121747">
        <w:rPr>
          <w:lang w:eastAsia="en-GB"/>
        </w:rPr>
        <w:t xml:space="preserve"> atbilstoši iestādes saimnieciskās darbības apmēram un būtībai</w:t>
      </w:r>
      <w:r w:rsidR="00884B05">
        <w:rPr>
          <w:lang w:eastAsia="en-GB"/>
        </w:rPr>
        <w:t xml:space="preserve">, </w:t>
      </w:r>
      <w:r w:rsidR="00884B05" w:rsidRPr="001C0328">
        <w:rPr>
          <w:lang w:eastAsia="en-GB"/>
        </w:rPr>
        <w:t xml:space="preserve">pārrauga, kā </w:t>
      </w:r>
      <w:r w:rsidR="00884B05">
        <w:rPr>
          <w:lang w:eastAsia="en-GB"/>
        </w:rPr>
        <w:t xml:space="preserve">iestādes </w:t>
      </w:r>
      <w:r w:rsidR="00884B05" w:rsidRPr="001C0328">
        <w:rPr>
          <w:lang w:eastAsia="en-GB"/>
        </w:rPr>
        <w:t xml:space="preserve">valde </w:t>
      </w:r>
      <w:r w:rsidR="00D20E94">
        <w:rPr>
          <w:lang w:eastAsia="en-GB"/>
        </w:rPr>
        <w:t xml:space="preserve">vai augstākā vadība </w:t>
      </w:r>
      <w:r w:rsidR="00884B05" w:rsidRPr="001C0328">
        <w:rPr>
          <w:lang w:eastAsia="en-GB"/>
        </w:rPr>
        <w:t>nodrošina NILLTPF riska pārvaldīšanu</w:t>
      </w:r>
      <w:r w:rsidR="00B91624">
        <w:rPr>
          <w:lang w:eastAsia="en-GB"/>
        </w:rPr>
        <w:t>.</w:t>
      </w:r>
    </w:p>
    <w:p w14:paraId="06CA756F" w14:textId="74734888" w:rsidR="00884B05" w:rsidRDefault="00B91624" w:rsidP="006E185B">
      <w:pPr>
        <w:pStyle w:val="NApunkts1"/>
        <w:shd w:val="clear" w:color="auto" w:fill="FFFFFF"/>
        <w:tabs>
          <w:tab w:val="left" w:pos="284"/>
          <w:tab w:val="left" w:pos="426"/>
        </w:tabs>
        <w:ind w:left="0" w:firstLine="0"/>
        <w:rPr>
          <w:lang w:eastAsia="en-GB"/>
        </w:rPr>
      </w:pPr>
      <w:r>
        <w:rPr>
          <w:lang w:eastAsia="en-GB"/>
        </w:rPr>
        <w:t>I</w:t>
      </w:r>
      <w:r w:rsidR="000C46F2">
        <w:rPr>
          <w:lang w:eastAsia="en-GB"/>
        </w:rPr>
        <w:t>estādes padome</w:t>
      </w:r>
      <w:r w:rsidR="00000B7A">
        <w:rPr>
          <w:lang w:eastAsia="en-GB"/>
        </w:rPr>
        <w:t xml:space="preserve">, </w:t>
      </w:r>
      <w:r w:rsidR="00000B7A" w:rsidRPr="001C0328">
        <w:rPr>
          <w:lang w:eastAsia="en-GB"/>
        </w:rPr>
        <w:t>pārraug</w:t>
      </w:r>
      <w:r w:rsidR="00000B7A">
        <w:rPr>
          <w:lang w:eastAsia="en-GB"/>
        </w:rPr>
        <w:t>ot</w:t>
      </w:r>
      <w:r w:rsidR="00000B7A" w:rsidRPr="001C0328">
        <w:rPr>
          <w:lang w:eastAsia="en-GB"/>
        </w:rPr>
        <w:t xml:space="preserve">, kā </w:t>
      </w:r>
      <w:r w:rsidR="00000B7A">
        <w:rPr>
          <w:lang w:eastAsia="en-GB"/>
        </w:rPr>
        <w:t xml:space="preserve">iestādes </w:t>
      </w:r>
      <w:r w:rsidR="00000B7A" w:rsidRPr="001C0328">
        <w:rPr>
          <w:lang w:eastAsia="en-GB"/>
        </w:rPr>
        <w:t>valde</w:t>
      </w:r>
      <w:r w:rsidR="00245C8D">
        <w:rPr>
          <w:lang w:eastAsia="en-GB"/>
        </w:rPr>
        <w:t xml:space="preserve"> vai augstākā vadība</w:t>
      </w:r>
      <w:r w:rsidR="00000B7A" w:rsidRPr="001C0328">
        <w:rPr>
          <w:lang w:eastAsia="en-GB"/>
        </w:rPr>
        <w:t xml:space="preserve"> nodrošina NILLTPF riska pārvaldīšanu</w:t>
      </w:r>
      <w:r w:rsidR="00000B7A">
        <w:rPr>
          <w:lang w:eastAsia="en-GB"/>
        </w:rPr>
        <w:t>,</w:t>
      </w:r>
      <w:r w:rsidR="00884B05" w:rsidRPr="001C0328">
        <w:rPr>
          <w:lang w:eastAsia="en-GB"/>
        </w:rPr>
        <w:t xml:space="preserve"> veic vismaz šādas darbības:</w:t>
      </w:r>
    </w:p>
    <w:p w14:paraId="1FBCFCF0" w14:textId="7381EA0A" w:rsidR="008407AD" w:rsidRPr="001C0328" w:rsidRDefault="008407AD" w:rsidP="006E185B">
      <w:pPr>
        <w:pStyle w:val="NApunkts2"/>
        <w:rPr>
          <w:lang w:eastAsia="en-GB"/>
        </w:rPr>
      </w:pPr>
      <w:r w:rsidRPr="001C0328">
        <w:rPr>
          <w:lang w:eastAsia="en-GB"/>
        </w:rPr>
        <w:t xml:space="preserve">uzrauga un kontrolē, kā iestādes valde </w:t>
      </w:r>
      <w:r w:rsidR="00D20E94">
        <w:rPr>
          <w:lang w:eastAsia="en-GB"/>
        </w:rPr>
        <w:t xml:space="preserve">vai augstākā vadība </w:t>
      </w:r>
      <w:r w:rsidRPr="001C0328">
        <w:rPr>
          <w:lang w:eastAsia="en-GB"/>
        </w:rPr>
        <w:t>pārvalda iestādes darbībai piemītošo NILLTPF risku</w:t>
      </w:r>
      <w:r w:rsidR="00121747">
        <w:rPr>
          <w:lang w:eastAsia="en-GB"/>
        </w:rPr>
        <w:t>;</w:t>
      </w:r>
      <w:r>
        <w:rPr>
          <w:lang w:eastAsia="en-GB"/>
        </w:rPr>
        <w:t xml:space="preserve"> </w:t>
      </w:r>
    </w:p>
    <w:p w14:paraId="27E25713" w14:textId="0FA72E06" w:rsidR="008407AD" w:rsidRDefault="008407AD" w:rsidP="006E185B">
      <w:pPr>
        <w:pStyle w:val="NApunkts2"/>
        <w:rPr>
          <w:lang w:eastAsia="en-GB"/>
        </w:rPr>
      </w:pPr>
      <w:r w:rsidRPr="001C0328">
        <w:rPr>
          <w:lang w:eastAsia="en-GB"/>
        </w:rPr>
        <w:t>nosaka, ka iekšējā audita struktūrvienība</w:t>
      </w:r>
      <w:r>
        <w:rPr>
          <w:lang w:eastAsia="en-GB"/>
        </w:rPr>
        <w:t>, ja š</w:t>
      </w:r>
      <w:r w:rsidR="00206772">
        <w:rPr>
          <w:lang w:eastAsia="en-GB"/>
        </w:rPr>
        <w:t>ādu</w:t>
      </w:r>
      <w:r>
        <w:rPr>
          <w:lang w:eastAsia="en-GB"/>
        </w:rPr>
        <w:t xml:space="preserve"> funkciju</w:t>
      </w:r>
      <w:r w:rsidR="00206772">
        <w:rPr>
          <w:lang w:eastAsia="en-GB"/>
        </w:rPr>
        <w:t xml:space="preserve"> iestādē</w:t>
      </w:r>
      <w:r>
        <w:rPr>
          <w:lang w:eastAsia="en-GB"/>
        </w:rPr>
        <w:t xml:space="preserve"> paredz Novēršanas likuma 7.</w:t>
      </w:r>
      <w:r w:rsidR="00835974" w:rsidRPr="00435118">
        <w:t> </w:t>
      </w:r>
      <w:r>
        <w:rPr>
          <w:lang w:eastAsia="en-GB"/>
        </w:rPr>
        <w:t>panta pirmās daļas 10.</w:t>
      </w:r>
      <w:r w:rsidR="00835974" w:rsidRPr="00435118">
        <w:t> </w:t>
      </w:r>
      <w:r>
        <w:rPr>
          <w:lang w:eastAsia="en-GB"/>
        </w:rPr>
        <w:t xml:space="preserve">punkts, </w:t>
      </w:r>
      <w:r w:rsidRPr="001C0328">
        <w:rPr>
          <w:lang w:eastAsia="en-GB"/>
        </w:rPr>
        <w:t xml:space="preserve">regulāri pārbauda </w:t>
      </w:r>
      <w:r w:rsidRPr="008407AD">
        <w:rPr>
          <w:lang w:eastAsia="en-GB"/>
        </w:rPr>
        <w:t xml:space="preserve">iekšējās kontroles sistēmas atbilstību normatīvo aktu prasībām </w:t>
      </w:r>
      <w:r w:rsidR="0004103F" w:rsidRPr="00D051BC">
        <w:rPr>
          <w:lang w:eastAsia="en-GB"/>
        </w:rPr>
        <w:t xml:space="preserve">noziedzīgi iegūtu līdzekļu legalizācijas un terorisma un proliferācijas finansēšanas </w:t>
      </w:r>
      <w:r w:rsidRPr="008407AD">
        <w:rPr>
          <w:lang w:eastAsia="en-GB"/>
        </w:rPr>
        <w:t>novēršanas jomā un novērtē tās darbības efektivitāti</w:t>
      </w:r>
      <w:r w:rsidRPr="001C0328">
        <w:rPr>
          <w:lang w:eastAsia="en-GB"/>
        </w:rPr>
        <w:t>;</w:t>
      </w:r>
    </w:p>
    <w:p w14:paraId="60D4143A" w14:textId="63D56D61" w:rsidR="00D20E94" w:rsidRDefault="008407AD" w:rsidP="006E185B">
      <w:pPr>
        <w:pStyle w:val="NApunkts2"/>
        <w:rPr>
          <w:lang w:eastAsia="en-GB"/>
        </w:rPr>
      </w:pPr>
      <w:r w:rsidRPr="001C0328">
        <w:rPr>
          <w:lang w:eastAsia="en-GB"/>
        </w:rPr>
        <w:t xml:space="preserve">nosaka regulāru un ārkārtas informācijas apmaiņas kārtību starp </w:t>
      </w:r>
      <w:r>
        <w:rPr>
          <w:lang w:eastAsia="en-GB"/>
        </w:rPr>
        <w:t xml:space="preserve">iestādes </w:t>
      </w:r>
      <w:r w:rsidRPr="001C0328">
        <w:rPr>
          <w:lang w:eastAsia="en-GB"/>
        </w:rPr>
        <w:t>padomi un valdi, tai skaitā nosak</w:t>
      </w:r>
      <w:r w:rsidR="003A2894">
        <w:rPr>
          <w:lang w:eastAsia="en-GB"/>
        </w:rPr>
        <w:t>a</w:t>
      </w:r>
      <w:r w:rsidRPr="001C0328">
        <w:rPr>
          <w:lang w:eastAsia="en-GB"/>
        </w:rPr>
        <w:t xml:space="preserve"> </w:t>
      </w:r>
      <w:r w:rsidR="00206772">
        <w:rPr>
          <w:lang w:eastAsia="en-GB"/>
        </w:rPr>
        <w:t xml:space="preserve">iestādes </w:t>
      </w:r>
      <w:r w:rsidRPr="001C0328">
        <w:rPr>
          <w:lang w:eastAsia="en-GB"/>
        </w:rPr>
        <w:t>padomes informēšana</w:t>
      </w:r>
      <w:r w:rsidR="003A2894">
        <w:rPr>
          <w:lang w:eastAsia="en-GB"/>
        </w:rPr>
        <w:t>s</w:t>
      </w:r>
      <w:r w:rsidRPr="001C0328">
        <w:rPr>
          <w:lang w:eastAsia="en-GB"/>
        </w:rPr>
        <w:t xml:space="preserve"> </w:t>
      </w:r>
      <w:r w:rsidR="001670E7">
        <w:rPr>
          <w:lang w:eastAsia="en-GB"/>
        </w:rPr>
        <w:t>regularitāti</w:t>
      </w:r>
      <w:r w:rsidR="001670E7" w:rsidRPr="001C0328">
        <w:rPr>
          <w:lang w:eastAsia="en-GB"/>
        </w:rPr>
        <w:t xml:space="preserve"> </w:t>
      </w:r>
      <w:r w:rsidRPr="001C0328">
        <w:rPr>
          <w:lang w:eastAsia="en-GB"/>
        </w:rPr>
        <w:t>par NILLTPF riska pārvaldīšanu</w:t>
      </w:r>
      <w:r w:rsidR="00121747">
        <w:rPr>
          <w:lang w:eastAsia="en-GB"/>
        </w:rPr>
        <w:t xml:space="preserve"> un iekšējās kontroles sistēmas atbilstību</w:t>
      </w:r>
      <w:r w:rsidR="000752B3">
        <w:rPr>
          <w:lang w:eastAsia="en-GB"/>
        </w:rPr>
        <w:t xml:space="preserve"> normatīvo aktu prasībām</w:t>
      </w:r>
      <w:r w:rsidR="00D20E94">
        <w:rPr>
          <w:lang w:eastAsia="en-GB"/>
        </w:rPr>
        <w:t>;</w:t>
      </w:r>
    </w:p>
    <w:p w14:paraId="6630B976" w14:textId="0DD214BB" w:rsidR="00FB5D3E" w:rsidRDefault="00D20E94" w:rsidP="006E185B">
      <w:pPr>
        <w:pStyle w:val="NApunkts2"/>
        <w:rPr>
          <w:lang w:eastAsia="en-GB"/>
        </w:rPr>
      </w:pPr>
      <w:r w:rsidRPr="001C0328">
        <w:rPr>
          <w:lang w:eastAsia="en-GB"/>
        </w:rPr>
        <w:t xml:space="preserve">apstiprina NILLTPF riska </w:t>
      </w:r>
      <w:r w:rsidRPr="00E87B1E">
        <w:rPr>
          <w:lang w:eastAsia="en-GB"/>
        </w:rPr>
        <w:t>pārvaldīšanas stratēģiju</w:t>
      </w:r>
      <w:r>
        <w:rPr>
          <w:lang w:eastAsia="en-GB"/>
        </w:rPr>
        <w:t>, ja atbilstoši šo noteikum</w:t>
      </w:r>
      <w:r w:rsidRPr="00204ED8">
        <w:rPr>
          <w:lang w:eastAsia="en-GB"/>
        </w:rPr>
        <w:t xml:space="preserve">u </w:t>
      </w:r>
      <w:r w:rsidR="002B6D2D" w:rsidRPr="00E64F6F">
        <w:rPr>
          <w:lang w:eastAsia="en-GB"/>
        </w:rPr>
        <w:t>3</w:t>
      </w:r>
      <w:r w:rsidRPr="00E64F6F">
        <w:rPr>
          <w:lang w:eastAsia="en-GB"/>
        </w:rPr>
        <w:t>.</w:t>
      </w:r>
      <w:r w:rsidR="00BE5998" w:rsidRPr="00204ED8">
        <w:rPr>
          <w:lang w:eastAsia="en-GB"/>
        </w:rPr>
        <w:t> </w:t>
      </w:r>
      <w:r w:rsidRPr="00204ED8">
        <w:rPr>
          <w:lang w:eastAsia="en-GB"/>
        </w:rPr>
        <w:t>punktam</w:t>
      </w:r>
      <w:r>
        <w:rPr>
          <w:lang w:eastAsia="en-GB"/>
        </w:rPr>
        <w:t xml:space="preserve"> iestāde izveido un uztur NILLTPF riska pārvaldīšanas stratēģiju, kā arī apstiprina</w:t>
      </w:r>
      <w:r w:rsidRPr="001C0328">
        <w:rPr>
          <w:lang w:eastAsia="en-GB"/>
        </w:rPr>
        <w:t xml:space="preserve"> izmaiņas NILLTPF riska pārvaldīšanas stratēģijā</w:t>
      </w:r>
      <w:r>
        <w:rPr>
          <w:lang w:eastAsia="en-GB"/>
        </w:rPr>
        <w:t>, ja tā ir izveidota.</w:t>
      </w:r>
    </w:p>
    <w:p w14:paraId="1C2B4A43" w14:textId="5663EF6D" w:rsidR="008407AD" w:rsidRDefault="00B91624" w:rsidP="006E185B">
      <w:pPr>
        <w:pStyle w:val="NApunkts1"/>
        <w:shd w:val="clear" w:color="auto" w:fill="FFFFFF"/>
        <w:tabs>
          <w:tab w:val="left" w:pos="284"/>
          <w:tab w:val="left" w:pos="426"/>
        </w:tabs>
        <w:ind w:left="0" w:firstLine="0"/>
        <w:rPr>
          <w:lang w:eastAsia="en-GB"/>
        </w:rPr>
      </w:pPr>
      <w:r>
        <w:rPr>
          <w:lang w:eastAsia="en-GB"/>
        </w:rPr>
        <w:lastRenderedPageBreak/>
        <w:t>K</w:t>
      </w:r>
      <w:r w:rsidR="000C46F2">
        <w:rPr>
          <w:lang w:eastAsia="en-GB"/>
        </w:rPr>
        <w:t>redītiestādes padome</w:t>
      </w:r>
      <w:r w:rsidR="00000B7A">
        <w:rPr>
          <w:lang w:eastAsia="en-GB"/>
        </w:rPr>
        <w:t xml:space="preserve">, </w:t>
      </w:r>
      <w:r w:rsidR="00000B7A" w:rsidRPr="001C0328">
        <w:rPr>
          <w:lang w:eastAsia="en-GB"/>
        </w:rPr>
        <w:t>pārraug</w:t>
      </w:r>
      <w:r w:rsidR="00000B7A">
        <w:rPr>
          <w:lang w:eastAsia="en-GB"/>
        </w:rPr>
        <w:t>ot</w:t>
      </w:r>
      <w:r w:rsidR="00000B7A" w:rsidRPr="001C0328">
        <w:rPr>
          <w:lang w:eastAsia="en-GB"/>
        </w:rPr>
        <w:t xml:space="preserve">, kā </w:t>
      </w:r>
      <w:r w:rsidR="00000B7A">
        <w:rPr>
          <w:lang w:eastAsia="en-GB"/>
        </w:rPr>
        <w:t xml:space="preserve">kredītiestādes </w:t>
      </w:r>
      <w:r w:rsidR="00000B7A" w:rsidRPr="001C0328">
        <w:rPr>
          <w:lang w:eastAsia="en-GB"/>
        </w:rPr>
        <w:t>valde nodrošina NILLTPF riska pārvaldīšanu</w:t>
      </w:r>
      <w:r w:rsidR="00000B7A">
        <w:rPr>
          <w:lang w:eastAsia="en-GB"/>
        </w:rPr>
        <w:t>,</w:t>
      </w:r>
      <w:r w:rsidR="000C46F2">
        <w:rPr>
          <w:lang w:eastAsia="en-GB"/>
        </w:rPr>
        <w:t xml:space="preserve"> papildus </w:t>
      </w:r>
      <w:r w:rsidR="00FB5D3E">
        <w:rPr>
          <w:lang w:eastAsia="en-GB"/>
        </w:rPr>
        <w:t xml:space="preserve">šo noteikumu </w:t>
      </w:r>
      <w:r w:rsidR="00DB6F4D" w:rsidRPr="00785121">
        <w:rPr>
          <w:lang w:eastAsia="en-GB"/>
        </w:rPr>
        <w:t>9</w:t>
      </w:r>
      <w:r w:rsidR="000C46F2" w:rsidRPr="00785121">
        <w:rPr>
          <w:lang w:eastAsia="en-GB"/>
        </w:rPr>
        <w:t>.</w:t>
      </w:r>
      <w:r w:rsidR="00835974" w:rsidRPr="00435118">
        <w:t> </w:t>
      </w:r>
      <w:r w:rsidR="000C46F2" w:rsidRPr="00785121">
        <w:rPr>
          <w:lang w:eastAsia="en-GB"/>
        </w:rPr>
        <w:t>punktā</w:t>
      </w:r>
      <w:r w:rsidR="000C46F2">
        <w:rPr>
          <w:lang w:eastAsia="en-GB"/>
        </w:rPr>
        <w:t xml:space="preserve"> minētajam veic šādas darbības:</w:t>
      </w:r>
    </w:p>
    <w:p w14:paraId="65BFFF8D" w14:textId="4CA37816" w:rsidR="00884B05" w:rsidRDefault="00884B05" w:rsidP="006E185B">
      <w:pPr>
        <w:pStyle w:val="NApunkts2"/>
        <w:rPr>
          <w:lang w:eastAsia="en-GB"/>
        </w:rPr>
      </w:pPr>
      <w:r w:rsidRPr="001C0328">
        <w:rPr>
          <w:lang w:eastAsia="en-GB"/>
        </w:rPr>
        <w:t>apstiprina NILLTPF riska pārvaldīšanas stratēģijas īstenošanas politikas</w:t>
      </w:r>
      <w:r w:rsidRPr="00321841">
        <w:rPr>
          <w:lang w:eastAsia="en-GB"/>
        </w:rPr>
        <w:t>;</w:t>
      </w:r>
    </w:p>
    <w:p w14:paraId="48EBB595" w14:textId="420FEC43" w:rsidR="00121747" w:rsidRDefault="00121747" w:rsidP="006E185B">
      <w:pPr>
        <w:pStyle w:val="NApunkts2"/>
        <w:rPr>
          <w:lang w:eastAsia="en-GB"/>
        </w:rPr>
      </w:pPr>
      <w:r w:rsidRPr="001C0328">
        <w:rPr>
          <w:lang w:eastAsia="en-GB"/>
        </w:rPr>
        <w:t xml:space="preserve">uzrauga un kontrolē, kā </w:t>
      </w:r>
      <w:r w:rsidR="00206772">
        <w:rPr>
          <w:lang w:eastAsia="en-GB"/>
        </w:rPr>
        <w:t>kredīt</w:t>
      </w:r>
      <w:r w:rsidRPr="001C0328">
        <w:rPr>
          <w:lang w:eastAsia="en-GB"/>
        </w:rPr>
        <w:t>iestādes vald</w:t>
      </w:r>
      <w:r>
        <w:rPr>
          <w:lang w:eastAsia="en-GB"/>
        </w:rPr>
        <w:t xml:space="preserve">e īsteno </w:t>
      </w:r>
      <w:r w:rsidRPr="001C0328">
        <w:rPr>
          <w:lang w:eastAsia="en-GB"/>
        </w:rPr>
        <w:t>NILLTPF riska pārvaldīšanas stratēģijas īstenošanas politikas</w:t>
      </w:r>
      <w:r w:rsidR="000752B3">
        <w:rPr>
          <w:lang w:eastAsia="en-GB"/>
        </w:rPr>
        <w:t>;</w:t>
      </w:r>
    </w:p>
    <w:p w14:paraId="6E6A28F9" w14:textId="5A0CB4AD" w:rsidR="000752B3" w:rsidRDefault="000752B3" w:rsidP="006E185B">
      <w:pPr>
        <w:pStyle w:val="NApunkts2"/>
        <w:rPr>
          <w:lang w:eastAsia="en-GB"/>
        </w:rPr>
      </w:pPr>
      <w:r w:rsidRPr="001C0328">
        <w:rPr>
          <w:lang w:eastAsia="en-GB"/>
        </w:rPr>
        <w:t>nosak</w:t>
      </w:r>
      <w:r>
        <w:rPr>
          <w:lang w:eastAsia="en-GB"/>
        </w:rPr>
        <w:t>a</w:t>
      </w:r>
      <w:r w:rsidRPr="001C0328">
        <w:rPr>
          <w:lang w:eastAsia="en-GB"/>
        </w:rPr>
        <w:t xml:space="preserve"> </w:t>
      </w:r>
      <w:r w:rsidR="00206772">
        <w:rPr>
          <w:lang w:eastAsia="en-GB"/>
        </w:rPr>
        <w:t xml:space="preserve">kredītiestādes </w:t>
      </w:r>
      <w:r w:rsidRPr="001C0328">
        <w:rPr>
          <w:lang w:eastAsia="en-GB"/>
        </w:rPr>
        <w:t>padomes informēšana</w:t>
      </w:r>
      <w:r w:rsidR="003A2894">
        <w:rPr>
          <w:lang w:eastAsia="en-GB"/>
        </w:rPr>
        <w:t>s</w:t>
      </w:r>
      <w:r w:rsidRPr="001C0328">
        <w:rPr>
          <w:lang w:eastAsia="en-GB"/>
        </w:rPr>
        <w:t xml:space="preserve"> </w:t>
      </w:r>
      <w:r w:rsidR="001670E7">
        <w:rPr>
          <w:lang w:eastAsia="en-GB"/>
        </w:rPr>
        <w:t>regularitāti</w:t>
      </w:r>
      <w:r w:rsidR="001670E7" w:rsidRPr="001C0328">
        <w:rPr>
          <w:lang w:eastAsia="en-GB"/>
        </w:rPr>
        <w:t xml:space="preserve"> </w:t>
      </w:r>
      <w:r w:rsidRPr="001C0328">
        <w:rPr>
          <w:lang w:eastAsia="en-GB"/>
        </w:rPr>
        <w:t>par</w:t>
      </w:r>
      <w:r>
        <w:rPr>
          <w:lang w:eastAsia="en-GB"/>
        </w:rPr>
        <w:t xml:space="preserve"> </w:t>
      </w:r>
      <w:r w:rsidRPr="001C0328">
        <w:rPr>
          <w:lang w:eastAsia="en-GB"/>
        </w:rPr>
        <w:t>NILLTPF riska pārvaldīšanas stratēģijā noteikto mērķu sasniegšanu</w:t>
      </w:r>
      <w:r>
        <w:rPr>
          <w:lang w:eastAsia="en-GB"/>
        </w:rPr>
        <w:t xml:space="preserve"> un būtiskām</w:t>
      </w:r>
      <w:r w:rsidR="00BE5998">
        <w:rPr>
          <w:lang w:eastAsia="en-GB"/>
        </w:rPr>
        <w:t xml:space="preserve"> </w:t>
      </w:r>
      <w:r>
        <w:rPr>
          <w:lang w:eastAsia="en-GB"/>
        </w:rPr>
        <w:t xml:space="preserve">atkāpēm no </w:t>
      </w:r>
      <w:r w:rsidRPr="001C0328">
        <w:rPr>
          <w:lang w:eastAsia="en-GB"/>
        </w:rPr>
        <w:t>NILLTPF riska pārvaldīšanas stratēģijā noteikt</w:t>
      </w:r>
      <w:r>
        <w:rPr>
          <w:lang w:eastAsia="en-GB"/>
        </w:rPr>
        <w:t>ajiem rādītājiem;</w:t>
      </w:r>
    </w:p>
    <w:p w14:paraId="22650EBA" w14:textId="7F8EF522" w:rsidR="00884B05" w:rsidRPr="001C0328" w:rsidRDefault="00884B05" w:rsidP="006E185B">
      <w:pPr>
        <w:pStyle w:val="NApunkts2"/>
        <w:rPr>
          <w:lang w:eastAsia="en-GB"/>
        </w:rPr>
      </w:pPr>
      <w:r w:rsidRPr="001C0328">
        <w:rPr>
          <w:lang w:eastAsia="en-GB"/>
        </w:rPr>
        <w:t>nosaka</w:t>
      </w:r>
      <w:r w:rsidR="00BE5998">
        <w:rPr>
          <w:lang w:eastAsia="en-GB"/>
        </w:rPr>
        <w:t xml:space="preserve"> </w:t>
      </w:r>
      <w:r w:rsidR="000752B3">
        <w:rPr>
          <w:lang w:eastAsia="en-GB"/>
        </w:rPr>
        <w:t>kredīti</w:t>
      </w:r>
      <w:r w:rsidRPr="001C0328">
        <w:rPr>
          <w:lang w:eastAsia="en-GB"/>
        </w:rPr>
        <w:t>estādes atalgojuma politiku, kura nav pretrunā ar tās NILLTPF riska pārvaldīšanas stratēģiju</w:t>
      </w:r>
      <w:r w:rsidR="00321841">
        <w:rPr>
          <w:lang w:eastAsia="en-GB"/>
        </w:rPr>
        <w:t xml:space="preserve"> </w:t>
      </w:r>
      <w:r w:rsidRPr="001C0328">
        <w:rPr>
          <w:lang w:eastAsia="en-GB"/>
        </w:rPr>
        <w:t>un neveicina īstermiņa ienākumu gūšanu, veicot darījumus, kuriem piemīt paaugstināt</w:t>
      </w:r>
      <w:r w:rsidR="00733E68">
        <w:rPr>
          <w:lang w:eastAsia="en-GB"/>
        </w:rPr>
        <w:t>s</w:t>
      </w:r>
      <w:r w:rsidRPr="001C0328">
        <w:rPr>
          <w:lang w:eastAsia="en-GB"/>
        </w:rPr>
        <w:t xml:space="preserve"> NILLTPF risk</w:t>
      </w:r>
      <w:r w:rsidR="00733E68">
        <w:rPr>
          <w:lang w:eastAsia="en-GB"/>
        </w:rPr>
        <w:t>s</w:t>
      </w:r>
      <w:r w:rsidR="00733E68" w:rsidRPr="00733E68">
        <w:rPr>
          <w:lang w:eastAsia="en-GB"/>
        </w:rPr>
        <w:t xml:space="preserve"> </w:t>
      </w:r>
      <w:r w:rsidR="00733E68" w:rsidRPr="001C0328">
        <w:rPr>
          <w:lang w:eastAsia="en-GB"/>
        </w:rPr>
        <w:t xml:space="preserve">vai kuri </w:t>
      </w:r>
      <w:r w:rsidR="00733E68">
        <w:rPr>
          <w:lang w:eastAsia="en-GB"/>
        </w:rPr>
        <w:t xml:space="preserve">tādu </w:t>
      </w:r>
      <w:r w:rsidR="00733E68" w:rsidRPr="001C0328">
        <w:rPr>
          <w:lang w:eastAsia="en-GB"/>
        </w:rPr>
        <w:t>rada</w:t>
      </w:r>
      <w:r w:rsidRPr="001C0328">
        <w:rPr>
          <w:lang w:eastAsia="en-GB"/>
        </w:rPr>
        <w:t xml:space="preserve">, kā arī nosaka, ka darbinieku, kuru amata pienākumos ir ietverta NILLTPF riska kontrole, atalgojums nav atkarīgs no </w:t>
      </w:r>
      <w:r w:rsidR="000752B3">
        <w:rPr>
          <w:lang w:eastAsia="en-GB"/>
        </w:rPr>
        <w:t>kredītiestādes</w:t>
      </w:r>
      <w:r w:rsidRPr="001C0328">
        <w:rPr>
          <w:lang w:eastAsia="en-GB"/>
        </w:rPr>
        <w:t xml:space="preserve"> darbības rādītājiem;</w:t>
      </w:r>
    </w:p>
    <w:p w14:paraId="19F2B650" w14:textId="18638D28" w:rsidR="00884B05" w:rsidRDefault="00884B05" w:rsidP="006E185B">
      <w:pPr>
        <w:pStyle w:val="NApunkts2"/>
        <w:rPr>
          <w:lang w:eastAsia="en-GB"/>
        </w:rPr>
      </w:pPr>
      <w:r w:rsidRPr="001C0328">
        <w:rPr>
          <w:lang w:eastAsia="en-GB"/>
        </w:rPr>
        <w:t>regulāri, bet ne retāk kā vienu reizi gadā, pamatojoties uz darbības plāniem un ņemot vērā izmaiņas normatīvajos aktos, ekonomiskajā situācijā, tirgos un tirgus attīstības prognozēs, kā arī jaunu finanšu pakalpojumu ieviešanu, pārskata NILLTPF riska pārvaldīšanas stratēģiju un tās īstenošanas politikas</w:t>
      </w:r>
      <w:r w:rsidR="008407AD">
        <w:rPr>
          <w:lang w:eastAsia="en-GB"/>
        </w:rPr>
        <w:t>.</w:t>
      </w:r>
    </w:p>
    <w:p w14:paraId="2AC59BA9" w14:textId="7E148DBA" w:rsidR="00BE5998" w:rsidRPr="0013101D" w:rsidRDefault="00321841" w:rsidP="006E185B">
      <w:pPr>
        <w:pStyle w:val="NApunkts1"/>
        <w:shd w:val="clear" w:color="auto" w:fill="FFFFFF"/>
        <w:tabs>
          <w:tab w:val="left" w:pos="284"/>
          <w:tab w:val="left" w:pos="426"/>
        </w:tabs>
        <w:ind w:left="0" w:firstLine="0"/>
        <w:rPr>
          <w:lang w:eastAsia="en-GB"/>
        </w:rPr>
      </w:pPr>
      <w:r w:rsidRPr="0013101D">
        <w:rPr>
          <w:lang w:eastAsia="en-GB"/>
        </w:rPr>
        <w:t>I</w:t>
      </w:r>
      <w:r w:rsidR="00884B05" w:rsidRPr="0013101D">
        <w:rPr>
          <w:lang w:eastAsia="en-GB"/>
        </w:rPr>
        <w:t>estādes valde</w:t>
      </w:r>
      <w:r w:rsidR="00206B1C" w:rsidRPr="0013101D">
        <w:rPr>
          <w:lang w:eastAsia="en-GB"/>
        </w:rPr>
        <w:t xml:space="preserve"> vai augstākā vadība</w:t>
      </w:r>
      <w:r w:rsidR="00884B05" w:rsidRPr="0013101D">
        <w:rPr>
          <w:lang w:eastAsia="en-GB"/>
        </w:rPr>
        <w:t xml:space="preserve"> ir atbildīga par </w:t>
      </w:r>
      <w:r w:rsidRPr="0013101D">
        <w:rPr>
          <w:lang w:eastAsia="en-GB"/>
        </w:rPr>
        <w:t xml:space="preserve">NILLTPF riska pārvaldīšanu un </w:t>
      </w:r>
      <w:r w:rsidR="00884B05" w:rsidRPr="0013101D">
        <w:rPr>
          <w:lang w:eastAsia="en-GB"/>
        </w:rPr>
        <w:t>iestādes padomes apstiprinātās NILLTPF riska pārvaldīšanas stratēģijas īstenošanu</w:t>
      </w:r>
      <w:r w:rsidR="00C20687" w:rsidRPr="0013101D">
        <w:rPr>
          <w:lang w:eastAsia="en-GB"/>
        </w:rPr>
        <w:t>.</w:t>
      </w:r>
    </w:p>
    <w:p w14:paraId="7E77565B" w14:textId="7DC51483" w:rsidR="000C46F2" w:rsidRPr="001C0328" w:rsidRDefault="00CD7E7E" w:rsidP="006E185B">
      <w:pPr>
        <w:pStyle w:val="NApunkts1"/>
        <w:shd w:val="clear" w:color="auto" w:fill="FFFFFF"/>
        <w:tabs>
          <w:tab w:val="left" w:pos="284"/>
          <w:tab w:val="left" w:pos="426"/>
        </w:tabs>
        <w:ind w:left="0" w:firstLine="0"/>
        <w:rPr>
          <w:lang w:eastAsia="en-GB"/>
        </w:rPr>
      </w:pPr>
      <w:r>
        <w:rPr>
          <w:lang w:eastAsia="en-GB"/>
        </w:rPr>
        <w:t>I</w:t>
      </w:r>
      <w:r w:rsidR="000C46F2">
        <w:rPr>
          <w:lang w:eastAsia="en-GB"/>
        </w:rPr>
        <w:t>estādes valde vai augstākā vadība</w:t>
      </w:r>
      <w:r>
        <w:rPr>
          <w:lang w:eastAsia="en-GB"/>
        </w:rPr>
        <w:t xml:space="preserve">, atbildot par NILLTPF riska pārvaldīšanu un </w:t>
      </w:r>
      <w:r w:rsidRPr="001C0328">
        <w:rPr>
          <w:lang w:eastAsia="en-GB"/>
        </w:rPr>
        <w:t>iestādes padomes apstiprinātās NILLTPF riska pārvaldīšanas stratēģijas īstenošanu</w:t>
      </w:r>
      <w:r>
        <w:rPr>
          <w:lang w:eastAsia="en-GB"/>
        </w:rPr>
        <w:t>,</w:t>
      </w:r>
      <w:r w:rsidR="000C46F2">
        <w:rPr>
          <w:lang w:eastAsia="en-GB"/>
        </w:rPr>
        <w:t xml:space="preserve"> veic vismaz šādas darbības:</w:t>
      </w:r>
    </w:p>
    <w:p w14:paraId="18A35CBA" w14:textId="448BA4A2" w:rsidR="00884B05" w:rsidRDefault="00884B05" w:rsidP="006E185B">
      <w:pPr>
        <w:pStyle w:val="NApunkts2"/>
        <w:rPr>
          <w:lang w:eastAsia="en-GB"/>
        </w:rPr>
      </w:pPr>
      <w:r w:rsidRPr="001C0328">
        <w:rPr>
          <w:lang w:eastAsia="en-GB"/>
        </w:rPr>
        <w:t>nodrošina regulāru NILLTPF riska novērtējuma pārskatīšanu un aktualizēšanu, kā arī iekšējās kontroles sistēmas darbības efektivitātes izvērtēšanu atbilstoši</w:t>
      </w:r>
      <w:r w:rsidR="00835974">
        <w:rPr>
          <w:lang w:eastAsia="en-GB"/>
        </w:rPr>
        <w:t xml:space="preserve"> </w:t>
      </w:r>
      <w:hyperlink r:id="rId10" w:tgtFrame="_blank" w:history="1">
        <w:r w:rsidRPr="001C0328">
          <w:rPr>
            <w:lang w:eastAsia="en-GB"/>
          </w:rPr>
          <w:t>No</w:t>
        </w:r>
        <w:r>
          <w:rPr>
            <w:lang w:eastAsia="en-GB"/>
          </w:rPr>
          <w:t>vēršanas</w:t>
        </w:r>
        <w:r w:rsidRPr="001C0328">
          <w:rPr>
            <w:lang w:eastAsia="en-GB"/>
          </w:rPr>
          <w:t xml:space="preserve"> likuma</w:t>
        </w:r>
      </w:hyperlink>
      <w:r w:rsidR="00835974">
        <w:rPr>
          <w:lang w:eastAsia="en-GB"/>
        </w:rPr>
        <w:t xml:space="preserve"> </w:t>
      </w:r>
      <w:hyperlink r:id="rId11" w:anchor="p8" w:tgtFrame="_blank" w:history="1">
        <w:r w:rsidRPr="001C0328">
          <w:rPr>
            <w:lang w:eastAsia="en-GB"/>
          </w:rPr>
          <w:t>8.</w:t>
        </w:r>
        <w:r w:rsidR="00835974" w:rsidRPr="00435118">
          <w:t> </w:t>
        </w:r>
        <w:r w:rsidRPr="001C0328">
          <w:rPr>
            <w:lang w:eastAsia="en-GB"/>
          </w:rPr>
          <w:t>panta</w:t>
        </w:r>
      </w:hyperlink>
      <w:r w:rsidR="00835974">
        <w:rPr>
          <w:lang w:eastAsia="en-GB"/>
        </w:rPr>
        <w:t xml:space="preserve"> </w:t>
      </w:r>
      <w:r w:rsidRPr="001C0328">
        <w:rPr>
          <w:lang w:eastAsia="en-GB"/>
        </w:rPr>
        <w:t>pirmajā un otrajā daļā noteiktajām prasībām;</w:t>
      </w:r>
    </w:p>
    <w:p w14:paraId="4E290DE2" w14:textId="09CAB85F" w:rsidR="00884B05" w:rsidRDefault="00884B05" w:rsidP="006E185B">
      <w:pPr>
        <w:pStyle w:val="NApunkts2"/>
        <w:rPr>
          <w:lang w:eastAsia="en-GB"/>
        </w:rPr>
      </w:pPr>
      <w:r w:rsidRPr="001C0328">
        <w:rPr>
          <w:lang w:eastAsia="en-GB"/>
        </w:rPr>
        <w:t>nodrošina NILLTPF riska pārvaldīšanas īstenošanas politiku un procedūru izstrādi un ievērošanu;</w:t>
      </w:r>
    </w:p>
    <w:p w14:paraId="1C6CE5C7" w14:textId="09C4D6EC" w:rsidR="000C46F2" w:rsidRDefault="000C46F2" w:rsidP="006E185B">
      <w:pPr>
        <w:pStyle w:val="NApunkts2"/>
        <w:rPr>
          <w:lang w:eastAsia="en-GB"/>
        </w:rPr>
      </w:pPr>
      <w:r w:rsidRPr="001C0328">
        <w:rPr>
          <w:lang w:eastAsia="en-GB"/>
        </w:rPr>
        <w:t>nosaka pilnvaru, pienākumu un atbildības par NILLTPF riska pārvaldīšanu sadalījumu starp iestādes struktūrvienībām un darbiniekiem;</w:t>
      </w:r>
    </w:p>
    <w:p w14:paraId="7F2A1D5A" w14:textId="554FF83F" w:rsidR="000C46F2" w:rsidRPr="001C0328" w:rsidRDefault="000C46F2" w:rsidP="006E185B">
      <w:pPr>
        <w:pStyle w:val="NApunkts2"/>
        <w:rPr>
          <w:lang w:eastAsia="en-GB"/>
        </w:rPr>
      </w:pPr>
      <w:r w:rsidRPr="001C0328">
        <w:rPr>
          <w:lang w:eastAsia="en-GB"/>
        </w:rPr>
        <w:t>nodrošina, ka NILLTPF riska pārvaldīšanas jomā tiek piesaistīti darbinieki, kuru kvalifikācija atbilst veicamajiem pienākumiem;</w:t>
      </w:r>
    </w:p>
    <w:p w14:paraId="36F3F571" w14:textId="7601E9F3" w:rsidR="000C46F2" w:rsidRPr="001C0328" w:rsidRDefault="000C46F2" w:rsidP="006E185B">
      <w:pPr>
        <w:pStyle w:val="NApunkts2"/>
        <w:rPr>
          <w:lang w:eastAsia="en-GB"/>
        </w:rPr>
      </w:pPr>
      <w:r w:rsidRPr="001C0328">
        <w:rPr>
          <w:lang w:eastAsia="en-GB"/>
        </w:rPr>
        <w:t xml:space="preserve">nodrošina, ka, veicot NILLTPF riska pārvaldīšanu, pastāvīgi tiek uzturēti augsti ētikas standarti, tai skaitā novērsti interešu konflikti, kas paaugstina vai var paaugstināt </w:t>
      </w:r>
      <w:r>
        <w:rPr>
          <w:lang w:eastAsia="en-GB"/>
        </w:rPr>
        <w:t xml:space="preserve">iestādes </w:t>
      </w:r>
      <w:r w:rsidRPr="001C0328">
        <w:rPr>
          <w:lang w:eastAsia="en-GB"/>
        </w:rPr>
        <w:t>NILLTPF risku, piemēram, sniedzot pakalpojumus ar iestādi saistītām personām;</w:t>
      </w:r>
    </w:p>
    <w:p w14:paraId="3C513F1D" w14:textId="55B98901" w:rsidR="00CD7E7E" w:rsidRDefault="000C46F2" w:rsidP="006E185B">
      <w:pPr>
        <w:pStyle w:val="NApunkts2"/>
        <w:rPr>
          <w:lang w:eastAsia="en-GB"/>
        </w:rPr>
      </w:pPr>
      <w:r w:rsidRPr="001C0328">
        <w:rPr>
          <w:lang w:eastAsia="en-GB"/>
        </w:rPr>
        <w:t>apstiprina korektīvos pasākumus NILLTPF riska pārvaldīšanai gadījumos, kad tie ir nepieciešami, un informē iestādes padomi</w:t>
      </w:r>
      <w:r>
        <w:rPr>
          <w:lang w:eastAsia="en-GB"/>
        </w:rPr>
        <w:t>, ja tāda ir izveidota,</w:t>
      </w:r>
      <w:r w:rsidRPr="001C0328">
        <w:rPr>
          <w:lang w:eastAsia="en-GB"/>
        </w:rPr>
        <w:t xml:space="preserve"> par korektīvo pasākumu ieviešanas gaitu</w:t>
      </w:r>
      <w:r w:rsidR="00CD7E7E">
        <w:rPr>
          <w:lang w:eastAsia="en-GB"/>
        </w:rPr>
        <w:t>.</w:t>
      </w:r>
    </w:p>
    <w:p w14:paraId="1F919EA2" w14:textId="47D22BE9" w:rsidR="009174B7" w:rsidRDefault="00CD7E7E" w:rsidP="006E185B">
      <w:pPr>
        <w:pStyle w:val="NApunkts1"/>
        <w:shd w:val="clear" w:color="auto" w:fill="FFFFFF"/>
        <w:tabs>
          <w:tab w:val="left" w:pos="284"/>
          <w:tab w:val="left" w:pos="426"/>
        </w:tabs>
        <w:ind w:left="0" w:firstLine="0"/>
        <w:rPr>
          <w:lang w:eastAsia="en-GB"/>
        </w:rPr>
      </w:pPr>
      <w:r>
        <w:rPr>
          <w:lang w:eastAsia="en-GB"/>
        </w:rPr>
        <w:t>K</w:t>
      </w:r>
      <w:r w:rsidR="009174B7">
        <w:rPr>
          <w:lang w:eastAsia="en-GB"/>
        </w:rPr>
        <w:t>redītiestādes valde</w:t>
      </w:r>
      <w:r>
        <w:rPr>
          <w:lang w:eastAsia="en-GB"/>
        </w:rPr>
        <w:t>, atbildot par NILLTPF riska pārvaldīšanu un kredīt</w:t>
      </w:r>
      <w:r w:rsidRPr="001C0328">
        <w:rPr>
          <w:lang w:eastAsia="en-GB"/>
        </w:rPr>
        <w:t>iestādes padomes apstiprinātās NILLTPF riska pārvaldīšanas stratēģijas īstenošanu</w:t>
      </w:r>
      <w:r>
        <w:rPr>
          <w:lang w:eastAsia="en-GB"/>
        </w:rPr>
        <w:t>,</w:t>
      </w:r>
      <w:r w:rsidR="009174B7">
        <w:rPr>
          <w:lang w:eastAsia="en-GB"/>
        </w:rPr>
        <w:t xml:space="preserve"> papildus </w:t>
      </w:r>
      <w:r w:rsidR="001670E7">
        <w:rPr>
          <w:lang w:eastAsia="en-GB"/>
        </w:rPr>
        <w:t xml:space="preserve">šo noteikumu </w:t>
      </w:r>
      <w:r w:rsidR="009174B7" w:rsidRPr="008A6443">
        <w:rPr>
          <w:lang w:eastAsia="en-GB"/>
        </w:rPr>
        <w:t>1</w:t>
      </w:r>
      <w:r w:rsidR="00403741">
        <w:rPr>
          <w:lang w:eastAsia="en-GB"/>
        </w:rPr>
        <w:t>2</w:t>
      </w:r>
      <w:r w:rsidR="009174B7" w:rsidRPr="008A6443">
        <w:rPr>
          <w:lang w:eastAsia="en-GB"/>
        </w:rPr>
        <w:t>.</w:t>
      </w:r>
      <w:r w:rsidR="00BE5998">
        <w:rPr>
          <w:lang w:eastAsia="en-GB"/>
        </w:rPr>
        <w:t> </w:t>
      </w:r>
      <w:r w:rsidR="009174B7" w:rsidRPr="008A6443">
        <w:rPr>
          <w:lang w:eastAsia="en-GB"/>
        </w:rPr>
        <w:t>punktā</w:t>
      </w:r>
      <w:r w:rsidR="009174B7">
        <w:rPr>
          <w:lang w:eastAsia="en-GB"/>
        </w:rPr>
        <w:t xml:space="preserve"> minētajam veic šādas darbības:</w:t>
      </w:r>
    </w:p>
    <w:p w14:paraId="66596CBC" w14:textId="2E0E4A33" w:rsidR="009174B7" w:rsidRDefault="009174B7" w:rsidP="006E185B">
      <w:pPr>
        <w:pStyle w:val="NApunkts2"/>
        <w:rPr>
          <w:lang w:eastAsia="en-GB"/>
        </w:rPr>
      </w:pPr>
      <w:r w:rsidRPr="009174B7">
        <w:rPr>
          <w:lang w:eastAsia="en-GB"/>
        </w:rPr>
        <w:t>nodrošina NILLTPF riska pārvaldīšanas stratēģijas īstenošanas politiku un procedūru izstrādi un ievērošanu;</w:t>
      </w:r>
    </w:p>
    <w:p w14:paraId="1EEAA04F" w14:textId="11DCB08D" w:rsidR="009174B7" w:rsidRDefault="009174B7" w:rsidP="006E185B">
      <w:pPr>
        <w:pStyle w:val="NApunkts2"/>
        <w:rPr>
          <w:lang w:eastAsia="en-GB"/>
        </w:rPr>
      </w:pPr>
      <w:r w:rsidRPr="009174B7">
        <w:rPr>
          <w:lang w:eastAsia="en-GB"/>
        </w:rPr>
        <w:t xml:space="preserve">nodrošina kredītiestādes NILLTPF riska pārvaldīšanas stratēģijā noteikto mērķu sasniegšanu un NILLTPF riska pārvaldīšanas stratēģijas īstenošanas politiku un procedūru piemērošanu </w:t>
      </w:r>
      <w:r w:rsidR="00E872A2">
        <w:rPr>
          <w:lang w:eastAsia="en-GB"/>
        </w:rPr>
        <w:t>kredītiestād</w:t>
      </w:r>
      <w:r w:rsidR="000C4065">
        <w:rPr>
          <w:lang w:eastAsia="en-GB"/>
        </w:rPr>
        <w:t>ē</w:t>
      </w:r>
      <w:r w:rsidR="00E872A2">
        <w:rPr>
          <w:lang w:eastAsia="en-GB"/>
        </w:rPr>
        <w:t xml:space="preserve"> individuālā un grupas līmenī</w:t>
      </w:r>
      <w:r w:rsidRPr="009174B7">
        <w:rPr>
          <w:lang w:eastAsia="en-GB"/>
        </w:rPr>
        <w:t>;</w:t>
      </w:r>
    </w:p>
    <w:p w14:paraId="15895C22" w14:textId="41ACE09C" w:rsidR="009174B7" w:rsidRDefault="009174B7" w:rsidP="006E185B">
      <w:pPr>
        <w:pStyle w:val="NApunkts2"/>
        <w:rPr>
          <w:lang w:eastAsia="en-GB"/>
        </w:rPr>
      </w:pPr>
      <w:r w:rsidRPr="009174B7">
        <w:rPr>
          <w:lang w:eastAsia="en-GB"/>
        </w:rPr>
        <w:t xml:space="preserve">nodrošina darbinieku, kuru amata pienākumos </w:t>
      </w:r>
      <w:r w:rsidR="003A2894">
        <w:rPr>
          <w:lang w:eastAsia="en-GB"/>
        </w:rPr>
        <w:t>ietilpst</w:t>
      </w:r>
      <w:r w:rsidR="003A2894" w:rsidRPr="009174B7">
        <w:rPr>
          <w:lang w:eastAsia="en-GB"/>
        </w:rPr>
        <w:t xml:space="preserve"> </w:t>
      </w:r>
      <w:r w:rsidRPr="009174B7">
        <w:rPr>
          <w:lang w:eastAsia="en-GB"/>
        </w:rPr>
        <w:t>NILLTPF riska kontrole, informēšanu par NILLTPF riska pārvaldīšanas stratēģiju un tās īstenošanas politikām un procedūrām un atbildību par kredītiestādes NILLTPF riska pārvaldīšanas stratēģijas un tās īstenošanas politiku un procedūru ievērošanu;</w:t>
      </w:r>
    </w:p>
    <w:p w14:paraId="5B8C54CC" w14:textId="775A8A4C" w:rsidR="009174B7" w:rsidRDefault="009174B7" w:rsidP="006E185B">
      <w:pPr>
        <w:pStyle w:val="NApunkts2"/>
        <w:rPr>
          <w:lang w:eastAsia="en-GB"/>
        </w:rPr>
      </w:pPr>
      <w:r w:rsidRPr="009174B7">
        <w:rPr>
          <w:lang w:eastAsia="en-GB"/>
        </w:rPr>
        <w:lastRenderedPageBreak/>
        <w:t>nodrošina izmaiņu NILLTPF riska pārvaldīšanas stratēģijā izstrādi un iesniedz tās apstiprināšanai kredītiestādes padomē.</w:t>
      </w:r>
    </w:p>
    <w:p w14:paraId="561623AA" w14:textId="38AEC26B" w:rsidR="00884B05" w:rsidRPr="001C0328" w:rsidRDefault="00F97163" w:rsidP="006E185B">
      <w:pPr>
        <w:pStyle w:val="NApunkts1"/>
        <w:shd w:val="clear" w:color="auto" w:fill="FFFFFF"/>
        <w:tabs>
          <w:tab w:val="left" w:pos="284"/>
          <w:tab w:val="left" w:pos="426"/>
        </w:tabs>
        <w:ind w:left="0" w:firstLine="0"/>
        <w:rPr>
          <w:lang w:eastAsia="en-GB"/>
        </w:rPr>
      </w:pPr>
      <w:r>
        <w:rPr>
          <w:lang w:eastAsia="en-GB"/>
        </w:rPr>
        <w:t>I</w:t>
      </w:r>
      <w:r w:rsidR="00884B05" w:rsidRPr="001C0328">
        <w:rPr>
          <w:lang w:eastAsia="en-GB"/>
        </w:rPr>
        <w:t xml:space="preserve">estāde, nosakot valdes </w:t>
      </w:r>
      <w:r w:rsidR="002E0790">
        <w:rPr>
          <w:lang w:eastAsia="en-GB"/>
        </w:rPr>
        <w:t xml:space="preserve">vai augstākās vadības </w:t>
      </w:r>
      <w:r w:rsidR="00884B05" w:rsidRPr="001C0328">
        <w:rPr>
          <w:lang w:eastAsia="en-GB"/>
        </w:rPr>
        <w:t xml:space="preserve">locekli, kurš pārrauga </w:t>
      </w:r>
      <w:r w:rsidR="0004103F" w:rsidRPr="00D051BC">
        <w:rPr>
          <w:lang w:eastAsia="en-GB"/>
        </w:rPr>
        <w:t xml:space="preserve">noziedzīgi iegūtu līdzekļu legalizācijas un terorisma un proliferācijas finansēšanas </w:t>
      </w:r>
      <w:r w:rsidR="00884B05" w:rsidRPr="009174B7">
        <w:rPr>
          <w:lang w:eastAsia="en-GB"/>
        </w:rPr>
        <w:t xml:space="preserve">novēršanas jomu </w:t>
      </w:r>
      <w:r w:rsidRPr="009174B7">
        <w:rPr>
          <w:lang w:eastAsia="en-GB"/>
        </w:rPr>
        <w:t>i</w:t>
      </w:r>
      <w:r w:rsidR="00884B05" w:rsidRPr="009174B7">
        <w:rPr>
          <w:lang w:eastAsia="en-GB"/>
        </w:rPr>
        <w:t xml:space="preserve">estādē, un ieceļot vienu vai vairākus par </w:t>
      </w:r>
      <w:r w:rsidR="0004103F" w:rsidRPr="00D051BC">
        <w:rPr>
          <w:lang w:eastAsia="en-GB"/>
        </w:rPr>
        <w:t xml:space="preserve">noziedzīgi iegūtu līdzekļu legalizācijas un terorisma un proliferācijas finansēšanas </w:t>
      </w:r>
      <w:r w:rsidR="00884B05" w:rsidRPr="009174B7">
        <w:rPr>
          <w:lang w:eastAsia="en-GB"/>
        </w:rPr>
        <w:t>novēršanas prasību izpildi atbildīgos darbiniekus atbilstoši</w:t>
      </w:r>
      <w:r w:rsidR="00835974">
        <w:rPr>
          <w:lang w:eastAsia="en-GB"/>
        </w:rPr>
        <w:t xml:space="preserve"> </w:t>
      </w:r>
      <w:hyperlink r:id="rId12" w:tgtFrame="_blank" w:history="1">
        <w:r w:rsidR="00884B05" w:rsidRPr="009174B7">
          <w:rPr>
            <w:lang w:eastAsia="en-GB"/>
          </w:rPr>
          <w:t>Novēršanas likuma</w:t>
        </w:r>
      </w:hyperlink>
      <w:r w:rsidR="00835974">
        <w:rPr>
          <w:lang w:eastAsia="en-GB"/>
        </w:rPr>
        <w:t xml:space="preserve"> </w:t>
      </w:r>
      <w:hyperlink r:id="rId13" w:anchor="p10" w:tgtFrame="_blank" w:history="1">
        <w:r w:rsidR="00884B05" w:rsidRPr="009174B7">
          <w:rPr>
            <w:lang w:eastAsia="en-GB"/>
          </w:rPr>
          <w:t>10.</w:t>
        </w:r>
        <w:r w:rsidR="00835974" w:rsidRPr="00435118">
          <w:t> </w:t>
        </w:r>
        <w:r w:rsidR="00884B05" w:rsidRPr="009174B7">
          <w:rPr>
            <w:lang w:eastAsia="en-GB"/>
          </w:rPr>
          <w:t>panta</w:t>
        </w:r>
      </w:hyperlink>
      <w:r w:rsidR="00835974">
        <w:rPr>
          <w:lang w:eastAsia="en-GB"/>
        </w:rPr>
        <w:t xml:space="preserve"> </w:t>
      </w:r>
      <w:r w:rsidR="00884B05" w:rsidRPr="009174B7">
        <w:rPr>
          <w:lang w:eastAsia="en-GB"/>
        </w:rPr>
        <w:t>pirmajai un otrajai daļai, iekšējos normatīvajos aktos nosaka to atbildības sadalījumu</w:t>
      </w:r>
      <w:r w:rsidR="00EE556B" w:rsidRPr="009174B7">
        <w:rPr>
          <w:lang w:eastAsia="en-GB"/>
        </w:rPr>
        <w:t xml:space="preserve"> NILLTPF riska pārvaldīšan</w:t>
      </w:r>
      <w:r w:rsidR="003A2894">
        <w:rPr>
          <w:lang w:eastAsia="en-GB"/>
        </w:rPr>
        <w:t>ā</w:t>
      </w:r>
      <w:r w:rsidR="00884B05" w:rsidRPr="009174B7">
        <w:rPr>
          <w:lang w:eastAsia="en-GB"/>
        </w:rPr>
        <w:t>, paredzot</w:t>
      </w:r>
      <w:r w:rsidR="00884B05" w:rsidRPr="001C0328">
        <w:rPr>
          <w:lang w:eastAsia="en-GB"/>
        </w:rPr>
        <w:t xml:space="preserve"> sadalīt atbildību par vismaz šādiem jautājumiem:</w:t>
      </w:r>
    </w:p>
    <w:p w14:paraId="2A6321FA" w14:textId="67CD2FC3" w:rsidR="00884B05" w:rsidRPr="001C0328" w:rsidRDefault="00884B05" w:rsidP="006E185B">
      <w:pPr>
        <w:pStyle w:val="NApunkts2"/>
        <w:rPr>
          <w:lang w:eastAsia="en-GB"/>
        </w:rPr>
      </w:pPr>
      <w:r w:rsidRPr="001C0328">
        <w:rPr>
          <w:lang w:eastAsia="en-GB"/>
        </w:rPr>
        <w:t>iestādes padomes</w:t>
      </w:r>
      <w:r w:rsidR="00F97163">
        <w:rPr>
          <w:lang w:eastAsia="en-GB"/>
        </w:rPr>
        <w:t>, ja tāda ir izveidota,</w:t>
      </w:r>
      <w:r w:rsidRPr="001C0328">
        <w:rPr>
          <w:lang w:eastAsia="en-GB"/>
        </w:rPr>
        <w:t xml:space="preserve"> un valdes </w:t>
      </w:r>
      <w:r w:rsidR="002D0B13">
        <w:rPr>
          <w:lang w:eastAsia="en-GB"/>
        </w:rPr>
        <w:t xml:space="preserve">vai augstākās vadības </w:t>
      </w:r>
      <w:r w:rsidRPr="001C0328">
        <w:rPr>
          <w:lang w:eastAsia="en-GB"/>
        </w:rPr>
        <w:t>regulāru un ārkārtas informēšanu par iestādes NILLTPF riska pārvaldīšan</w:t>
      </w:r>
      <w:r w:rsidR="00F97163">
        <w:rPr>
          <w:lang w:eastAsia="en-GB"/>
        </w:rPr>
        <w:t>u</w:t>
      </w:r>
      <w:r w:rsidR="00E34AB2">
        <w:rPr>
          <w:lang w:eastAsia="en-GB"/>
        </w:rPr>
        <w:t>. K</w:t>
      </w:r>
      <w:r w:rsidR="0015245A">
        <w:rPr>
          <w:lang w:eastAsia="en-GB"/>
        </w:rPr>
        <w:t xml:space="preserve">redītiestāde paredz informēšanu </w:t>
      </w:r>
      <w:r w:rsidR="00E34AB2">
        <w:rPr>
          <w:lang w:eastAsia="en-GB"/>
        </w:rPr>
        <w:t xml:space="preserve">arī </w:t>
      </w:r>
      <w:r w:rsidR="00F97163">
        <w:rPr>
          <w:lang w:eastAsia="en-GB"/>
        </w:rPr>
        <w:t>par NILLTPF riska pārvaldīšanas</w:t>
      </w:r>
      <w:r w:rsidR="00BE5998">
        <w:rPr>
          <w:lang w:eastAsia="en-GB"/>
        </w:rPr>
        <w:t xml:space="preserve"> </w:t>
      </w:r>
      <w:r w:rsidRPr="001C0328">
        <w:rPr>
          <w:lang w:eastAsia="en-GB"/>
        </w:rPr>
        <w:t>stratēģijas prasību izpildi</w:t>
      </w:r>
      <w:r w:rsidR="00F97163">
        <w:rPr>
          <w:lang w:eastAsia="en-GB"/>
        </w:rPr>
        <w:t xml:space="preserve">, </w:t>
      </w:r>
      <w:r w:rsidRPr="001C0328">
        <w:rPr>
          <w:lang w:eastAsia="en-GB"/>
        </w:rPr>
        <w:t xml:space="preserve">tai skaitā precīzas un pilnīgas informācijas </w:t>
      </w:r>
      <w:r w:rsidR="001670E7" w:rsidRPr="001C0328">
        <w:rPr>
          <w:lang w:eastAsia="en-GB"/>
        </w:rPr>
        <w:t xml:space="preserve">sniegšanu </w:t>
      </w:r>
      <w:r w:rsidRPr="001C0328">
        <w:rPr>
          <w:lang w:eastAsia="en-GB"/>
        </w:rPr>
        <w:t>par NILLTPF riska ekspozīciju un tās dinamiku;</w:t>
      </w:r>
    </w:p>
    <w:p w14:paraId="381B38E8" w14:textId="23B45449" w:rsidR="00884B05" w:rsidRPr="001C0328" w:rsidRDefault="0015245A" w:rsidP="006E185B">
      <w:pPr>
        <w:pStyle w:val="NApunkts2"/>
        <w:rPr>
          <w:lang w:eastAsia="en-GB"/>
        </w:rPr>
      </w:pPr>
      <w:r>
        <w:rPr>
          <w:lang w:eastAsia="en-GB"/>
        </w:rPr>
        <w:t xml:space="preserve">pienākumu sadali </w:t>
      </w:r>
      <w:r w:rsidR="003A2894">
        <w:rPr>
          <w:lang w:eastAsia="en-GB"/>
        </w:rPr>
        <w:t>attiecībā uz</w:t>
      </w:r>
      <w:r>
        <w:rPr>
          <w:lang w:eastAsia="en-GB"/>
        </w:rPr>
        <w:t xml:space="preserve"> </w:t>
      </w:r>
      <w:r w:rsidR="00884B05" w:rsidRPr="001C0328">
        <w:rPr>
          <w:lang w:eastAsia="en-GB"/>
        </w:rPr>
        <w:t>NILLTPF riska pārvaldīšanas pasākum</w:t>
      </w:r>
      <w:r>
        <w:rPr>
          <w:lang w:eastAsia="en-GB"/>
        </w:rPr>
        <w:t xml:space="preserve">u īstenošanu, to </w:t>
      </w:r>
      <w:r w:rsidR="00884B05" w:rsidRPr="001C0328">
        <w:rPr>
          <w:lang w:eastAsia="en-GB"/>
        </w:rPr>
        <w:t>atbilstību, pietiekamību un nepieciešamo izmaiņu NILLTPF riska pārvaldīšanā savlaicīgu nodrošināšanu;</w:t>
      </w:r>
    </w:p>
    <w:p w14:paraId="0762E1E5" w14:textId="2A004713" w:rsidR="00884B05" w:rsidRDefault="00884B05" w:rsidP="006E185B">
      <w:pPr>
        <w:pStyle w:val="NApunkts2"/>
        <w:rPr>
          <w:lang w:eastAsia="en-GB"/>
        </w:rPr>
      </w:pPr>
      <w:r w:rsidRPr="001C0328">
        <w:rPr>
          <w:lang w:eastAsia="en-GB"/>
        </w:rPr>
        <w:t xml:space="preserve">ziņojumu sniegšanu </w:t>
      </w:r>
      <w:r w:rsidR="00A254CD">
        <w:rPr>
          <w:lang w:eastAsia="en-GB"/>
        </w:rPr>
        <w:t xml:space="preserve">iestādes </w:t>
      </w:r>
      <w:r w:rsidRPr="001C0328">
        <w:rPr>
          <w:lang w:eastAsia="en-GB"/>
        </w:rPr>
        <w:t xml:space="preserve">valdei </w:t>
      </w:r>
      <w:r w:rsidR="002D0B13">
        <w:rPr>
          <w:lang w:eastAsia="en-GB"/>
        </w:rPr>
        <w:t xml:space="preserve">vai augstākajai vadībai </w:t>
      </w:r>
      <w:r w:rsidRPr="001C0328">
        <w:rPr>
          <w:lang w:eastAsia="en-GB"/>
        </w:rPr>
        <w:t>par gadījumiem, kad NILLTPF riska pārvaldīšan</w:t>
      </w:r>
      <w:r w:rsidR="0015245A">
        <w:rPr>
          <w:lang w:eastAsia="en-GB"/>
        </w:rPr>
        <w:t>ā</w:t>
      </w:r>
      <w:r w:rsidR="00BE5998">
        <w:rPr>
          <w:lang w:eastAsia="en-GB"/>
        </w:rPr>
        <w:t xml:space="preserve"> </w:t>
      </w:r>
      <w:r w:rsidR="00E34AB2">
        <w:rPr>
          <w:lang w:eastAsia="en-GB"/>
        </w:rPr>
        <w:t>konstatēti būtiski trūkumi vai neatbilstības. Kredītiestāde</w:t>
      </w:r>
      <w:r w:rsidR="002D0B13">
        <w:rPr>
          <w:lang w:eastAsia="en-GB"/>
        </w:rPr>
        <w:t xml:space="preserve"> paredz</w:t>
      </w:r>
      <w:r w:rsidR="00E34AB2">
        <w:rPr>
          <w:lang w:eastAsia="en-GB"/>
        </w:rPr>
        <w:t xml:space="preserve"> atbildīb</w:t>
      </w:r>
      <w:r w:rsidR="003A2894">
        <w:rPr>
          <w:lang w:eastAsia="en-GB"/>
        </w:rPr>
        <w:t>as</w:t>
      </w:r>
      <w:r w:rsidR="00E34AB2">
        <w:rPr>
          <w:lang w:eastAsia="en-GB"/>
        </w:rPr>
        <w:t xml:space="preserve"> sadalījumu arī </w:t>
      </w:r>
      <w:r w:rsidR="003A2894">
        <w:rPr>
          <w:lang w:eastAsia="en-GB"/>
        </w:rPr>
        <w:t xml:space="preserve">attiecībā uz </w:t>
      </w:r>
      <w:r w:rsidR="00E34AB2">
        <w:rPr>
          <w:lang w:eastAsia="en-GB"/>
        </w:rPr>
        <w:t xml:space="preserve">valdes informēšanu gadījumos, kad </w:t>
      </w:r>
      <w:r w:rsidRPr="001C0328">
        <w:rPr>
          <w:lang w:eastAsia="en-GB"/>
        </w:rPr>
        <w:t>konstatētas atkāpes no apstiprinātās NILLTPF riska pārvaldīšanas stratēģijas</w:t>
      </w:r>
      <w:r w:rsidR="008F2B90">
        <w:rPr>
          <w:lang w:eastAsia="en-GB"/>
        </w:rPr>
        <w:t xml:space="preserve"> </w:t>
      </w:r>
      <w:r w:rsidRPr="001C0328">
        <w:rPr>
          <w:lang w:eastAsia="en-GB"/>
        </w:rPr>
        <w:t>un tās īstenošanas politikām un procedūrām</w:t>
      </w:r>
      <w:r w:rsidR="00E34AB2">
        <w:rPr>
          <w:lang w:eastAsia="en-GB"/>
        </w:rPr>
        <w:t>.</w:t>
      </w:r>
    </w:p>
    <w:p w14:paraId="0C557491" w14:textId="77777777" w:rsidR="000175D8" w:rsidRDefault="00406D1B" w:rsidP="00817AA4">
      <w:pPr>
        <w:pStyle w:val="NAnodala"/>
      </w:pPr>
      <w:bookmarkStart w:id="7" w:name="p15"/>
      <w:bookmarkStart w:id="8" w:name="p-769856"/>
      <w:bookmarkEnd w:id="7"/>
      <w:bookmarkEnd w:id="8"/>
      <w:r>
        <w:t xml:space="preserve">3. </w:t>
      </w:r>
      <w:bookmarkStart w:id="9" w:name="_Hlk170808372"/>
      <w:r w:rsidR="000175D8" w:rsidRPr="00A05AA5">
        <w:t>NILLTPF riska</w:t>
      </w:r>
      <w:r w:rsidR="000175D8" w:rsidRPr="000175D8">
        <w:t xml:space="preserve"> pārvaldīšanas stratēģija</w:t>
      </w:r>
    </w:p>
    <w:p w14:paraId="02B704D8" w14:textId="2F93F5E2" w:rsidR="0012285C" w:rsidRDefault="0012285C" w:rsidP="006E185B">
      <w:pPr>
        <w:pStyle w:val="NApunkts1"/>
        <w:shd w:val="clear" w:color="auto" w:fill="FFFFFF"/>
        <w:tabs>
          <w:tab w:val="left" w:pos="284"/>
          <w:tab w:val="left" w:pos="426"/>
        </w:tabs>
        <w:ind w:left="0" w:firstLine="0"/>
        <w:rPr>
          <w:lang w:eastAsia="en-GB"/>
        </w:rPr>
      </w:pPr>
      <w:r w:rsidRPr="00940919">
        <w:rPr>
          <w:lang w:eastAsia="en-GB"/>
        </w:rPr>
        <w:t xml:space="preserve">Kredītiestāde </w:t>
      </w:r>
      <w:r>
        <w:rPr>
          <w:lang w:eastAsia="en-GB"/>
        </w:rPr>
        <w:t xml:space="preserve">izstrādā un īsteno </w:t>
      </w:r>
      <w:r w:rsidRPr="000175D8">
        <w:rPr>
          <w:bCs/>
        </w:rPr>
        <w:t>NILLTPF riska pārvaldīšanas stratēģij</w:t>
      </w:r>
      <w:r>
        <w:rPr>
          <w:bCs/>
        </w:rPr>
        <w:t>u</w:t>
      </w:r>
      <w:r w:rsidRPr="00940919">
        <w:rPr>
          <w:lang w:eastAsia="en-GB"/>
        </w:rPr>
        <w:t xml:space="preserve"> </w:t>
      </w:r>
      <w:r>
        <w:rPr>
          <w:lang w:eastAsia="en-GB"/>
        </w:rPr>
        <w:t xml:space="preserve">gan </w:t>
      </w:r>
      <w:r w:rsidRPr="00940919">
        <w:rPr>
          <w:lang w:eastAsia="en-GB"/>
        </w:rPr>
        <w:t>individuāli</w:t>
      </w:r>
      <w:r>
        <w:rPr>
          <w:lang w:eastAsia="en-GB"/>
        </w:rPr>
        <w:t>, gan grupas</w:t>
      </w:r>
      <w:r w:rsidRPr="00940919">
        <w:rPr>
          <w:lang w:eastAsia="en-GB"/>
        </w:rPr>
        <w:t xml:space="preserve"> līmenī.</w:t>
      </w:r>
    </w:p>
    <w:p w14:paraId="2D6B4267" w14:textId="4C4DFFAD" w:rsidR="00421BB0" w:rsidRDefault="000175D8" w:rsidP="006E185B">
      <w:pPr>
        <w:pStyle w:val="NApunkts1"/>
        <w:shd w:val="clear" w:color="auto" w:fill="FFFFFF"/>
        <w:tabs>
          <w:tab w:val="left" w:pos="284"/>
          <w:tab w:val="left" w:pos="426"/>
        </w:tabs>
        <w:ind w:left="0" w:firstLine="0"/>
        <w:rPr>
          <w:lang w:eastAsia="en-GB"/>
        </w:rPr>
      </w:pPr>
      <w:r w:rsidRPr="000175D8">
        <w:rPr>
          <w:lang w:eastAsia="en-GB"/>
        </w:rPr>
        <w:t>Kredītiestāde NILLTPF riska pārvaldīšanas stratēģijā nosaka NILLTPF riska ekspozīcijas rādītāju maksimālās pieļaujamās robežvērtības, kuras kredītiestāde vēlas uzņemties un spēj pārvaldīt, definējot NILLTPF riska ekspozīcijas rādītājus un NILLTPF risku mazinošos pasākumus atbilstoši šo noteikumu</w:t>
      </w:r>
      <w:r w:rsidR="00835974">
        <w:rPr>
          <w:lang w:eastAsia="en-GB"/>
        </w:rPr>
        <w:t xml:space="preserve"> </w:t>
      </w:r>
      <w:hyperlink r:id="rId14" w:anchor="p10" w:history="1">
        <w:r w:rsidR="00BC6F9B">
          <w:rPr>
            <w:lang w:eastAsia="en-GB"/>
          </w:rPr>
          <w:t>1</w:t>
        </w:r>
        <w:r w:rsidR="00050B71">
          <w:rPr>
            <w:lang w:eastAsia="en-GB"/>
          </w:rPr>
          <w:t>7</w:t>
        </w:r>
        <w:r w:rsidR="00BC6F9B">
          <w:rPr>
            <w:lang w:eastAsia="en-GB"/>
          </w:rPr>
          <w:t>.</w:t>
        </w:r>
        <w:r w:rsidR="00835974" w:rsidRPr="00435118">
          <w:t> </w:t>
        </w:r>
        <w:r w:rsidR="00BC6F9B" w:rsidRPr="002A1450">
          <w:rPr>
            <w:lang w:eastAsia="en-GB"/>
          </w:rPr>
          <w:t>punkta</w:t>
        </w:r>
      </w:hyperlink>
      <w:r w:rsidR="00835974">
        <w:rPr>
          <w:lang w:eastAsia="en-GB"/>
        </w:rPr>
        <w:t xml:space="preserve"> </w:t>
      </w:r>
      <w:r w:rsidRPr="000175D8">
        <w:rPr>
          <w:lang w:eastAsia="en-GB"/>
        </w:rPr>
        <w:t>prasībām.</w:t>
      </w:r>
    </w:p>
    <w:p w14:paraId="0043D1C4" w14:textId="04C7551B" w:rsidR="000175D8" w:rsidRPr="000175D8" w:rsidRDefault="000175D8" w:rsidP="006E185B">
      <w:pPr>
        <w:pStyle w:val="NApunkts1"/>
        <w:shd w:val="clear" w:color="auto" w:fill="FFFFFF"/>
        <w:tabs>
          <w:tab w:val="left" w:pos="284"/>
          <w:tab w:val="left" w:pos="426"/>
        </w:tabs>
        <w:ind w:left="0" w:firstLine="0"/>
        <w:rPr>
          <w:lang w:eastAsia="en-GB"/>
        </w:rPr>
      </w:pPr>
      <w:bookmarkStart w:id="10" w:name="p10"/>
      <w:bookmarkStart w:id="11" w:name="p-1168000"/>
      <w:bookmarkEnd w:id="10"/>
      <w:bookmarkEnd w:id="11"/>
      <w:r w:rsidRPr="0038707B">
        <w:rPr>
          <w:lang w:eastAsia="en-GB"/>
        </w:rPr>
        <w:t>Kredītiestāde izstrādā</w:t>
      </w:r>
      <w:r w:rsidRPr="000175D8">
        <w:rPr>
          <w:lang w:eastAsia="en-GB"/>
        </w:rPr>
        <w:t xml:space="preserve"> NILLTPF riska pārvaldīšanas stratēģiju atbilstoši kredītiestādes darbībai piemītošajam NILLTPF riskam. Kredītiestāde </w:t>
      </w:r>
      <w:r w:rsidR="000222A7" w:rsidRPr="000175D8">
        <w:rPr>
          <w:lang w:eastAsia="en-GB"/>
        </w:rPr>
        <w:t xml:space="preserve">NILLTPF riska pārvaldīšanas </w:t>
      </w:r>
      <w:r w:rsidRPr="000175D8">
        <w:rPr>
          <w:lang w:eastAsia="en-GB"/>
        </w:rPr>
        <w:t>stratēģijā nosaka vismaz:</w:t>
      </w:r>
    </w:p>
    <w:p w14:paraId="44D2FC28" w14:textId="1BEA0AD1" w:rsidR="000175D8" w:rsidRPr="000175D8" w:rsidRDefault="000175D8" w:rsidP="006E185B">
      <w:pPr>
        <w:pStyle w:val="NApunkts2"/>
        <w:rPr>
          <w:lang w:eastAsia="en-GB"/>
        </w:rPr>
      </w:pPr>
      <w:r w:rsidRPr="000175D8">
        <w:rPr>
          <w:lang w:eastAsia="en-GB"/>
        </w:rPr>
        <w:t>kredītiestādes NILLTPF riska ekspozīcijas rādītājus, ietverot vismaz šādus rādītājus:</w:t>
      </w:r>
    </w:p>
    <w:p w14:paraId="6D206DF6" w14:textId="63449A57" w:rsidR="000175D8" w:rsidRPr="000175D8" w:rsidRDefault="000175D8" w:rsidP="006E185B">
      <w:pPr>
        <w:pStyle w:val="NApunkts3"/>
        <w:rPr>
          <w:lang w:eastAsia="en-GB"/>
        </w:rPr>
      </w:pPr>
      <w:r w:rsidRPr="000175D8">
        <w:rPr>
          <w:lang w:eastAsia="en-GB"/>
        </w:rPr>
        <w:t>kredītiestādes klientu lokam piemītošā NILLTPF riska ekspozīcijas rādītājus un to maksimālās pieļaujamās robežvērtības, līdz kurām kredītiestādes NILLTPF riska pārvaldīšanas iekšējās kontroles sistēma spēj nodrošināt NILLTPF riska pārvaldību atbilstoši normatīvo aktu prasībām, tai skaitā:</w:t>
      </w:r>
    </w:p>
    <w:p w14:paraId="10276005" w14:textId="149BC93F" w:rsidR="000175D8" w:rsidRPr="000175D8" w:rsidRDefault="000175D8" w:rsidP="006E185B">
      <w:pPr>
        <w:pStyle w:val="NApunkts4"/>
        <w:rPr>
          <w:lang w:eastAsia="en-GB"/>
        </w:rPr>
      </w:pPr>
      <w:r w:rsidRPr="000175D8">
        <w:rPr>
          <w:lang w:eastAsia="en-GB"/>
        </w:rPr>
        <w:t>augsta riska klientu, t</w:t>
      </w:r>
      <w:r w:rsidR="00B44706">
        <w:rPr>
          <w:lang w:eastAsia="en-GB"/>
        </w:rPr>
        <w:t>as</w:t>
      </w:r>
      <w:r w:rsidR="00861600" w:rsidRPr="00435118">
        <w:t> </w:t>
      </w:r>
      <w:r w:rsidRPr="000175D8">
        <w:rPr>
          <w:lang w:eastAsia="en-GB"/>
        </w:rPr>
        <w:t>i</w:t>
      </w:r>
      <w:r w:rsidR="00B44706">
        <w:rPr>
          <w:lang w:eastAsia="en-GB"/>
        </w:rPr>
        <w:t>r</w:t>
      </w:r>
      <w:r w:rsidRPr="000175D8">
        <w:rPr>
          <w:lang w:eastAsia="en-GB"/>
        </w:rPr>
        <w:t>, klientu, kuru riska līmenis atbilstoši kredītiestādes veiktajam klienta riska skaitliskajam novērtējumam ir augsts vai ļoti augsts un kuri ietilpst kredītiestādes noteiktajā maksimāl</w:t>
      </w:r>
      <w:r w:rsidR="005B63F1">
        <w:rPr>
          <w:lang w:eastAsia="en-GB"/>
        </w:rPr>
        <w:t>aj</w:t>
      </w:r>
      <w:r w:rsidRPr="000175D8">
        <w:rPr>
          <w:lang w:eastAsia="en-GB"/>
        </w:rPr>
        <w:t>ā klientu, ar kuriem kredītiestāde sadarbojas, riska kategorijā, bet neietilpst</w:t>
      </w:r>
      <w:r w:rsidR="007D5DBD">
        <w:rPr>
          <w:lang w:eastAsia="en-GB"/>
        </w:rPr>
        <w:t xml:space="preserve"> tādu</w:t>
      </w:r>
      <w:r w:rsidRPr="000175D8">
        <w:rPr>
          <w:lang w:eastAsia="en-GB"/>
        </w:rPr>
        <w:t xml:space="preserve"> klientu kategorijā, kurai kredītiestādes pakalpojumu sniegšana nav pieļaujama atbilstoši kredītiestādes ar klientu riska līmeņa novērtēšanu saistīt</w:t>
      </w:r>
      <w:r w:rsidR="007D5DBD">
        <w:rPr>
          <w:lang w:eastAsia="en-GB"/>
        </w:rPr>
        <w:t>o</w:t>
      </w:r>
      <w:r w:rsidRPr="000175D8">
        <w:rPr>
          <w:lang w:eastAsia="en-GB"/>
        </w:rPr>
        <w:t xml:space="preserve"> iekšēj</w:t>
      </w:r>
      <w:r w:rsidR="007D5DBD">
        <w:rPr>
          <w:lang w:eastAsia="en-GB"/>
        </w:rPr>
        <w:t>o</w:t>
      </w:r>
      <w:r w:rsidRPr="000175D8">
        <w:rPr>
          <w:lang w:eastAsia="en-GB"/>
        </w:rPr>
        <w:t xml:space="preserve"> normatīv</w:t>
      </w:r>
      <w:r w:rsidR="007D5DBD">
        <w:rPr>
          <w:lang w:eastAsia="en-GB"/>
        </w:rPr>
        <w:t>o</w:t>
      </w:r>
      <w:r w:rsidRPr="000175D8">
        <w:rPr>
          <w:lang w:eastAsia="en-GB"/>
        </w:rPr>
        <w:t xml:space="preserve"> akt</w:t>
      </w:r>
      <w:r w:rsidR="007D5DBD">
        <w:rPr>
          <w:lang w:eastAsia="en-GB"/>
        </w:rPr>
        <w:t>u prasībā</w:t>
      </w:r>
      <w:r w:rsidRPr="000175D8">
        <w:rPr>
          <w:lang w:eastAsia="en-GB"/>
        </w:rPr>
        <w:t>m, finanšu aktīvu un kredīta apgrozījuma īpatsvaru kredītiestādes klientu kopējā finanšu aktīvu un kredīta apgrozījuma apmērā;</w:t>
      </w:r>
    </w:p>
    <w:p w14:paraId="519B57C9" w14:textId="072B9F9D" w:rsidR="000175D8" w:rsidRPr="000175D8" w:rsidRDefault="000175D8" w:rsidP="006E185B">
      <w:pPr>
        <w:pStyle w:val="NApunkts4"/>
        <w:rPr>
          <w:lang w:eastAsia="en-GB"/>
        </w:rPr>
      </w:pPr>
      <w:r w:rsidRPr="000175D8">
        <w:rPr>
          <w:lang w:eastAsia="en-GB"/>
        </w:rPr>
        <w:t>ienākumu, kas gūti no pakalpojumiem, kuri sniegti augsta riska klientiem, īpatsvaru kopējā kredītiestādes ienākumu no pakalpojumu sniegšanas klientiem apmērā;</w:t>
      </w:r>
    </w:p>
    <w:p w14:paraId="4F83AE28" w14:textId="6DB7A948" w:rsidR="000175D8" w:rsidRPr="000175D8" w:rsidRDefault="000175D8" w:rsidP="006E185B">
      <w:pPr>
        <w:pStyle w:val="NApunkts4"/>
        <w:rPr>
          <w:lang w:eastAsia="en-GB"/>
        </w:rPr>
      </w:pPr>
      <w:r w:rsidRPr="000175D8">
        <w:rPr>
          <w:lang w:eastAsia="en-GB"/>
        </w:rPr>
        <w:lastRenderedPageBreak/>
        <w:t>klientu, kas ir čaulas veidojumi, finanšu aktīvu un kredīta apgrozījuma īpatsvaru kredītiestādes klientu kopējā finanšu aktīvu un kredīta apgrozījuma apmērā;</w:t>
      </w:r>
    </w:p>
    <w:p w14:paraId="09BD2334" w14:textId="43109AA8" w:rsidR="000175D8" w:rsidRPr="000175D8" w:rsidRDefault="000175D8" w:rsidP="006E185B">
      <w:pPr>
        <w:pStyle w:val="NApunkts4"/>
        <w:rPr>
          <w:lang w:eastAsia="en-GB"/>
        </w:rPr>
      </w:pPr>
      <w:r w:rsidRPr="000175D8">
        <w:rPr>
          <w:lang w:eastAsia="en-GB"/>
        </w:rPr>
        <w:t>ienākumu, kas gūti no pakalpojumiem, kuri sniegti klientiem, kas ir čaulas veidojumi, īpatsvaru kopējā kredītiestādes ienākumu no pakalpojumu sniegšanas apmērā;</w:t>
      </w:r>
    </w:p>
    <w:p w14:paraId="37FC403B" w14:textId="13EE6F61" w:rsidR="000175D8" w:rsidRPr="000175D8" w:rsidRDefault="000175D8" w:rsidP="006E185B">
      <w:pPr>
        <w:pStyle w:val="NApunkts4"/>
        <w:rPr>
          <w:lang w:eastAsia="en-GB"/>
        </w:rPr>
      </w:pPr>
      <w:r w:rsidRPr="000175D8">
        <w:rPr>
          <w:lang w:eastAsia="en-GB"/>
        </w:rPr>
        <w:t xml:space="preserve">klientu, kuru </w:t>
      </w:r>
      <w:r w:rsidR="00AC2349" w:rsidRPr="008E0CF5">
        <w:rPr>
          <w:lang w:eastAsia="en-GB"/>
        </w:rPr>
        <w:t xml:space="preserve">patiesie labuma guvēji </w:t>
      </w:r>
      <w:r w:rsidRPr="000175D8">
        <w:rPr>
          <w:lang w:eastAsia="en-GB"/>
        </w:rPr>
        <w:t>ir no paaugstināta riska jurisdikcijas, finanšu aktīvu un kredīta apgrozījuma īpatsvaru kredītiestādes klientu kopējā finanšu aktīvu un kredīta apgrozījuma apmērā;</w:t>
      </w:r>
    </w:p>
    <w:p w14:paraId="6338F611" w14:textId="2B8B3D6E" w:rsidR="000175D8" w:rsidRPr="000175D8" w:rsidRDefault="000175D8" w:rsidP="006E185B">
      <w:pPr>
        <w:pStyle w:val="NApunkts4"/>
        <w:rPr>
          <w:lang w:eastAsia="en-GB"/>
        </w:rPr>
      </w:pPr>
      <w:r w:rsidRPr="000175D8">
        <w:rPr>
          <w:lang w:eastAsia="en-GB"/>
        </w:rPr>
        <w:t>klientu, kas ir maksājumu iestāžu vai elektroniskās naudas iestāžu klienti, finanšu aktīvu apmēra un kredīta apgrozījuma apmēra īpatsvaru kredītiestādes klientu kopējā finanšu aktīvu un kredīta apgrozījuma apmērā;</w:t>
      </w:r>
    </w:p>
    <w:p w14:paraId="1B44D3D4" w14:textId="00F7440B" w:rsidR="000175D8" w:rsidRPr="000175D8" w:rsidRDefault="000175D8" w:rsidP="006E185B">
      <w:pPr>
        <w:pStyle w:val="NApunkts3"/>
        <w:rPr>
          <w:lang w:eastAsia="en-GB"/>
        </w:rPr>
      </w:pPr>
      <w:r w:rsidRPr="000175D8">
        <w:rPr>
          <w:lang w:eastAsia="en-GB"/>
        </w:rPr>
        <w:t>kredītiestādes pakalpojumiem un produktiem piemītošā NILLTPF riska ekspozīcijas rādītājus pakalpojumu turīgiem klientiem sniegšanas ietvaros:</w:t>
      </w:r>
    </w:p>
    <w:p w14:paraId="3A7F23D6" w14:textId="6365C86A" w:rsidR="000175D8" w:rsidRPr="000175D8" w:rsidRDefault="000175D8" w:rsidP="006E185B">
      <w:pPr>
        <w:pStyle w:val="NApunkts4"/>
        <w:rPr>
          <w:lang w:eastAsia="en-GB"/>
        </w:rPr>
      </w:pPr>
      <w:r w:rsidRPr="000175D8">
        <w:rPr>
          <w:lang w:eastAsia="en-GB"/>
        </w:rPr>
        <w:t>to finanšu aktīvu un kredīta apgrozījuma īpatsvaru kredītiestādes klientu kopējā finanšu aktīvu un kredīta apgrozījuma apmērā;</w:t>
      </w:r>
    </w:p>
    <w:p w14:paraId="3A8EAEF2" w14:textId="46C6F782" w:rsidR="000175D8" w:rsidRPr="000175D8" w:rsidRDefault="000175D8" w:rsidP="006E185B">
      <w:pPr>
        <w:pStyle w:val="NApunkts4"/>
        <w:rPr>
          <w:lang w:eastAsia="en-GB"/>
        </w:rPr>
      </w:pPr>
      <w:r w:rsidRPr="000175D8">
        <w:rPr>
          <w:lang w:eastAsia="en-GB"/>
        </w:rPr>
        <w:t>no šādiem pakalpojumiem gūto ienākumu īpatsvaru kopējā kredītiestādes ienākumu no pakalpojumu sniegšanas klientiem apmērā;</w:t>
      </w:r>
    </w:p>
    <w:p w14:paraId="0EDA4A77" w14:textId="018924A0" w:rsidR="000175D8" w:rsidRPr="000175D8" w:rsidRDefault="000175D8" w:rsidP="006E185B">
      <w:pPr>
        <w:pStyle w:val="NApunkts2"/>
        <w:rPr>
          <w:lang w:eastAsia="en-GB"/>
        </w:rPr>
      </w:pPr>
      <w:r w:rsidRPr="000175D8">
        <w:rPr>
          <w:lang w:eastAsia="en-GB"/>
        </w:rPr>
        <w:t xml:space="preserve">katram no šo noteikumu </w:t>
      </w:r>
      <w:r w:rsidR="00BC6F9B">
        <w:rPr>
          <w:lang w:eastAsia="en-GB"/>
        </w:rPr>
        <w:t>1</w:t>
      </w:r>
      <w:r w:rsidR="00050B71">
        <w:rPr>
          <w:lang w:eastAsia="en-GB"/>
        </w:rPr>
        <w:t>7</w:t>
      </w:r>
      <w:r w:rsidRPr="000175D8">
        <w:rPr>
          <w:lang w:eastAsia="en-GB"/>
        </w:rPr>
        <w:t>.1.</w:t>
      </w:r>
      <w:r w:rsidR="00835974" w:rsidRPr="00435118">
        <w:t> </w:t>
      </w:r>
      <w:r w:rsidRPr="000175D8">
        <w:rPr>
          <w:lang w:eastAsia="en-GB"/>
        </w:rPr>
        <w:t xml:space="preserve">apakšpunktā noteiktajiem kredītiestādes NILLTPF riska ekspozīcijas rādītājiem, ņemot vērā </w:t>
      </w:r>
      <w:r w:rsidRPr="00AC5AB2">
        <w:rPr>
          <w:lang w:eastAsia="en-GB"/>
        </w:rPr>
        <w:t xml:space="preserve">darbības </w:t>
      </w:r>
      <w:r w:rsidRPr="000175D8">
        <w:rPr>
          <w:lang w:eastAsia="en-GB"/>
        </w:rPr>
        <w:t>stratēģijā izvirzītos mērķus, maksimālās pieļaujamās robežvērtības periodam, kas nav mazāks par vienu kalendāro gadu;</w:t>
      </w:r>
    </w:p>
    <w:p w14:paraId="676774D2" w14:textId="6046879D" w:rsidR="000175D8" w:rsidRPr="000175D8" w:rsidRDefault="000175D8" w:rsidP="006E185B">
      <w:pPr>
        <w:pStyle w:val="NApunkts2"/>
        <w:rPr>
          <w:lang w:eastAsia="en-GB"/>
        </w:rPr>
      </w:pPr>
      <w:r w:rsidRPr="000175D8">
        <w:rPr>
          <w:lang w:eastAsia="en-GB"/>
        </w:rPr>
        <w:t>NILLTPF risku ierobežojošos nosacījumus;</w:t>
      </w:r>
    </w:p>
    <w:p w14:paraId="06F981F8" w14:textId="02FF8D13" w:rsidR="000175D8" w:rsidRPr="000175D8" w:rsidRDefault="000175D8" w:rsidP="006E185B">
      <w:pPr>
        <w:pStyle w:val="NApunkts2"/>
        <w:rPr>
          <w:lang w:eastAsia="en-GB"/>
        </w:rPr>
      </w:pPr>
      <w:r w:rsidRPr="000175D8">
        <w:rPr>
          <w:lang w:eastAsia="en-GB"/>
        </w:rPr>
        <w:t>paredzētās NILLTPF riska mazināšanas metodes;</w:t>
      </w:r>
    </w:p>
    <w:p w14:paraId="2CFBCD3A" w14:textId="69024ACB" w:rsidR="000175D8" w:rsidRPr="000175D8" w:rsidRDefault="000175D8" w:rsidP="006E185B">
      <w:pPr>
        <w:pStyle w:val="NApunkts2"/>
        <w:rPr>
          <w:lang w:eastAsia="en-GB"/>
        </w:rPr>
      </w:pPr>
      <w:r w:rsidRPr="000175D8">
        <w:rPr>
          <w:lang w:eastAsia="en-GB"/>
        </w:rPr>
        <w:t xml:space="preserve">darbinieku, kuru amata pienākumos </w:t>
      </w:r>
      <w:r w:rsidR="00CC0E90">
        <w:rPr>
          <w:lang w:eastAsia="en-GB"/>
        </w:rPr>
        <w:t>ietilpst</w:t>
      </w:r>
      <w:r w:rsidRPr="000175D8">
        <w:rPr>
          <w:lang w:eastAsia="en-GB"/>
        </w:rPr>
        <w:t xml:space="preserve"> NILLTPF riska kontrole, resursu pietiekamības kritērijus un kompetences prasības;</w:t>
      </w:r>
    </w:p>
    <w:p w14:paraId="52FD0482" w14:textId="0A763B1D" w:rsidR="000175D8" w:rsidRPr="000175D8" w:rsidRDefault="000175D8" w:rsidP="006E185B">
      <w:pPr>
        <w:pStyle w:val="NApunkts2"/>
        <w:rPr>
          <w:lang w:eastAsia="en-GB"/>
        </w:rPr>
      </w:pPr>
      <w:r w:rsidRPr="000175D8">
        <w:rPr>
          <w:lang w:eastAsia="en-GB"/>
        </w:rPr>
        <w:t>personāla pilnvarojuma sistēmas izveides principus attiecībā uz lēmumiem, kas ietekmē kredītiestādes NILLTPF riska ekspozīciju;</w:t>
      </w:r>
    </w:p>
    <w:p w14:paraId="4FA2D248" w14:textId="06DA9939" w:rsidR="000175D8" w:rsidRPr="000175D8" w:rsidRDefault="000175D8" w:rsidP="006E185B">
      <w:pPr>
        <w:pStyle w:val="NApunkts2"/>
        <w:rPr>
          <w:lang w:eastAsia="en-GB"/>
        </w:rPr>
      </w:pPr>
      <w:r w:rsidRPr="000175D8">
        <w:rPr>
          <w:lang w:eastAsia="en-GB"/>
        </w:rPr>
        <w:t xml:space="preserve">principus NILLTPF riska pārvaldīšanas funkciju izpildei nepieciešamā </w:t>
      </w:r>
      <w:r w:rsidR="0013101D">
        <w:rPr>
          <w:lang w:eastAsia="en-GB"/>
        </w:rPr>
        <w:t>informācijas tehnoloģiju</w:t>
      </w:r>
      <w:r w:rsidR="00861600">
        <w:rPr>
          <w:lang w:eastAsia="en-GB"/>
        </w:rPr>
        <w:t xml:space="preserve"> </w:t>
      </w:r>
      <w:r w:rsidRPr="000175D8">
        <w:rPr>
          <w:lang w:eastAsia="en-GB"/>
        </w:rPr>
        <w:t xml:space="preserve">nodrošinājuma pietiekamības vērtēšanai, kā arī </w:t>
      </w:r>
      <w:r w:rsidR="00861600">
        <w:rPr>
          <w:lang w:eastAsia="en-GB"/>
        </w:rPr>
        <w:t xml:space="preserve">informācijas </w:t>
      </w:r>
      <w:r w:rsidRPr="000175D8">
        <w:rPr>
          <w:lang w:eastAsia="en-GB"/>
        </w:rPr>
        <w:t>sistēmu, kas nodrošina NILLTPF riska kontroles funkciju, neatkarīgas pārbaudes kārtību;</w:t>
      </w:r>
    </w:p>
    <w:p w14:paraId="3469F2F1" w14:textId="65B8F4F4" w:rsidR="000175D8" w:rsidRPr="000175D8" w:rsidRDefault="000175D8" w:rsidP="006E185B">
      <w:pPr>
        <w:pStyle w:val="NApunkts2"/>
        <w:rPr>
          <w:lang w:eastAsia="en-GB"/>
        </w:rPr>
      </w:pPr>
      <w:r w:rsidRPr="000175D8">
        <w:rPr>
          <w:lang w:eastAsia="en-GB"/>
        </w:rPr>
        <w:t>ar</w:t>
      </w:r>
      <w:r w:rsidR="00BE5998">
        <w:rPr>
          <w:lang w:eastAsia="en-GB"/>
        </w:rPr>
        <w:t xml:space="preserve"> </w:t>
      </w:r>
      <w:r w:rsidR="00257156">
        <w:rPr>
          <w:lang w:eastAsia="en-GB"/>
        </w:rPr>
        <w:t>ā</w:t>
      </w:r>
      <w:r w:rsidRPr="000175D8">
        <w:rPr>
          <w:lang w:eastAsia="en-GB"/>
        </w:rPr>
        <w:t>rpakalpojuma izmantošanu saistīto risku, nepieciešamo pasākumu NILLTPF riska mazināšanai, kā arī ārpakalpojuma sniedzēja nodrošinātā pakalpojuma atbilstības normatīvajos aktos noteiktajām prasībām novērtēšanas un uzraudzības kārtību;</w:t>
      </w:r>
    </w:p>
    <w:p w14:paraId="5F99D8C5" w14:textId="33F94F48" w:rsidR="000175D8" w:rsidRPr="000175D8" w:rsidRDefault="007B7A03" w:rsidP="006E185B">
      <w:pPr>
        <w:pStyle w:val="NApunkts2"/>
        <w:rPr>
          <w:lang w:eastAsia="en-GB"/>
        </w:rPr>
      </w:pPr>
      <w:r w:rsidRPr="000175D8">
        <w:rPr>
          <w:lang w:eastAsia="en-GB"/>
        </w:rPr>
        <w:t>datubāzē</w:t>
      </w:r>
      <w:r>
        <w:rPr>
          <w:lang w:eastAsia="en-GB"/>
        </w:rPr>
        <w:t>s</w:t>
      </w:r>
      <w:r w:rsidRPr="000175D8">
        <w:rPr>
          <w:lang w:eastAsia="en-GB"/>
        </w:rPr>
        <w:t xml:space="preserve"> </w:t>
      </w:r>
      <w:r w:rsidR="000175D8" w:rsidRPr="000175D8">
        <w:rPr>
          <w:lang w:eastAsia="en-GB"/>
        </w:rPr>
        <w:t xml:space="preserve">(tai skaitā ierobežotas pieejamības) </w:t>
      </w:r>
      <w:r w:rsidR="00FA530A">
        <w:rPr>
          <w:lang w:eastAsia="en-GB"/>
        </w:rPr>
        <w:t xml:space="preserve">un </w:t>
      </w:r>
      <w:r w:rsidR="00FA530A" w:rsidRPr="000175D8">
        <w:rPr>
          <w:lang w:eastAsia="en-GB"/>
        </w:rPr>
        <w:t xml:space="preserve">publiskos avotos </w:t>
      </w:r>
      <w:r w:rsidR="000175D8" w:rsidRPr="000175D8">
        <w:rPr>
          <w:lang w:eastAsia="en-GB"/>
        </w:rPr>
        <w:t>pieejamās informācijas izmantošanas principus klienta saimnieciskās darbības pārzināšanas mērķiem;</w:t>
      </w:r>
    </w:p>
    <w:p w14:paraId="2C1DF9E0" w14:textId="432A012A" w:rsidR="000175D8" w:rsidRPr="000175D8" w:rsidRDefault="000175D8" w:rsidP="006E185B">
      <w:pPr>
        <w:pStyle w:val="NApunkts2"/>
        <w:rPr>
          <w:lang w:eastAsia="en-GB"/>
        </w:rPr>
      </w:pPr>
      <w:r w:rsidRPr="000175D8">
        <w:rPr>
          <w:lang w:eastAsia="en-GB"/>
        </w:rPr>
        <w:t>NILLTPF riska pārvaldīšanas efektivitātes vērtēšanas prasības, tai skaitā:</w:t>
      </w:r>
    </w:p>
    <w:p w14:paraId="1507C6F7" w14:textId="2909115E" w:rsidR="000175D8" w:rsidRPr="000175D8" w:rsidRDefault="000175D8" w:rsidP="006E185B">
      <w:pPr>
        <w:pStyle w:val="NApunkts3"/>
        <w:rPr>
          <w:lang w:eastAsia="en-GB"/>
        </w:rPr>
      </w:pPr>
      <w:r w:rsidRPr="000175D8">
        <w:rPr>
          <w:lang w:eastAsia="en-GB"/>
        </w:rPr>
        <w:t>NILLTPF riska pārvaldīšanas iekšējās kontroles sistēmas darbības neatkarīga vērtējuma prasības;</w:t>
      </w:r>
    </w:p>
    <w:p w14:paraId="011F0739" w14:textId="2692C4C4" w:rsidR="00FA530A" w:rsidRDefault="000175D8" w:rsidP="006E185B">
      <w:pPr>
        <w:pStyle w:val="NApunkts3"/>
        <w:rPr>
          <w:lang w:eastAsia="en-GB"/>
        </w:rPr>
      </w:pPr>
      <w:r w:rsidRPr="000175D8">
        <w:rPr>
          <w:lang w:eastAsia="en-GB"/>
        </w:rPr>
        <w:t xml:space="preserve">informācijas </w:t>
      </w:r>
      <w:r w:rsidR="00FA530A" w:rsidRPr="000175D8">
        <w:rPr>
          <w:lang w:eastAsia="en-GB"/>
        </w:rPr>
        <w:t>sniegšanas prasības kredītiestādes vadībai</w:t>
      </w:r>
      <w:r w:rsidR="00FA530A">
        <w:rPr>
          <w:lang w:eastAsia="en-GB"/>
        </w:rPr>
        <w:t>:</w:t>
      </w:r>
    </w:p>
    <w:p w14:paraId="6668BB3C" w14:textId="4FCC5BA7" w:rsidR="000175D8" w:rsidRPr="000175D8" w:rsidRDefault="000175D8" w:rsidP="006E185B">
      <w:pPr>
        <w:pStyle w:val="NApunkts4"/>
        <w:rPr>
          <w:lang w:eastAsia="en-GB"/>
        </w:rPr>
      </w:pPr>
      <w:r w:rsidRPr="000175D8">
        <w:rPr>
          <w:lang w:eastAsia="en-GB"/>
        </w:rPr>
        <w:t>par NILLTPF riska pārvaldīšanas stratēģijas prasību izpildi;</w:t>
      </w:r>
    </w:p>
    <w:p w14:paraId="5AE3CDE7" w14:textId="5032D146" w:rsidR="000175D8" w:rsidRDefault="000175D8" w:rsidP="006E185B">
      <w:pPr>
        <w:pStyle w:val="NApunkts4"/>
        <w:rPr>
          <w:lang w:eastAsia="en-GB"/>
        </w:rPr>
      </w:pPr>
      <w:r w:rsidRPr="000175D8">
        <w:rPr>
          <w:lang w:eastAsia="en-GB"/>
        </w:rPr>
        <w:t>par atkāpēm no apstiprinātās NILLTPF riska pārvaldīšanas stratēģijas un tās īstenošanas politikām un procedūrām.</w:t>
      </w:r>
    </w:p>
    <w:p w14:paraId="705F0057" w14:textId="74E974CB" w:rsidR="000175D8" w:rsidRDefault="000175D8" w:rsidP="006E185B">
      <w:pPr>
        <w:pStyle w:val="NApunkts1"/>
        <w:shd w:val="clear" w:color="auto" w:fill="FFFFFF"/>
        <w:tabs>
          <w:tab w:val="left" w:pos="284"/>
          <w:tab w:val="left" w:pos="426"/>
        </w:tabs>
        <w:ind w:left="0" w:firstLine="0"/>
        <w:rPr>
          <w:lang w:eastAsia="en-GB"/>
        </w:rPr>
      </w:pPr>
      <w:bookmarkStart w:id="12" w:name="p11"/>
      <w:bookmarkStart w:id="13" w:name="p-1168001"/>
      <w:bookmarkEnd w:id="12"/>
      <w:bookmarkEnd w:id="13"/>
      <w:r w:rsidRPr="000175D8">
        <w:rPr>
          <w:lang w:eastAsia="en-GB"/>
        </w:rPr>
        <w:t>NILLTPF riska ekspozīcijas rādītāju maksimāl</w:t>
      </w:r>
      <w:r w:rsidR="00A05AA5">
        <w:rPr>
          <w:lang w:eastAsia="en-GB"/>
        </w:rPr>
        <w:t>ās</w:t>
      </w:r>
      <w:r w:rsidRPr="000175D8">
        <w:rPr>
          <w:lang w:eastAsia="en-GB"/>
        </w:rPr>
        <w:t xml:space="preserve"> pieļaujam</w:t>
      </w:r>
      <w:r w:rsidR="00A05AA5">
        <w:rPr>
          <w:lang w:eastAsia="en-GB"/>
        </w:rPr>
        <w:t>ās</w:t>
      </w:r>
      <w:r w:rsidRPr="000175D8">
        <w:rPr>
          <w:lang w:eastAsia="en-GB"/>
        </w:rPr>
        <w:t xml:space="preserve"> robežvērtīb</w:t>
      </w:r>
      <w:r w:rsidR="00A05AA5">
        <w:rPr>
          <w:lang w:eastAsia="en-GB"/>
        </w:rPr>
        <w:t>as</w:t>
      </w:r>
      <w:r w:rsidRPr="000175D8">
        <w:rPr>
          <w:lang w:eastAsia="en-GB"/>
        </w:rPr>
        <w:t xml:space="preserve"> nosaka, ievērojot kredītiestādes spēju pārvaldīt NILLTPF risku, kas ir saistīts ar kredītiestādes</w:t>
      </w:r>
      <w:r w:rsidR="00BE5998">
        <w:rPr>
          <w:lang w:eastAsia="en-GB"/>
        </w:rPr>
        <w:t xml:space="preserve"> </w:t>
      </w:r>
      <w:r w:rsidRPr="000175D8">
        <w:rPr>
          <w:lang w:eastAsia="en-GB"/>
        </w:rPr>
        <w:t>saimnieciskās darbības raksturu, kā arī NILLTPF riska pārvaldīšanai pieejamos resursus.</w:t>
      </w:r>
    </w:p>
    <w:p w14:paraId="079CF941" w14:textId="0F3F4AE4" w:rsidR="000175D8" w:rsidRPr="000175D8" w:rsidRDefault="000175D8" w:rsidP="006E185B">
      <w:pPr>
        <w:pStyle w:val="NApunkts1"/>
        <w:shd w:val="clear" w:color="auto" w:fill="FFFFFF"/>
        <w:tabs>
          <w:tab w:val="left" w:pos="284"/>
          <w:tab w:val="left" w:pos="426"/>
        </w:tabs>
        <w:ind w:left="0" w:firstLine="0"/>
        <w:rPr>
          <w:lang w:eastAsia="en-GB"/>
        </w:rPr>
      </w:pPr>
      <w:bookmarkStart w:id="14" w:name="p12"/>
      <w:bookmarkStart w:id="15" w:name="p-1168002"/>
      <w:bookmarkEnd w:id="14"/>
      <w:bookmarkEnd w:id="15"/>
      <w:r w:rsidRPr="000175D8">
        <w:rPr>
          <w:lang w:eastAsia="en-GB"/>
        </w:rPr>
        <w:t>Kredītiestāde, nosakot kredīta apgrozījumu klienta kontā:</w:t>
      </w:r>
    </w:p>
    <w:p w14:paraId="2C12D89A" w14:textId="60BD8CB9" w:rsidR="000175D8" w:rsidRPr="000175D8" w:rsidRDefault="000175D8" w:rsidP="006E185B">
      <w:pPr>
        <w:pStyle w:val="NApunkts2"/>
        <w:rPr>
          <w:lang w:eastAsia="en-GB"/>
        </w:rPr>
      </w:pPr>
      <w:r w:rsidRPr="000175D8">
        <w:rPr>
          <w:lang w:eastAsia="en-GB"/>
        </w:rPr>
        <w:t>ietver tajā visus klienta kontā (kontos) ienākošos maksājumus</w:t>
      </w:r>
      <w:r w:rsidR="00D775C9">
        <w:rPr>
          <w:lang w:eastAsia="en-GB"/>
        </w:rPr>
        <w:t>,</w:t>
      </w:r>
      <w:r w:rsidR="00550D65">
        <w:rPr>
          <w:lang w:eastAsia="en-GB"/>
        </w:rPr>
        <w:t xml:space="preserve"> </w:t>
      </w:r>
      <w:r w:rsidRPr="000175D8">
        <w:rPr>
          <w:lang w:eastAsia="en-GB"/>
        </w:rPr>
        <w:t>tai skaitā klienta kontā saņemtos atlīdzības maksājumus vai ienākumus, klientam izmaksātos procentus par klienta</w:t>
      </w:r>
      <w:r w:rsidR="000D0743">
        <w:rPr>
          <w:lang w:eastAsia="en-GB"/>
        </w:rPr>
        <w:t xml:space="preserve"> </w:t>
      </w:r>
      <w:r w:rsidRPr="000175D8">
        <w:rPr>
          <w:lang w:eastAsia="en-GB"/>
        </w:rPr>
        <w:t>noguldījumiem un ienākumus no finanšu instrumentiem;</w:t>
      </w:r>
    </w:p>
    <w:p w14:paraId="6A0C694E" w14:textId="03F415D0" w:rsidR="000175D8" w:rsidRPr="000175D8" w:rsidRDefault="000175D8" w:rsidP="006E185B">
      <w:pPr>
        <w:pStyle w:val="NApunkts2"/>
        <w:rPr>
          <w:lang w:eastAsia="en-GB"/>
        </w:rPr>
      </w:pPr>
      <w:r w:rsidRPr="000175D8">
        <w:rPr>
          <w:lang w:eastAsia="en-GB"/>
        </w:rPr>
        <w:t>neietver tajā pašas kredītiestādes klientam izsniegtos kredītus;</w:t>
      </w:r>
    </w:p>
    <w:p w14:paraId="7930BB9C" w14:textId="7B239043" w:rsidR="000175D8" w:rsidRPr="000175D8" w:rsidRDefault="000175D8" w:rsidP="006E185B">
      <w:pPr>
        <w:pStyle w:val="NApunkts2"/>
        <w:rPr>
          <w:lang w:eastAsia="en-GB"/>
        </w:rPr>
      </w:pPr>
      <w:r w:rsidRPr="000175D8">
        <w:rPr>
          <w:lang w:eastAsia="en-GB"/>
        </w:rPr>
        <w:lastRenderedPageBreak/>
        <w:t>ja saskaņā ar kredītiestādes politikās un procedūrās noteiktajām prasībām visi klienta darījumi (tai skaitā ar kredītiestādi) tiek veikti, izmantojot vienīgi klienta norēķinu kontu kredītiestādē, neietver tajā maksājumus, kas veikti starp dažādiem šā klienta kontiem šajā kredītiestādē;</w:t>
      </w:r>
    </w:p>
    <w:p w14:paraId="5D9A4D8D" w14:textId="4042D7C3" w:rsidR="000175D8" w:rsidRDefault="000175D8" w:rsidP="006E185B">
      <w:pPr>
        <w:pStyle w:val="NApunkts2"/>
        <w:rPr>
          <w:lang w:eastAsia="en-GB"/>
        </w:rPr>
      </w:pPr>
      <w:r w:rsidRPr="000175D8">
        <w:rPr>
          <w:lang w:eastAsia="en-GB"/>
        </w:rPr>
        <w:t xml:space="preserve">ja tā klientiem piedāvā un nodrošina naudas </w:t>
      </w:r>
      <w:r w:rsidR="00EC284E">
        <w:rPr>
          <w:lang w:eastAsia="en-GB"/>
        </w:rPr>
        <w:t xml:space="preserve">līdzekļu </w:t>
      </w:r>
      <w:r w:rsidRPr="000175D8">
        <w:rPr>
          <w:lang w:eastAsia="en-GB"/>
        </w:rPr>
        <w:t>apvienošanas risinājumu</w:t>
      </w:r>
      <w:r w:rsidR="00EC284E">
        <w:rPr>
          <w:lang w:eastAsia="en-GB"/>
        </w:rPr>
        <w:t xml:space="preserve"> </w:t>
      </w:r>
      <w:r w:rsidR="00EC284E" w:rsidRPr="001E6F66">
        <w:rPr>
          <w:lang w:eastAsia="en-GB"/>
        </w:rPr>
        <w:t>(</w:t>
      </w:r>
      <w:r w:rsidR="00EC284E">
        <w:rPr>
          <w:lang w:eastAsia="en-GB"/>
        </w:rPr>
        <w:t xml:space="preserve">grupas </w:t>
      </w:r>
      <w:r w:rsidR="00EC284E" w:rsidRPr="00AC5AB2">
        <w:rPr>
          <w:lang w:eastAsia="en-GB"/>
        </w:rPr>
        <w:t xml:space="preserve">konts </w:t>
      </w:r>
      <w:r w:rsidR="00C86059" w:rsidRPr="00AC5AB2">
        <w:rPr>
          <w:lang w:eastAsia="en-GB"/>
        </w:rPr>
        <w:t>(</w:t>
      </w:r>
      <w:proofErr w:type="spellStart"/>
      <w:r w:rsidR="00D775C9">
        <w:rPr>
          <w:i/>
          <w:iCs/>
          <w:lang w:eastAsia="en-GB"/>
        </w:rPr>
        <w:t>c</w:t>
      </w:r>
      <w:r w:rsidR="00D775C9" w:rsidRPr="006E185B">
        <w:rPr>
          <w:i/>
          <w:iCs/>
          <w:lang w:eastAsia="en-GB"/>
        </w:rPr>
        <w:t>ash</w:t>
      </w:r>
      <w:proofErr w:type="spellEnd"/>
      <w:r w:rsidR="00D775C9" w:rsidRPr="006E185B">
        <w:rPr>
          <w:i/>
          <w:iCs/>
          <w:lang w:eastAsia="en-GB"/>
        </w:rPr>
        <w:t xml:space="preserve"> </w:t>
      </w:r>
      <w:proofErr w:type="spellStart"/>
      <w:r w:rsidR="00D775C9">
        <w:rPr>
          <w:i/>
          <w:iCs/>
          <w:lang w:eastAsia="en-GB"/>
        </w:rPr>
        <w:t>p</w:t>
      </w:r>
      <w:r w:rsidR="00D775C9" w:rsidRPr="006E185B">
        <w:rPr>
          <w:i/>
          <w:iCs/>
          <w:lang w:eastAsia="en-GB"/>
        </w:rPr>
        <w:t>ooling</w:t>
      </w:r>
      <w:proofErr w:type="spellEnd"/>
      <w:r w:rsidR="00EC284E" w:rsidRPr="001E6F66">
        <w:rPr>
          <w:lang w:eastAsia="en-GB"/>
        </w:rPr>
        <w:t>)</w:t>
      </w:r>
      <w:r w:rsidR="00C86059">
        <w:rPr>
          <w:lang w:eastAsia="en-GB"/>
        </w:rPr>
        <w:t>)</w:t>
      </w:r>
      <w:r w:rsidRPr="000175D8">
        <w:rPr>
          <w:lang w:eastAsia="en-GB"/>
        </w:rPr>
        <w:t>, neietver tajā grupas dalībnieku, kas reģistrēti un saimniecisko darbību veic Latvijā</w:t>
      </w:r>
      <w:r w:rsidR="00EC284E">
        <w:rPr>
          <w:lang w:eastAsia="en-GB"/>
        </w:rPr>
        <w:t>, Lietuvā vai Igaunijā</w:t>
      </w:r>
      <w:r w:rsidRPr="000175D8">
        <w:rPr>
          <w:lang w:eastAsia="en-GB"/>
        </w:rPr>
        <w:t>, naudas līdzekļu apvienošanas darījumus</w:t>
      </w:r>
      <w:r w:rsidR="00D775C9">
        <w:rPr>
          <w:lang w:eastAsia="en-GB"/>
        </w:rPr>
        <w:t>,</w:t>
      </w:r>
      <w:r w:rsidRPr="000175D8">
        <w:rPr>
          <w:lang w:eastAsia="en-GB"/>
        </w:rPr>
        <w:t xml:space="preserve"> t</w:t>
      </w:r>
      <w:r w:rsidR="00725EBB">
        <w:rPr>
          <w:lang w:eastAsia="en-GB"/>
        </w:rPr>
        <w:t>as</w:t>
      </w:r>
      <w:r w:rsidR="00861600" w:rsidRPr="00435118">
        <w:t> </w:t>
      </w:r>
      <w:r w:rsidRPr="000175D8">
        <w:rPr>
          <w:lang w:eastAsia="en-GB"/>
        </w:rPr>
        <w:t>i</w:t>
      </w:r>
      <w:r w:rsidR="00725EBB">
        <w:rPr>
          <w:lang w:eastAsia="en-GB"/>
        </w:rPr>
        <w:t>r</w:t>
      </w:r>
      <w:r w:rsidRPr="000175D8">
        <w:rPr>
          <w:lang w:eastAsia="en-GB"/>
        </w:rPr>
        <w:t xml:space="preserve">, naudas līdzekļu </w:t>
      </w:r>
      <w:r w:rsidR="00256C8B">
        <w:rPr>
          <w:lang w:eastAsia="en-GB"/>
        </w:rPr>
        <w:t>darījumus</w:t>
      </w:r>
      <w:r w:rsidR="00256C8B" w:rsidRPr="000175D8">
        <w:rPr>
          <w:lang w:eastAsia="en-GB"/>
        </w:rPr>
        <w:t xml:space="preserve"> </w:t>
      </w:r>
      <w:r w:rsidRPr="000175D8">
        <w:rPr>
          <w:lang w:eastAsia="en-GB"/>
        </w:rPr>
        <w:t>uz grupas kontu un no tā</w:t>
      </w:r>
      <w:r w:rsidR="00550D65">
        <w:rPr>
          <w:lang w:eastAsia="en-GB"/>
        </w:rPr>
        <w:t>;</w:t>
      </w:r>
    </w:p>
    <w:p w14:paraId="1E8D48FA" w14:textId="3340567D" w:rsidR="00220EE1" w:rsidRDefault="00066BB3" w:rsidP="006E185B">
      <w:pPr>
        <w:pStyle w:val="NApunkts2"/>
        <w:rPr>
          <w:lang w:eastAsia="en-GB"/>
        </w:rPr>
      </w:pPr>
      <w:r w:rsidRPr="00E872A2">
        <w:rPr>
          <w:lang w:eastAsia="en-GB"/>
        </w:rPr>
        <w:t xml:space="preserve">neietver tajā </w:t>
      </w:r>
      <w:r w:rsidR="00725EBB">
        <w:rPr>
          <w:lang w:eastAsia="en-GB"/>
        </w:rPr>
        <w:t xml:space="preserve">tādu </w:t>
      </w:r>
      <w:r w:rsidR="00E64F1A" w:rsidRPr="00E872A2">
        <w:rPr>
          <w:lang w:eastAsia="en-GB"/>
        </w:rPr>
        <w:t xml:space="preserve">klienta </w:t>
      </w:r>
      <w:r w:rsidRPr="00E872A2">
        <w:rPr>
          <w:lang w:eastAsia="en-GB"/>
        </w:rPr>
        <w:t>līdzekļu atmaksu, kas noguldīt</w:t>
      </w:r>
      <w:r w:rsidR="00876EA2" w:rsidRPr="00A3618D">
        <w:rPr>
          <w:lang w:eastAsia="en-GB"/>
        </w:rPr>
        <w:t>i</w:t>
      </w:r>
      <w:r w:rsidRPr="00E872A2">
        <w:rPr>
          <w:lang w:eastAsia="en-GB"/>
        </w:rPr>
        <w:t xml:space="preserve"> uz vienu vai vairākām naktīm (</w:t>
      </w:r>
      <w:r w:rsidR="000D0743">
        <w:rPr>
          <w:lang w:eastAsia="en-GB"/>
        </w:rPr>
        <w:t>noguldījums uz nakti</w:t>
      </w:r>
      <w:r w:rsidRPr="00E872A2">
        <w:rPr>
          <w:lang w:eastAsia="en-GB"/>
        </w:rPr>
        <w:t>)</w:t>
      </w:r>
      <w:r w:rsidR="00E64F1A" w:rsidRPr="00E872A2">
        <w:rPr>
          <w:lang w:eastAsia="en-GB"/>
        </w:rPr>
        <w:t xml:space="preserve">, ja šis noguldījums veikts no klienta konta </w:t>
      </w:r>
      <w:r w:rsidR="003A586C" w:rsidRPr="00A3618D">
        <w:rPr>
          <w:lang w:eastAsia="en-GB"/>
        </w:rPr>
        <w:t>kredīt</w:t>
      </w:r>
      <w:r w:rsidR="00E64F1A" w:rsidRPr="00E872A2">
        <w:rPr>
          <w:lang w:eastAsia="en-GB"/>
        </w:rPr>
        <w:t>iestādē</w:t>
      </w:r>
      <w:r w:rsidRPr="00E872A2">
        <w:rPr>
          <w:lang w:eastAsia="en-GB"/>
        </w:rPr>
        <w:t>.</w:t>
      </w:r>
    </w:p>
    <w:p w14:paraId="039DFA0F" w14:textId="35314EE0" w:rsidR="000175D8" w:rsidRDefault="000175D8" w:rsidP="006E185B">
      <w:pPr>
        <w:pStyle w:val="NApunkts1"/>
        <w:shd w:val="clear" w:color="auto" w:fill="FFFFFF"/>
        <w:tabs>
          <w:tab w:val="left" w:pos="284"/>
          <w:tab w:val="left" w:pos="426"/>
        </w:tabs>
        <w:ind w:left="0" w:firstLine="0"/>
        <w:rPr>
          <w:lang w:eastAsia="en-GB"/>
        </w:rPr>
      </w:pPr>
      <w:bookmarkStart w:id="16" w:name="p13"/>
      <w:bookmarkStart w:id="17" w:name="p-1168003"/>
      <w:bookmarkEnd w:id="16"/>
      <w:bookmarkEnd w:id="17"/>
      <w:r w:rsidRPr="000175D8">
        <w:rPr>
          <w:lang w:eastAsia="en-GB"/>
        </w:rPr>
        <w:t>Kredītiestāde</w:t>
      </w:r>
      <w:r w:rsidR="002666BD">
        <w:rPr>
          <w:lang w:eastAsia="en-GB"/>
        </w:rPr>
        <w:t xml:space="preserve"> </w:t>
      </w:r>
      <w:r w:rsidRPr="000175D8">
        <w:rPr>
          <w:lang w:eastAsia="en-GB"/>
        </w:rPr>
        <w:t xml:space="preserve">iesniedz </w:t>
      </w:r>
      <w:r>
        <w:rPr>
          <w:lang w:eastAsia="en-GB"/>
        </w:rPr>
        <w:t>Latvijas Bank</w:t>
      </w:r>
      <w:r w:rsidR="000A0160">
        <w:rPr>
          <w:lang w:eastAsia="en-GB"/>
        </w:rPr>
        <w:t>a</w:t>
      </w:r>
      <w:r>
        <w:rPr>
          <w:lang w:eastAsia="en-GB"/>
        </w:rPr>
        <w:t>i</w:t>
      </w:r>
      <w:r w:rsidR="002666BD">
        <w:rPr>
          <w:lang w:eastAsia="en-GB"/>
        </w:rPr>
        <w:t xml:space="preserve"> </w:t>
      </w:r>
      <w:r w:rsidRPr="000175D8">
        <w:rPr>
          <w:lang w:eastAsia="en-GB"/>
        </w:rPr>
        <w:t xml:space="preserve">NILLTPF riska pārvaldīšanas stratēģiju viena </w:t>
      </w:r>
      <w:r w:rsidR="00617549">
        <w:rPr>
          <w:lang w:eastAsia="en-GB"/>
        </w:rPr>
        <w:t xml:space="preserve">kalendārā </w:t>
      </w:r>
      <w:r w:rsidRPr="000175D8">
        <w:rPr>
          <w:lang w:eastAsia="en-GB"/>
        </w:rPr>
        <w:t>mēneša laikā pēc tam, kad tā ir apstiprināta kredītiestādes padomē.</w:t>
      </w:r>
    </w:p>
    <w:p w14:paraId="2807F38D" w14:textId="01056998" w:rsidR="00BE5998" w:rsidRDefault="000175D8" w:rsidP="006E185B">
      <w:pPr>
        <w:pStyle w:val="NApunkts1"/>
        <w:shd w:val="clear" w:color="auto" w:fill="FFFFFF"/>
        <w:tabs>
          <w:tab w:val="left" w:pos="284"/>
          <w:tab w:val="left" w:pos="426"/>
        </w:tabs>
        <w:ind w:left="0" w:firstLine="0"/>
        <w:rPr>
          <w:lang w:eastAsia="en-GB"/>
        </w:rPr>
      </w:pPr>
      <w:bookmarkStart w:id="18" w:name="p14"/>
      <w:bookmarkStart w:id="19" w:name="p-1168004"/>
      <w:bookmarkEnd w:id="18"/>
      <w:bookmarkEnd w:id="19"/>
      <w:r w:rsidRPr="000175D8">
        <w:rPr>
          <w:lang w:eastAsia="en-GB"/>
        </w:rPr>
        <w:t xml:space="preserve">Kredītiestādes valde regulāri izvērtē to, vai nav pārsniegtas faktiski noteiktās NILLTPF riska </w:t>
      </w:r>
      <w:r w:rsidRPr="00AC5AB2">
        <w:rPr>
          <w:lang w:eastAsia="en-GB"/>
        </w:rPr>
        <w:t xml:space="preserve">ekspozīcijas rādītāju robežvērtības vai pārkāptas robežvērtību </w:t>
      </w:r>
      <w:r w:rsidR="00C86059" w:rsidRPr="00AC5AB2">
        <w:rPr>
          <w:lang w:eastAsia="en-GB"/>
        </w:rPr>
        <w:t xml:space="preserve">noteikšanas </w:t>
      </w:r>
      <w:r w:rsidRPr="00AC5AB2">
        <w:rPr>
          <w:lang w:eastAsia="en-GB"/>
        </w:rPr>
        <w:t xml:space="preserve">prasības, kā arī vērtē pārsnieguma iemeslus un pamatotību, ja konstatēts NILLTPF riska ekspozīcijas rādītāju robežvērtību pārsniegums vai robežvērtību </w:t>
      </w:r>
      <w:r w:rsidR="00C86059" w:rsidRPr="00AC5AB2">
        <w:rPr>
          <w:lang w:eastAsia="en-GB"/>
        </w:rPr>
        <w:t>noteikšanas</w:t>
      </w:r>
      <w:r w:rsidRPr="00AC5AB2">
        <w:rPr>
          <w:lang w:eastAsia="en-GB"/>
        </w:rPr>
        <w:t xml:space="preserve"> prasību</w:t>
      </w:r>
      <w:r w:rsidRPr="000175D8">
        <w:rPr>
          <w:lang w:eastAsia="en-GB"/>
        </w:rPr>
        <w:t xml:space="preserve"> pārkāpums. Būtisku noviržu (noteiktā robežvērtība pārsniegta par 10</w:t>
      </w:r>
      <w:r w:rsidR="00CC0E90">
        <w:rPr>
          <w:lang w:eastAsia="en-GB"/>
        </w:rPr>
        <w:t> </w:t>
      </w:r>
      <w:r w:rsidRPr="000175D8">
        <w:rPr>
          <w:lang w:eastAsia="en-GB"/>
        </w:rPr>
        <w:t>procentiem</w:t>
      </w:r>
      <w:r w:rsidR="005B63F1">
        <w:rPr>
          <w:lang w:eastAsia="en-GB"/>
        </w:rPr>
        <w:t xml:space="preserve"> vai </w:t>
      </w:r>
      <w:r w:rsidR="005B63F1" w:rsidRPr="008A6443">
        <w:rPr>
          <w:lang w:eastAsia="en-GB"/>
        </w:rPr>
        <w:t>vairāk</w:t>
      </w:r>
      <w:r w:rsidRPr="008A6443">
        <w:rPr>
          <w:lang w:eastAsia="en-GB"/>
        </w:rPr>
        <w:t>) gadījumā kredītiestāde katru reizi vienlaikus ar šo noteikumu</w:t>
      </w:r>
      <w:r w:rsidR="00835974">
        <w:rPr>
          <w:lang w:eastAsia="en-GB"/>
        </w:rPr>
        <w:t xml:space="preserve"> </w:t>
      </w:r>
      <w:hyperlink r:id="rId15" w:anchor="p19" w:history="1">
        <w:r w:rsidR="001F23D8" w:rsidRPr="008A6443">
          <w:rPr>
            <w:lang w:eastAsia="en-GB"/>
          </w:rPr>
          <w:t>2</w:t>
        </w:r>
        <w:r w:rsidR="0013101D">
          <w:rPr>
            <w:lang w:eastAsia="en-GB"/>
          </w:rPr>
          <w:t>3</w:t>
        </w:r>
        <w:r w:rsidR="00B92115" w:rsidRPr="008A6443">
          <w:rPr>
            <w:lang w:eastAsia="en-GB"/>
          </w:rPr>
          <w:t>.</w:t>
        </w:r>
        <w:r w:rsidR="00835974" w:rsidRPr="00435118">
          <w:t> </w:t>
        </w:r>
        <w:r w:rsidR="00B92115" w:rsidRPr="008A6443">
          <w:rPr>
            <w:lang w:eastAsia="en-GB"/>
          </w:rPr>
          <w:t>punktā</w:t>
        </w:r>
      </w:hyperlink>
      <w:r w:rsidR="00835974">
        <w:rPr>
          <w:lang w:eastAsia="en-GB"/>
        </w:rPr>
        <w:t xml:space="preserve"> </w:t>
      </w:r>
      <w:r w:rsidRPr="008A6443">
        <w:rPr>
          <w:lang w:eastAsia="en-GB"/>
        </w:rPr>
        <w:t>minēto</w:t>
      </w:r>
      <w:r w:rsidRPr="000175D8">
        <w:rPr>
          <w:lang w:eastAsia="en-GB"/>
        </w:rPr>
        <w:t xml:space="preserve"> pārskatu par kredītiestādes iepriekšējā ceturkšņa NILLTPF riska ekspozīcijas raksturojumu </w:t>
      </w:r>
      <w:r w:rsidR="00336D99">
        <w:rPr>
          <w:lang w:eastAsia="en-GB"/>
        </w:rPr>
        <w:t>ie</w:t>
      </w:r>
      <w:r w:rsidRPr="000175D8">
        <w:rPr>
          <w:lang w:eastAsia="en-GB"/>
        </w:rPr>
        <w:t xml:space="preserve">sniedz ziņojumu </w:t>
      </w:r>
      <w:r>
        <w:rPr>
          <w:lang w:eastAsia="en-GB"/>
        </w:rPr>
        <w:t>Latvijas Bankai</w:t>
      </w:r>
      <w:r w:rsidR="000D0743">
        <w:rPr>
          <w:lang w:eastAsia="en-GB"/>
        </w:rPr>
        <w:t xml:space="preserve"> saskaņā ar šo noteikumu 24.</w:t>
      </w:r>
      <w:r w:rsidR="00A15B59">
        <w:rPr>
          <w:lang w:eastAsia="en-GB"/>
        </w:rPr>
        <w:t> </w:t>
      </w:r>
      <w:r w:rsidR="000D0743">
        <w:rPr>
          <w:lang w:eastAsia="en-GB"/>
        </w:rPr>
        <w:t>punktā noteikto kārtību</w:t>
      </w:r>
      <w:r w:rsidRPr="000175D8">
        <w:rPr>
          <w:lang w:eastAsia="en-GB"/>
        </w:rPr>
        <w:t>.</w:t>
      </w:r>
    </w:p>
    <w:p w14:paraId="21EA730D" w14:textId="4AEBA811" w:rsidR="00417E23" w:rsidRPr="00417E23" w:rsidRDefault="004A41E6" w:rsidP="00817AA4">
      <w:pPr>
        <w:pStyle w:val="NAnodala"/>
      </w:pPr>
      <w:bookmarkStart w:id="20" w:name="p16"/>
      <w:bookmarkStart w:id="21" w:name="p-1168007"/>
      <w:bookmarkStart w:id="22" w:name="p17"/>
      <w:bookmarkStart w:id="23" w:name="p-1168008"/>
      <w:bookmarkStart w:id="24" w:name="p23"/>
      <w:bookmarkStart w:id="25" w:name="p-769867"/>
      <w:bookmarkStart w:id="26" w:name="p24"/>
      <w:bookmarkStart w:id="27" w:name="p-769868"/>
      <w:bookmarkStart w:id="28" w:name="p25"/>
      <w:bookmarkStart w:id="29" w:name="p-769869"/>
      <w:bookmarkStart w:id="30" w:name="p26"/>
      <w:bookmarkStart w:id="31" w:name="p-769870"/>
      <w:bookmarkStart w:id="32" w:name="p27"/>
      <w:bookmarkStart w:id="33" w:name="p-769904"/>
      <w:bookmarkStart w:id="34" w:name="p28"/>
      <w:bookmarkStart w:id="35" w:name="p-769871"/>
      <w:bookmarkStart w:id="36" w:name="p29"/>
      <w:bookmarkStart w:id="37" w:name="p-769872"/>
      <w:bookmarkStart w:id="38" w:name="p31"/>
      <w:bookmarkStart w:id="39" w:name="p-769875"/>
      <w:bookmarkStart w:id="40" w:name="p32"/>
      <w:bookmarkStart w:id="41" w:name="p-769876"/>
      <w:bookmarkStart w:id="42" w:name="p33"/>
      <w:bookmarkStart w:id="43" w:name="p-769877"/>
      <w:bookmarkStart w:id="44" w:name="p34"/>
      <w:bookmarkStart w:id="45" w:name="p-769878"/>
      <w:bookmarkStart w:id="46" w:name="p35"/>
      <w:bookmarkStart w:id="47" w:name="p-769879"/>
      <w:bookmarkStart w:id="48" w:name="p36"/>
      <w:bookmarkStart w:id="49" w:name="p-769880"/>
      <w:bookmarkStart w:id="50" w:name="p37"/>
      <w:bookmarkStart w:id="51" w:name="p-769881"/>
      <w:bookmarkStart w:id="52" w:name="p38"/>
      <w:bookmarkStart w:id="53" w:name="p-769882"/>
      <w:bookmarkStart w:id="54" w:name="p39"/>
      <w:bookmarkStart w:id="55" w:name="p-769883"/>
      <w:bookmarkStart w:id="56" w:name="p40"/>
      <w:bookmarkStart w:id="57" w:name="p-769884"/>
      <w:bookmarkEnd w:id="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817AA4">
        <w:t>4</w:t>
      </w:r>
      <w:r w:rsidR="0073767E" w:rsidRPr="008746F2">
        <w:t>.</w:t>
      </w:r>
      <w:r w:rsidR="0073767E" w:rsidRPr="00681AAF">
        <w:t xml:space="preserve"> </w:t>
      </w:r>
      <w:r w:rsidR="00417E23" w:rsidRPr="006E5615">
        <w:t xml:space="preserve">Datu par </w:t>
      </w:r>
      <w:r w:rsidR="00E11AC0" w:rsidRPr="006E5615">
        <w:t>NILLTPF</w:t>
      </w:r>
      <w:r w:rsidR="00E11AC0" w:rsidRPr="004A41E6">
        <w:t xml:space="preserve"> riska ekspozīcijas </w:t>
      </w:r>
      <w:r w:rsidR="008973FB" w:rsidRPr="004A41E6">
        <w:t>rādītāj</w:t>
      </w:r>
      <w:r w:rsidR="00417E23">
        <w:t>iem sagatavošana</w:t>
      </w:r>
    </w:p>
    <w:p w14:paraId="2CF84448" w14:textId="06DBA572" w:rsidR="0052058B" w:rsidRDefault="004A41E6" w:rsidP="00BE5998">
      <w:pPr>
        <w:pStyle w:val="NAapaksnodala"/>
        <w:numPr>
          <w:ilvl w:val="0"/>
          <w:numId w:val="0"/>
        </w:numPr>
      </w:pPr>
      <w:r>
        <w:t>4</w:t>
      </w:r>
      <w:r w:rsidR="0052058B">
        <w:t xml:space="preserve">.1. </w:t>
      </w:r>
      <w:r w:rsidR="005F3ACB" w:rsidRPr="00E11AC0">
        <w:t>NILLTPF riska ekspozīcij</w:t>
      </w:r>
      <w:r w:rsidR="005F3ACB">
        <w:t xml:space="preserve">as rādītāju apkopošana </w:t>
      </w:r>
      <w:r w:rsidR="00F0564B">
        <w:t xml:space="preserve">un </w:t>
      </w:r>
      <w:r w:rsidR="00F0564B" w:rsidRPr="00D15C46">
        <w:t>NILLTPF riska ekspozīcijas</w:t>
      </w:r>
      <w:r w:rsidR="00F0564B">
        <w:t xml:space="preserve"> raksturojuma pārskats</w:t>
      </w:r>
    </w:p>
    <w:p w14:paraId="5A812BEA" w14:textId="174B2214" w:rsidR="00E11AC0" w:rsidRDefault="00E11AC0" w:rsidP="006E185B">
      <w:pPr>
        <w:pStyle w:val="NApunkts1"/>
        <w:shd w:val="clear" w:color="auto" w:fill="FFFFFF"/>
        <w:tabs>
          <w:tab w:val="left" w:pos="284"/>
          <w:tab w:val="left" w:pos="426"/>
        </w:tabs>
        <w:ind w:left="0" w:firstLine="0"/>
        <w:rPr>
          <w:lang w:eastAsia="en-GB"/>
        </w:rPr>
      </w:pPr>
      <w:r w:rsidRPr="00E11AC0">
        <w:rPr>
          <w:lang w:eastAsia="en-GB"/>
        </w:rPr>
        <w:t>Kredītiestāde</w:t>
      </w:r>
      <w:r w:rsidR="00D54EC1">
        <w:rPr>
          <w:lang w:eastAsia="en-GB"/>
        </w:rPr>
        <w:t xml:space="preserve"> un </w:t>
      </w:r>
      <w:r w:rsidR="00FA5110">
        <w:rPr>
          <w:lang w:eastAsia="en-GB"/>
        </w:rPr>
        <w:t xml:space="preserve">citas </w:t>
      </w:r>
      <w:r w:rsidR="00D54EC1" w:rsidRPr="001227DE">
        <w:t>dalībvalst</w:t>
      </w:r>
      <w:r w:rsidR="00D656B3">
        <w:t>s</w:t>
      </w:r>
      <w:r w:rsidR="00D54EC1" w:rsidRPr="001227DE">
        <w:t xml:space="preserve"> vai treš</w:t>
      </w:r>
      <w:r w:rsidR="00D656B3">
        <w:t>ās</w:t>
      </w:r>
      <w:r w:rsidR="00D54EC1" w:rsidRPr="001227DE">
        <w:t xml:space="preserve"> valst</w:t>
      </w:r>
      <w:r w:rsidR="00D656B3">
        <w:t>s</w:t>
      </w:r>
      <w:r w:rsidR="00D54EC1" w:rsidRPr="001227DE">
        <w:t xml:space="preserve"> kredītiestā</w:t>
      </w:r>
      <w:r w:rsidR="00D656B3">
        <w:t>des</w:t>
      </w:r>
      <w:r w:rsidR="00D54EC1" w:rsidRPr="001227DE">
        <w:t xml:space="preserve"> filiāle Latvijas Republikā</w:t>
      </w:r>
      <w:r w:rsidRPr="00E11AC0">
        <w:rPr>
          <w:lang w:eastAsia="en-GB"/>
        </w:rPr>
        <w:t xml:space="preserve"> nosaka NILLTPF riska ekspozīcijas rādītāju apkopošanas un izvērtēšanas kārtību</w:t>
      </w:r>
      <w:r w:rsidR="00D54EC1">
        <w:rPr>
          <w:lang w:eastAsia="en-GB"/>
        </w:rPr>
        <w:t>, tai skaitā:</w:t>
      </w:r>
    </w:p>
    <w:p w14:paraId="00BD8797" w14:textId="386704CD" w:rsidR="00D54EC1" w:rsidRDefault="00D54EC1" w:rsidP="006E185B">
      <w:pPr>
        <w:pStyle w:val="NApunkts2"/>
        <w:rPr>
          <w:lang w:eastAsia="en-GB"/>
        </w:rPr>
      </w:pPr>
      <w:r w:rsidRPr="00417E23">
        <w:rPr>
          <w:lang w:eastAsia="en-GB"/>
        </w:rPr>
        <w:t>NILLTPF riska ekspozīcij</w:t>
      </w:r>
      <w:r>
        <w:rPr>
          <w:lang w:eastAsia="en-GB"/>
        </w:rPr>
        <w:t>u</w:t>
      </w:r>
      <w:r w:rsidRPr="00417E23">
        <w:rPr>
          <w:lang w:eastAsia="en-GB"/>
        </w:rPr>
        <w:t xml:space="preserve"> raksturojošās informācijas avotus</w:t>
      </w:r>
      <w:r>
        <w:rPr>
          <w:lang w:eastAsia="en-GB"/>
        </w:rPr>
        <w:t>;</w:t>
      </w:r>
    </w:p>
    <w:p w14:paraId="1B55662B" w14:textId="7D25B5D0" w:rsidR="00E11AC0" w:rsidRPr="00E11AC0" w:rsidRDefault="00417E23" w:rsidP="006E185B">
      <w:pPr>
        <w:pStyle w:val="NApunkts2"/>
        <w:rPr>
          <w:lang w:eastAsia="en-GB"/>
        </w:rPr>
      </w:pPr>
      <w:r w:rsidRPr="00417E23">
        <w:rPr>
          <w:lang w:eastAsia="en-GB"/>
        </w:rPr>
        <w:t>NILLTPF riska ekspozīcij</w:t>
      </w:r>
      <w:r w:rsidR="0071689D">
        <w:rPr>
          <w:lang w:eastAsia="en-GB"/>
        </w:rPr>
        <w:t>u</w:t>
      </w:r>
      <w:r w:rsidRPr="00417E23">
        <w:rPr>
          <w:lang w:eastAsia="en-GB"/>
        </w:rPr>
        <w:t xml:space="preserve"> raksturojošās </w:t>
      </w:r>
      <w:r w:rsidR="00E11AC0" w:rsidRPr="00E11AC0">
        <w:rPr>
          <w:lang w:eastAsia="en-GB"/>
        </w:rPr>
        <w:t>informācijas iegūšanas un izvērtēšanas kārtību;</w:t>
      </w:r>
    </w:p>
    <w:p w14:paraId="363D3D37" w14:textId="785EF64C" w:rsidR="00E11AC0" w:rsidRDefault="00E11AC0" w:rsidP="006E185B">
      <w:pPr>
        <w:pStyle w:val="NApunkts2"/>
        <w:rPr>
          <w:lang w:eastAsia="en-GB"/>
        </w:rPr>
      </w:pPr>
      <w:r w:rsidRPr="00E11AC0">
        <w:rPr>
          <w:lang w:eastAsia="en-GB"/>
        </w:rPr>
        <w:t>darbiniekus, k</w:t>
      </w:r>
      <w:r w:rsidR="0071689D">
        <w:rPr>
          <w:lang w:eastAsia="en-GB"/>
        </w:rPr>
        <w:t>uri</w:t>
      </w:r>
      <w:r w:rsidRPr="00E11AC0">
        <w:rPr>
          <w:lang w:eastAsia="en-GB"/>
        </w:rPr>
        <w:t xml:space="preserve"> ir tiesīgi sagatavot, izvērtēt un pārbaudīt NILLTPF riska ekspozīciju raksturojošo informāciju;</w:t>
      </w:r>
    </w:p>
    <w:p w14:paraId="3F60EC88" w14:textId="367D41A0" w:rsidR="00D54EC1" w:rsidRDefault="00D54EC1" w:rsidP="006E185B">
      <w:pPr>
        <w:pStyle w:val="NApunkts2"/>
        <w:rPr>
          <w:lang w:eastAsia="en-GB"/>
        </w:rPr>
      </w:pPr>
      <w:r w:rsidRPr="00222B1F">
        <w:rPr>
          <w:lang w:eastAsia="en-GB"/>
        </w:rPr>
        <w:t>darbinieku</w:t>
      </w:r>
      <w:r w:rsidR="00FA5110">
        <w:rPr>
          <w:lang w:eastAsia="en-GB"/>
        </w:rPr>
        <w:t>s</w:t>
      </w:r>
      <w:r w:rsidRPr="00222B1F">
        <w:rPr>
          <w:lang w:eastAsia="en-GB"/>
        </w:rPr>
        <w:t>, k</w:t>
      </w:r>
      <w:r w:rsidR="00D656B3">
        <w:rPr>
          <w:lang w:eastAsia="en-GB"/>
        </w:rPr>
        <w:t>uri</w:t>
      </w:r>
      <w:r w:rsidRPr="00222B1F">
        <w:rPr>
          <w:lang w:eastAsia="en-GB"/>
        </w:rPr>
        <w:t xml:space="preserve"> sniedz Latvijas Bankai </w:t>
      </w:r>
      <w:r>
        <w:rPr>
          <w:lang w:eastAsia="en-GB"/>
        </w:rPr>
        <w:t>informāciju atbilstoši šo noteikumu prasībām.</w:t>
      </w:r>
    </w:p>
    <w:p w14:paraId="6662264B" w14:textId="7975354A" w:rsidR="00E11AC0" w:rsidRPr="00D54EC1" w:rsidRDefault="00D656B3" w:rsidP="006E185B">
      <w:pPr>
        <w:pStyle w:val="NApunkts1"/>
        <w:shd w:val="clear" w:color="auto" w:fill="FFFFFF"/>
        <w:tabs>
          <w:tab w:val="left" w:pos="284"/>
          <w:tab w:val="left" w:pos="426"/>
        </w:tabs>
        <w:ind w:left="0" w:firstLine="0"/>
        <w:rPr>
          <w:lang w:eastAsia="en-GB"/>
        </w:rPr>
      </w:pPr>
      <w:r>
        <w:t>Kredītiestāde</w:t>
      </w:r>
      <w:r>
        <w:rPr>
          <w:lang w:eastAsia="en-GB"/>
        </w:rPr>
        <w:t xml:space="preserve"> p</w:t>
      </w:r>
      <w:r w:rsidR="00D54EC1">
        <w:rPr>
          <w:lang w:eastAsia="en-GB"/>
        </w:rPr>
        <w:t xml:space="preserve">apildus </w:t>
      </w:r>
      <w:r>
        <w:rPr>
          <w:lang w:eastAsia="en-GB"/>
        </w:rPr>
        <w:t xml:space="preserve">šo noteikumu </w:t>
      </w:r>
      <w:r w:rsidR="00D54EC1">
        <w:rPr>
          <w:lang w:eastAsia="en-GB"/>
        </w:rPr>
        <w:t>22.</w:t>
      </w:r>
      <w:r w:rsidR="00835974" w:rsidRPr="00435118">
        <w:t> </w:t>
      </w:r>
      <w:r w:rsidR="00D54EC1">
        <w:rPr>
          <w:lang w:eastAsia="en-GB"/>
        </w:rPr>
        <w:t xml:space="preserve">punktā noteiktajam, </w:t>
      </w:r>
      <w:r w:rsidR="00C96898" w:rsidRPr="00E11AC0">
        <w:rPr>
          <w:lang w:eastAsia="en-GB"/>
        </w:rPr>
        <w:t>nosa</w:t>
      </w:r>
      <w:r w:rsidR="00C96898">
        <w:rPr>
          <w:lang w:eastAsia="en-GB"/>
        </w:rPr>
        <w:t>kot</w:t>
      </w:r>
      <w:r w:rsidR="00C96898" w:rsidRPr="00E11AC0">
        <w:rPr>
          <w:lang w:eastAsia="en-GB"/>
        </w:rPr>
        <w:t xml:space="preserve"> NILLTPF riska ekspozīcijas rādītāju apkopošanas un izvērtēšanas kārtību</w:t>
      </w:r>
      <w:r w:rsidR="00C96898">
        <w:rPr>
          <w:lang w:eastAsia="en-GB"/>
        </w:rPr>
        <w:t>,</w:t>
      </w:r>
      <w:r w:rsidR="00E11AC0" w:rsidRPr="00E11AC0">
        <w:rPr>
          <w:lang w:eastAsia="en-GB"/>
        </w:rPr>
        <w:t xml:space="preserve"> </w:t>
      </w:r>
      <w:r w:rsidR="00D54EC1">
        <w:rPr>
          <w:lang w:eastAsia="en-GB"/>
        </w:rPr>
        <w:t xml:space="preserve">nosaka </w:t>
      </w:r>
      <w:r w:rsidR="00E11AC0" w:rsidRPr="00E11AC0">
        <w:rPr>
          <w:lang w:eastAsia="en-GB"/>
        </w:rPr>
        <w:t xml:space="preserve">kārtību un apjomu, kādā informācija par NILLTPF riska ekspozīcijas rādītājiem tiek sniegta </w:t>
      </w:r>
      <w:r>
        <w:rPr>
          <w:lang w:eastAsia="en-GB"/>
        </w:rPr>
        <w:t>tās</w:t>
      </w:r>
      <w:r w:rsidRPr="00E11AC0">
        <w:rPr>
          <w:lang w:eastAsia="en-GB"/>
        </w:rPr>
        <w:t xml:space="preserve"> </w:t>
      </w:r>
      <w:r w:rsidR="00C80945" w:rsidRPr="00E11AC0">
        <w:rPr>
          <w:lang w:eastAsia="en-GB"/>
        </w:rPr>
        <w:t xml:space="preserve">padomei </w:t>
      </w:r>
      <w:r w:rsidR="00C80945">
        <w:rPr>
          <w:lang w:eastAsia="en-GB"/>
        </w:rPr>
        <w:t xml:space="preserve">un </w:t>
      </w:r>
      <w:r w:rsidR="00E11AC0" w:rsidRPr="00E11AC0">
        <w:rPr>
          <w:lang w:eastAsia="en-GB"/>
        </w:rPr>
        <w:t>valdei</w:t>
      </w:r>
      <w:r w:rsidR="00D54EC1">
        <w:rPr>
          <w:lang w:eastAsia="en-GB"/>
        </w:rPr>
        <w:t>,</w:t>
      </w:r>
      <w:r w:rsidR="009C0C6B">
        <w:rPr>
          <w:lang w:eastAsia="en-GB"/>
        </w:rPr>
        <w:t xml:space="preserve"> </w:t>
      </w:r>
      <w:r w:rsidR="00E11AC0" w:rsidRPr="00D54EC1">
        <w:rPr>
          <w:lang w:eastAsia="en-GB"/>
        </w:rPr>
        <w:t>kā arī prasības ziņojum</w:t>
      </w:r>
      <w:r w:rsidR="009E7AF1" w:rsidRPr="00D54EC1">
        <w:rPr>
          <w:lang w:eastAsia="en-GB"/>
        </w:rPr>
        <w:t>u sniegšana</w:t>
      </w:r>
      <w:r w:rsidR="00E11AC0" w:rsidRPr="00D54EC1">
        <w:rPr>
          <w:lang w:eastAsia="en-GB"/>
        </w:rPr>
        <w:t xml:space="preserve">i par NILLTPF riska pārvaldīšanas stratēģijā noteikto robežvērtību pārsniegšanu vai </w:t>
      </w:r>
      <w:r w:rsidR="00C80945">
        <w:rPr>
          <w:lang w:eastAsia="en-GB"/>
        </w:rPr>
        <w:t>iespējamu</w:t>
      </w:r>
      <w:r w:rsidR="00C80945" w:rsidRPr="00D54EC1">
        <w:rPr>
          <w:lang w:eastAsia="en-GB"/>
        </w:rPr>
        <w:t xml:space="preserve"> </w:t>
      </w:r>
      <w:r w:rsidR="00E11AC0" w:rsidRPr="00D54EC1">
        <w:rPr>
          <w:lang w:eastAsia="en-GB"/>
        </w:rPr>
        <w:t>pārsniegšanu</w:t>
      </w:r>
      <w:r w:rsidR="00D54EC1" w:rsidRPr="00D54EC1">
        <w:rPr>
          <w:lang w:eastAsia="en-GB"/>
        </w:rPr>
        <w:t>.</w:t>
      </w:r>
    </w:p>
    <w:p w14:paraId="7B302256" w14:textId="45704218" w:rsidR="005B63F1" w:rsidRDefault="004A2B56" w:rsidP="006E185B">
      <w:pPr>
        <w:pStyle w:val="NApunkts1"/>
        <w:shd w:val="clear" w:color="auto" w:fill="FFFFFF"/>
        <w:tabs>
          <w:tab w:val="left" w:pos="284"/>
          <w:tab w:val="left" w:pos="426"/>
        </w:tabs>
        <w:ind w:left="0" w:firstLine="0"/>
      </w:pPr>
      <w:r w:rsidRPr="00314B2B">
        <w:t>Kredītiestāde</w:t>
      </w:r>
      <w:r w:rsidRPr="00314B2B">
        <w:rPr>
          <w:lang w:eastAsia="en-GB"/>
        </w:rPr>
        <w:t xml:space="preserve"> </w:t>
      </w:r>
      <w:r w:rsidR="00263BA8" w:rsidRPr="001227DE">
        <w:t xml:space="preserve">un </w:t>
      </w:r>
      <w:r w:rsidR="00FA5110">
        <w:t xml:space="preserve">citas </w:t>
      </w:r>
      <w:r w:rsidR="00263BA8" w:rsidRPr="001227DE">
        <w:t>dalībvalst</w:t>
      </w:r>
      <w:r w:rsidR="00D656B3">
        <w:t>s</w:t>
      </w:r>
      <w:r w:rsidR="00263BA8" w:rsidRPr="001227DE">
        <w:t xml:space="preserve"> vai treš</w:t>
      </w:r>
      <w:r w:rsidR="00D656B3">
        <w:t>ās</w:t>
      </w:r>
      <w:r w:rsidR="00263BA8" w:rsidRPr="001227DE">
        <w:t xml:space="preserve"> valst</w:t>
      </w:r>
      <w:r w:rsidR="00D656B3">
        <w:t>s</w:t>
      </w:r>
      <w:r w:rsidR="00263BA8" w:rsidRPr="001227DE">
        <w:t xml:space="preserve"> kredītiestā</w:t>
      </w:r>
      <w:r w:rsidR="00D656B3">
        <w:t>des</w:t>
      </w:r>
      <w:r w:rsidR="00263BA8" w:rsidRPr="001227DE">
        <w:t xml:space="preserve"> filiāle Latvijas Republikā </w:t>
      </w:r>
      <w:r w:rsidR="00A12770">
        <w:rPr>
          <w:lang w:eastAsia="en-GB"/>
        </w:rPr>
        <w:t>par</w:t>
      </w:r>
      <w:r w:rsidRPr="00314B2B">
        <w:rPr>
          <w:lang w:eastAsia="en-GB"/>
        </w:rPr>
        <w:t xml:space="preserve"> katr</w:t>
      </w:r>
      <w:r w:rsidR="00A12770">
        <w:rPr>
          <w:lang w:eastAsia="en-GB"/>
        </w:rPr>
        <w:t>u</w:t>
      </w:r>
      <w:r w:rsidRPr="00314B2B">
        <w:rPr>
          <w:lang w:eastAsia="en-GB"/>
        </w:rPr>
        <w:t xml:space="preserve"> </w:t>
      </w:r>
      <w:r w:rsidR="002D58FE">
        <w:rPr>
          <w:lang w:eastAsia="en-GB"/>
        </w:rPr>
        <w:t>pārskata</w:t>
      </w:r>
      <w:r w:rsidR="00CE68D5">
        <w:rPr>
          <w:lang w:eastAsia="en-GB"/>
        </w:rPr>
        <w:t xml:space="preserve"> </w:t>
      </w:r>
      <w:r w:rsidRPr="00314B2B">
        <w:rPr>
          <w:lang w:eastAsia="en-GB"/>
        </w:rPr>
        <w:t>ceturk</w:t>
      </w:r>
      <w:r w:rsidR="001F23D8">
        <w:rPr>
          <w:lang w:eastAsia="en-GB"/>
        </w:rPr>
        <w:t>s</w:t>
      </w:r>
      <w:r w:rsidR="00A12770">
        <w:rPr>
          <w:lang w:eastAsia="en-GB"/>
        </w:rPr>
        <w:t xml:space="preserve">ni </w:t>
      </w:r>
      <w:r w:rsidR="00A12770" w:rsidRPr="008A6443">
        <w:rPr>
          <w:lang w:eastAsia="en-GB"/>
        </w:rPr>
        <w:t>sagatavo NILLTPF riska ekspozīcijas raksturojuma pārskatu (</w:t>
      </w:r>
      <w:r w:rsidR="00A25C80" w:rsidRPr="008A6443">
        <w:rPr>
          <w:lang w:eastAsia="en-GB"/>
        </w:rPr>
        <w:t>turpmāk</w:t>
      </w:r>
      <w:r w:rsidR="00A15B59">
        <w:rPr>
          <w:lang w:eastAsia="en-GB"/>
        </w:rPr>
        <w:t> </w:t>
      </w:r>
      <w:r w:rsidR="00A25C80" w:rsidRPr="008A6443">
        <w:rPr>
          <w:lang w:eastAsia="en-GB"/>
        </w:rPr>
        <w:t>– Pārskats</w:t>
      </w:r>
      <w:r w:rsidR="00A12770" w:rsidRPr="008A6443">
        <w:rPr>
          <w:lang w:eastAsia="en-GB"/>
        </w:rPr>
        <w:t xml:space="preserve">) </w:t>
      </w:r>
      <w:r w:rsidR="00336D99">
        <w:rPr>
          <w:lang w:eastAsia="en-GB"/>
        </w:rPr>
        <w:t xml:space="preserve">atbilstoši šo noteikumu pielikumam </w:t>
      </w:r>
      <w:r w:rsidR="00A12770" w:rsidRPr="008A6443">
        <w:rPr>
          <w:lang w:eastAsia="en-GB"/>
        </w:rPr>
        <w:t>un</w:t>
      </w:r>
      <w:r w:rsidR="00A12770">
        <w:rPr>
          <w:lang w:eastAsia="en-GB"/>
        </w:rPr>
        <w:t xml:space="preserve"> iesniedz to Latvijas Bankai līdz pārskata </w:t>
      </w:r>
      <w:r w:rsidR="0004103F">
        <w:rPr>
          <w:lang w:eastAsia="en-GB"/>
        </w:rPr>
        <w:t>ceturksnim</w:t>
      </w:r>
      <w:r w:rsidR="00A12770">
        <w:rPr>
          <w:lang w:eastAsia="en-GB"/>
        </w:rPr>
        <w:t xml:space="preserve"> sekojošā</w:t>
      </w:r>
      <w:r w:rsidRPr="00314B2B">
        <w:rPr>
          <w:lang w:eastAsia="en-GB"/>
        </w:rPr>
        <w:t xml:space="preserve"> </w:t>
      </w:r>
      <w:r w:rsidR="00617549">
        <w:rPr>
          <w:lang w:eastAsia="en-GB"/>
        </w:rPr>
        <w:t xml:space="preserve">kalendārā </w:t>
      </w:r>
      <w:r w:rsidRPr="00314B2B">
        <w:rPr>
          <w:lang w:eastAsia="en-GB"/>
        </w:rPr>
        <w:t xml:space="preserve">mēneša pēdējam datumam </w:t>
      </w:r>
      <w:r w:rsidR="00A12770" w:rsidRPr="00B11C96">
        <w:t>elektroniskā veidā</w:t>
      </w:r>
      <w:r w:rsidR="00A12770">
        <w:rPr>
          <w:lang w:eastAsia="en-GB"/>
        </w:rPr>
        <w:t xml:space="preserve">, </w:t>
      </w:r>
      <w:r w:rsidR="00A12770" w:rsidRPr="00B11C96">
        <w:t>izmantojot paaugstināt</w:t>
      </w:r>
      <w:r w:rsidR="00A12770">
        <w:t>ā</w:t>
      </w:r>
      <w:r w:rsidR="00A12770" w:rsidRPr="00B11C96">
        <w:t>s drošības sistēmu</w:t>
      </w:r>
      <w:r w:rsidR="00A12770">
        <w:t xml:space="preserve">, saskaņā ar Latvijas Bankas noteikumiem, </w:t>
      </w:r>
      <w:r w:rsidR="00A12770" w:rsidRPr="00E06CAB">
        <w:t>kas regulē elektronisko informācijas apmaiņu ar Latvijas Banku</w:t>
      </w:r>
      <w:r w:rsidR="00A12770">
        <w:t>.</w:t>
      </w:r>
    </w:p>
    <w:p w14:paraId="79AEFACB" w14:textId="4FD0EFE1" w:rsidR="005B63F1" w:rsidRPr="004A4C3D" w:rsidRDefault="005B63F1" w:rsidP="006E185B">
      <w:pPr>
        <w:pStyle w:val="NAapaksnodala"/>
        <w:keepNext/>
        <w:keepLines/>
        <w:numPr>
          <w:ilvl w:val="0"/>
          <w:numId w:val="0"/>
        </w:numPr>
        <w:rPr>
          <w:bCs/>
        </w:rPr>
      </w:pPr>
      <w:r w:rsidRPr="004A4C3D">
        <w:rPr>
          <w:bCs/>
        </w:rPr>
        <w:lastRenderedPageBreak/>
        <w:t>4.</w:t>
      </w:r>
      <w:r w:rsidR="00DB6F4D" w:rsidRPr="004A4C3D">
        <w:rPr>
          <w:bCs/>
        </w:rPr>
        <w:t>2</w:t>
      </w:r>
      <w:r w:rsidRPr="004A4C3D">
        <w:rPr>
          <w:bCs/>
        </w:rPr>
        <w:t>. Pārskata sagatavošanas kārtība</w:t>
      </w:r>
    </w:p>
    <w:p w14:paraId="70F069A4" w14:textId="7293542E" w:rsidR="00FC30EE" w:rsidRDefault="006F3F44" w:rsidP="00FC30EE">
      <w:pPr>
        <w:pStyle w:val="NAapaksnodala"/>
        <w:numPr>
          <w:ilvl w:val="0"/>
          <w:numId w:val="0"/>
        </w:numPr>
        <w:rPr>
          <w:bCs/>
        </w:rPr>
      </w:pPr>
      <w:bookmarkStart w:id="58" w:name="p19"/>
      <w:bookmarkStart w:id="59" w:name="p-1168011"/>
      <w:bookmarkEnd w:id="58"/>
      <w:bookmarkEnd w:id="59"/>
      <w:r w:rsidRPr="004A4C3D">
        <w:rPr>
          <w:bCs/>
        </w:rPr>
        <w:t>4</w:t>
      </w:r>
      <w:r w:rsidR="00FC30EE" w:rsidRPr="004A4C3D">
        <w:rPr>
          <w:bCs/>
        </w:rPr>
        <w:t>.</w:t>
      </w:r>
      <w:r w:rsidR="00DB6F4D" w:rsidRPr="004A4C3D">
        <w:rPr>
          <w:bCs/>
        </w:rPr>
        <w:t>2</w:t>
      </w:r>
      <w:r w:rsidR="00FC30EE" w:rsidRPr="004A4C3D">
        <w:rPr>
          <w:bCs/>
        </w:rPr>
        <w:t>.1</w:t>
      </w:r>
      <w:r w:rsidR="00347933" w:rsidRPr="004A4C3D">
        <w:rPr>
          <w:bCs/>
        </w:rPr>
        <w:t>.</w:t>
      </w:r>
      <w:r w:rsidR="00FC30EE" w:rsidRPr="004A4C3D">
        <w:rPr>
          <w:bCs/>
        </w:rPr>
        <w:t xml:space="preserve"> </w:t>
      </w:r>
      <w:r w:rsidR="00347933" w:rsidRPr="004A4C3D">
        <w:rPr>
          <w:bCs/>
        </w:rPr>
        <w:t>V</w:t>
      </w:r>
      <w:r w:rsidR="004879A3" w:rsidRPr="004A4C3D">
        <w:rPr>
          <w:bCs/>
        </w:rPr>
        <w:t xml:space="preserve">ispārējās </w:t>
      </w:r>
      <w:r w:rsidR="00FF785D" w:rsidRPr="004A4C3D">
        <w:rPr>
          <w:bCs/>
        </w:rPr>
        <w:t>P</w:t>
      </w:r>
      <w:r w:rsidR="00556064" w:rsidRPr="004A4C3D">
        <w:rPr>
          <w:bCs/>
        </w:rPr>
        <w:t>ārskata sagatavošan</w:t>
      </w:r>
      <w:r w:rsidR="00FF785D" w:rsidRPr="004A4C3D">
        <w:rPr>
          <w:bCs/>
        </w:rPr>
        <w:t>as prasības</w:t>
      </w:r>
    </w:p>
    <w:p w14:paraId="31D539FF" w14:textId="412727D0" w:rsidR="006E135F" w:rsidRPr="00157888" w:rsidRDefault="006E135F" w:rsidP="006E185B">
      <w:pPr>
        <w:pStyle w:val="NApunkts1"/>
        <w:shd w:val="clear" w:color="auto" w:fill="FFFFFF"/>
        <w:tabs>
          <w:tab w:val="left" w:pos="284"/>
          <w:tab w:val="left" w:pos="426"/>
        </w:tabs>
        <w:ind w:left="0" w:firstLine="0"/>
        <w:rPr>
          <w:lang w:eastAsia="en-GB"/>
        </w:rPr>
      </w:pPr>
      <w:r w:rsidRPr="00157888">
        <w:t>Kredītiestāde</w:t>
      </w:r>
      <w:r w:rsidRPr="00157888">
        <w:rPr>
          <w:lang w:eastAsia="en-GB"/>
        </w:rPr>
        <w:t xml:space="preserve"> </w:t>
      </w:r>
      <w:r w:rsidR="00FF785D">
        <w:rPr>
          <w:lang w:eastAsia="en-GB"/>
        </w:rPr>
        <w:t>sagatavo P</w:t>
      </w:r>
      <w:r w:rsidRPr="00157888">
        <w:rPr>
          <w:lang w:eastAsia="en-GB"/>
        </w:rPr>
        <w:t xml:space="preserve">ārskatu, izmantojot </w:t>
      </w:r>
      <w:r w:rsidRPr="001800FB">
        <w:rPr>
          <w:lang w:eastAsia="en-GB"/>
        </w:rPr>
        <w:t>š</w:t>
      </w:r>
      <w:r w:rsidR="00FF785D">
        <w:rPr>
          <w:lang w:eastAsia="en-GB"/>
        </w:rPr>
        <w:t>ādas</w:t>
      </w:r>
      <w:r w:rsidRPr="001800FB">
        <w:rPr>
          <w:lang w:eastAsia="en-GB"/>
        </w:rPr>
        <w:t xml:space="preserve"> </w:t>
      </w:r>
      <w:r w:rsidRPr="00157888">
        <w:rPr>
          <w:lang w:eastAsia="en-GB"/>
        </w:rPr>
        <w:t>veidlapas:</w:t>
      </w:r>
    </w:p>
    <w:p w14:paraId="5C1EB4D7" w14:textId="37DC32E8" w:rsidR="006E135F" w:rsidRPr="00157888" w:rsidRDefault="00C80945" w:rsidP="006E185B">
      <w:pPr>
        <w:pStyle w:val="NApunkts2"/>
        <w:rPr>
          <w:lang w:eastAsia="en-GB"/>
        </w:rPr>
      </w:pPr>
      <w:r>
        <w:rPr>
          <w:lang w:eastAsia="en-GB"/>
        </w:rPr>
        <w:t xml:space="preserve">veidlapu </w:t>
      </w:r>
      <w:r w:rsidR="006E135F" w:rsidRPr="00157888">
        <w:rPr>
          <w:lang w:eastAsia="en-GB"/>
        </w:rPr>
        <w:t xml:space="preserve">"NILLTPF riska </w:t>
      </w:r>
      <w:r w:rsidR="006E135F" w:rsidRPr="00AB7A0A">
        <w:rPr>
          <w:lang w:eastAsia="en-GB"/>
        </w:rPr>
        <w:t>ekspozīcijas raksturojum</w:t>
      </w:r>
      <w:r w:rsidR="00336D99" w:rsidRPr="00AB7A0A">
        <w:rPr>
          <w:lang w:eastAsia="en-GB"/>
        </w:rPr>
        <w:t>a rādītāji (M</w:t>
      </w:r>
      <w:r w:rsidR="00A15B59" w:rsidRPr="00AB7A0A">
        <w:rPr>
          <w:lang w:eastAsia="en-GB"/>
        </w:rPr>
        <w:t> </w:t>
      </w:r>
      <w:r w:rsidR="00336D99" w:rsidRPr="00AB7A0A">
        <w:rPr>
          <w:lang w:eastAsia="en-GB"/>
        </w:rPr>
        <w:t>11.</w:t>
      </w:r>
      <w:r w:rsidR="00336D99">
        <w:rPr>
          <w:lang w:eastAsia="en-GB"/>
        </w:rPr>
        <w:t>00)</w:t>
      </w:r>
      <w:r w:rsidR="006E135F" w:rsidRPr="00157888">
        <w:rPr>
          <w:lang w:eastAsia="en-GB"/>
        </w:rPr>
        <w:t>" (turpmāk</w:t>
      </w:r>
      <w:r w:rsidR="00A15B59">
        <w:rPr>
          <w:lang w:eastAsia="en-GB"/>
        </w:rPr>
        <w:t> </w:t>
      </w:r>
      <w:r w:rsidR="00347933">
        <w:rPr>
          <w:lang w:eastAsia="en-GB"/>
        </w:rPr>
        <w:t>–</w:t>
      </w:r>
      <w:r w:rsidR="00BE5998">
        <w:rPr>
          <w:lang w:eastAsia="en-GB"/>
        </w:rPr>
        <w:t xml:space="preserve"> </w:t>
      </w:r>
      <w:r w:rsidR="00760C4C">
        <w:rPr>
          <w:lang w:eastAsia="en-GB"/>
        </w:rPr>
        <w:t>P</w:t>
      </w:r>
      <w:r w:rsidR="00D94D58" w:rsidRPr="006E185B">
        <w:rPr>
          <w:lang w:eastAsia="en-GB"/>
        </w:rPr>
        <w:t xml:space="preserve">ārskata </w:t>
      </w:r>
      <w:r w:rsidR="00347933">
        <w:rPr>
          <w:lang w:eastAsia="en-GB"/>
        </w:rPr>
        <w:t>1.</w:t>
      </w:r>
      <w:r w:rsidR="00835974" w:rsidRPr="00435118">
        <w:t> </w:t>
      </w:r>
      <w:r w:rsidR="00347933">
        <w:rPr>
          <w:lang w:eastAsia="en-GB"/>
        </w:rPr>
        <w:t>daļa</w:t>
      </w:r>
      <w:r w:rsidR="006E135F" w:rsidRPr="00157888">
        <w:rPr>
          <w:lang w:eastAsia="en-GB"/>
        </w:rPr>
        <w:t>);</w:t>
      </w:r>
    </w:p>
    <w:p w14:paraId="210C87B4" w14:textId="2288B9F0" w:rsidR="006E135F" w:rsidRPr="00157888" w:rsidRDefault="00C80945" w:rsidP="006E185B">
      <w:pPr>
        <w:pStyle w:val="NApunkts2"/>
        <w:rPr>
          <w:lang w:eastAsia="en-GB"/>
        </w:rPr>
      </w:pPr>
      <w:r>
        <w:rPr>
          <w:lang w:eastAsia="en-GB"/>
        </w:rPr>
        <w:t xml:space="preserve">veidlapu </w:t>
      </w:r>
      <w:r w:rsidR="006E135F" w:rsidRPr="00157888">
        <w:rPr>
          <w:lang w:eastAsia="en-GB"/>
        </w:rPr>
        <w:t>"Kredītiestādes individuāli definētie rādītāji</w:t>
      </w:r>
      <w:r w:rsidR="00336D99">
        <w:rPr>
          <w:lang w:eastAsia="en-GB"/>
        </w:rPr>
        <w:t xml:space="preserve"> (</w:t>
      </w:r>
      <w:r w:rsidR="00336D99" w:rsidRPr="00157888">
        <w:rPr>
          <w:lang w:eastAsia="en-GB"/>
        </w:rPr>
        <w:t>M</w:t>
      </w:r>
      <w:r w:rsidR="00A15B59">
        <w:rPr>
          <w:lang w:eastAsia="en-GB"/>
        </w:rPr>
        <w:t> </w:t>
      </w:r>
      <w:r w:rsidR="00336D99" w:rsidRPr="00157888">
        <w:rPr>
          <w:lang w:eastAsia="en-GB"/>
        </w:rPr>
        <w:t>13.00</w:t>
      </w:r>
      <w:r w:rsidR="00336D99">
        <w:rPr>
          <w:lang w:eastAsia="en-GB"/>
        </w:rPr>
        <w:t>)</w:t>
      </w:r>
      <w:r w:rsidR="006E135F" w:rsidRPr="00157888">
        <w:rPr>
          <w:lang w:eastAsia="en-GB"/>
        </w:rPr>
        <w:t>" (turpmāk</w:t>
      </w:r>
      <w:r w:rsidR="00A15B59">
        <w:rPr>
          <w:lang w:eastAsia="en-GB"/>
        </w:rPr>
        <w:t> </w:t>
      </w:r>
      <w:r w:rsidR="00DF000A">
        <w:rPr>
          <w:lang w:eastAsia="en-GB"/>
        </w:rPr>
        <w:t>–</w:t>
      </w:r>
      <w:r w:rsidR="00643D82">
        <w:rPr>
          <w:lang w:eastAsia="en-GB"/>
        </w:rPr>
        <w:t xml:space="preserve"> </w:t>
      </w:r>
      <w:r w:rsidR="00760C4C">
        <w:rPr>
          <w:lang w:eastAsia="en-GB"/>
        </w:rPr>
        <w:t>P</w:t>
      </w:r>
      <w:r w:rsidR="00D94D58" w:rsidRPr="006E185B">
        <w:rPr>
          <w:lang w:eastAsia="en-GB"/>
        </w:rPr>
        <w:t>ārskata</w:t>
      </w:r>
      <w:r w:rsidR="00347933">
        <w:rPr>
          <w:lang w:eastAsia="en-GB"/>
        </w:rPr>
        <w:t xml:space="preserve"> 2.</w:t>
      </w:r>
      <w:r w:rsidR="00835974" w:rsidRPr="00435118">
        <w:t> </w:t>
      </w:r>
      <w:r w:rsidR="00347933">
        <w:rPr>
          <w:lang w:eastAsia="en-GB"/>
        </w:rPr>
        <w:t>daļa</w:t>
      </w:r>
      <w:r w:rsidR="006E135F" w:rsidRPr="00157888">
        <w:rPr>
          <w:lang w:eastAsia="en-GB"/>
        </w:rPr>
        <w:t>)</w:t>
      </w:r>
      <w:r w:rsidR="008727CF">
        <w:rPr>
          <w:lang w:eastAsia="en-GB"/>
        </w:rPr>
        <w:t>;</w:t>
      </w:r>
    </w:p>
    <w:p w14:paraId="78BED7EF" w14:textId="68F4610D" w:rsidR="006E135F" w:rsidRPr="00157888" w:rsidRDefault="00C80945" w:rsidP="006E185B">
      <w:pPr>
        <w:pStyle w:val="NApunkts2"/>
        <w:rPr>
          <w:lang w:eastAsia="en-GB"/>
        </w:rPr>
      </w:pPr>
      <w:r>
        <w:rPr>
          <w:lang w:eastAsia="en-GB"/>
        </w:rPr>
        <w:t xml:space="preserve">veidlapu </w:t>
      </w:r>
      <w:r w:rsidR="006E135F" w:rsidRPr="00157888">
        <w:rPr>
          <w:lang w:eastAsia="en-GB"/>
        </w:rPr>
        <w:t>"Korespond</w:t>
      </w:r>
      <w:r w:rsidR="00643D82">
        <w:rPr>
          <w:lang w:eastAsia="en-GB"/>
        </w:rPr>
        <w:t>ent</w:t>
      </w:r>
      <w:r w:rsidR="006E135F" w:rsidRPr="00157888">
        <w:rPr>
          <w:lang w:eastAsia="en-GB"/>
        </w:rPr>
        <w:t xml:space="preserve">banku un starpniekbanku pieprasījumi </w:t>
      </w:r>
      <w:r w:rsidR="0004103F" w:rsidRPr="00D051BC">
        <w:rPr>
          <w:lang w:eastAsia="en-GB"/>
        </w:rPr>
        <w:t>noziedzīgi iegūtu līdzekļu legalizācijas un terorisma un proliferācijas finansēšanas</w:t>
      </w:r>
      <w:r w:rsidR="005B63F1">
        <w:rPr>
          <w:lang w:eastAsia="en-GB"/>
        </w:rPr>
        <w:t xml:space="preserve"> </w:t>
      </w:r>
      <w:r w:rsidR="006E135F" w:rsidRPr="00157888">
        <w:rPr>
          <w:lang w:eastAsia="en-GB"/>
        </w:rPr>
        <w:t>novēršanas un sankciju jomā</w:t>
      </w:r>
      <w:r w:rsidR="00336D99">
        <w:rPr>
          <w:lang w:eastAsia="en-GB"/>
        </w:rPr>
        <w:t xml:space="preserve"> (</w:t>
      </w:r>
      <w:r w:rsidR="00336D99" w:rsidRPr="00157888">
        <w:rPr>
          <w:lang w:eastAsia="en-GB"/>
        </w:rPr>
        <w:t>M</w:t>
      </w:r>
      <w:r w:rsidR="00A15B59">
        <w:rPr>
          <w:lang w:eastAsia="en-GB"/>
        </w:rPr>
        <w:t> </w:t>
      </w:r>
      <w:r w:rsidR="00336D99" w:rsidRPr="00157888">
        <w:rPr>
          <w:lang w:eastAsia="en-GB"/>
        </w:rPr>
        <w:t>14.00</w:t>
      </w:r>
      <w:r w:rsidR="00336D99">
        <w:rPr>
          <w:lang w:eastAsia="en-GB"/>
        </w:rPr>
        <w:t>)</w:t>
      </w:r>
      <w:r w:rsidR="006E135F" w:rsidRPr="00157888">
        <w:rPr>
          <w:lang w:eastAsia="en-GB"/>
        </w:rPr>
        <w:t>" (</w:t>
      </w:r>
      <w:r w:rsidR="006E135F" w:rsidRPr="001800FB">
        <w:rPr>
          <w:lang w:eastAsia="en-GB"/>
        </w:rPr>
        <w:t>turpmāk</w:t>
      </w:r>
      <w:r w:rsidR="00A15B59">
        <w:rPr>
          <w:lang w:eastAsia="en-GB"/>
        </w:rPr>
        <w:t> </w:t>
      </w:r>
      <w:r w:rsidR="006E135F" w:rsidRPr="00157888">
        <w:rPr>
          <w:lang w:eastAsia="en-GB"/>
        </w:rPr>
        <w:t>–</w:t>
      </w:r>
      <w:r w:rsidR="00835974">
        <w:rPr>
          <w:lang w:eastAsia="en-GB"/>
        </w:rPr>
        <w:t xml:space="preserve"> </w:t>
      </w:r>
      <w:r w:rsidR="00760C4C">
        <w:rPr>
          <w:lang w:eastAsia="en-GB"/>
        </w:rPr>
        <w:t>P</w:t>
      </w:r>
      <w:r w:rsidR="00D94D58" w:rsidRPr="006E185B">
        <w:rPr>
          <w:lang w:eastAsia="en-GB"/>
        </w:rPr>
        <w:t>ārskata</w:t>
      </w:r>
      <w:r w:rsidR="00347933">
        <w:rPr>
          <w:lang w:eastAsia="en-GB"/>
        </w:rPr>
        <w:t xml:space="preserve"> 3.</w:t>
      </w:r>
      <w:r w:rsidR="00835974" w:rsidRPr="00435118">
        <w:t> </w:t>
      </w:r>
      <w:r w:rsidR="00347933">
        <w:rPr>
          <w:lang w:eastAsia="en-GB"/>
        </w:rPr>
        <w:t>daļa</w:t>
      </w:r>
      <w:r w:rsidR="006E135F" w:rsidRPr="00157888">
        <w:rPr>
          <w:lang w:eastAsia="en-GB"/>
        </w:rPr>
        <w:t>);</w:t>
      </w:r>
    </w:p>
    <w:p w14:paraId="4C6ED9F8" w14:textId="0B30EFE9" w:rsidR="006E135F" w:rsidRDefault="00C80945" w:rsidP="006E185B">
      <w:pPr>
        <w:pStyle w:val="NApunkts2"/>
        <w:rPr>
          <w:lang w:eastAsia="en-GB"/>
        </w:rPr>
      </w:pPr>
      <w:r>
        <w:rPr>
          <w:lang w:eastAsia="en-GB"/>
        </w:rPr>
        <w:t xml:space="preserve">veidlapu </w:t>
      </w:r>
      <w:r w:rsidR="006E135F" w:rsidRPr="00157888">
        <w:rPr>
          <w:lang w:eastAsia="en-GB"/>
        </w:rPr>
        <w:t xml:space="preserve">"Klientu un to darījumu raksturojums valstu </w:t>
      </w:r>
      <w:r w:rsidR="00A15B59">
        <w:rPr>
          <w:lang w:eastAsia="en-GB"/>
        </w:rPr>
        <w:t>dalījum</w:t>
      </w:r>
      <w:r w:rsidR="00A15B59" w:rsidRPr="00157888">
        <w:rPr>
          <w:lang w:eastAsia="en-GB"/>
        </w:rPr>
        <w:t>ā</w:t>
      </w:r>
      <w:r w:rsidR="00A15B59">
        <w:rPr>
          <w:lang w:eastAsia="en-GB"/>
        </w:rPr>
        <w:t xml:space="preserve"> </w:t>
      </w:r>
      <w:r w:rsidR="00336D99">
        <w:rPr>
          <w:lang w:eastAsia="en-GB"/>
        </w:rPr>
        <w:t>(</w:t>
      </w:r>
      <w:r w:rsidR="00336D99" w:rsidRPr="00157888">
        <w:rPr>
          <w:lang w:eastAsia="en-GB"/>
        </w:rPr>
        <w:t>M</w:t>
      </w:r>
      <w:r w:rsidR="00A15B59">
        <w:rPr>
          <w:lang w:eastAsia="en-GB"/>
        </w:rPr>
        <w:t> </w:t>
      </w:r>
      <w:r w:rsidR="00336D99" w:rsidRPr="00157888">
        <w:rPr>
          <w:lang w:eastAsia="en-GB"/>
        </w:rPr>
        <w:t>16.00</w:t>
      </w:r>
      <w:r w:rsidR="00336D99">
        <w:rPr>
          <w:lang w:eastAsia="en-GB"/>
        </w:rPr>
        <w:t>)</w:t>
      </w:r>
      <w:r w:rsidR="006E135F" w:rsidRPr="00157888">
        <w:rPr>
          <w:lang w:eastAsia="en-GB"/>
        </w:rPr>
        <w:t>" (</w:t>
      </w:r>
      <w:r w:rsidR="006E135F" w:rsidRPr="001800FB">
        <w:rPr>
          <w:lang w:eastAsia="en-GB"/>
        </w:rPr>
        <w:t>turpmāk</w:t>
      </w:r>
      <w:r w:rsidR="00835974" w:rsidRPr="00435118">
        <w:t> </w:t>
      </w:r>
      <w:r w:rsidR="006E135F" w:rsidRPr="00157888">
        <w:rPr>
          <w:lang w:eastAsia="en-GB"/>
        </w:rPr>
        <w:t>–</w:t>
      </w:r>
      <w:r w:rsidR="00835974">
        <w:rPr>
          <w:lang w:eastAsia="en-GB"/>
        </w:rPr>
        <w:t xml:space="preserve"> </w:t>
      </w:r>
      <w:r w:rsidR="00760C4C">
        <w:rPr>
          <w:lang w:eastAsia="en-GB"/>
        </w:rPr>
        <w:t>P</w:t>
      </w:r>
      <w:r w:rsidR="00D94D58">
        <w:rPr>
          <w:bCs/>
        </w:rPr>
        <w:t>ārskata</w:t>
      </w:r>
      <w:r w:rsidR="00347933">
        <w:rPr>
          <w:lang w:eastAsia="en-GB"/>
        </w:rPr>
        <w:t xml:space="preserve"> 4.</w:t>
      </w:r>
      <w:r w:rsidR="00835974" w:rsidRPr="00435118">
        <w:t> </w:t>
      </w:r>
      <w:r w:rsidR="00347933">
        <w:rPr>
          <w:lang w:eastAsia="en-GB"/>
        </w:rPr>
        <w:t>daļa).</w:t>
      </w:r>
    </w:p>
    <w:p w14:paraId="1B26ABBE" w14:textId="0D5170DD" w:rsidR="005B63F1" w:rsidRPr="003813B0" w:rsidRDefault="00C80945" w:rsidP="006E185B">
      <w:pPr>
        <w:pStyle w:val="NApunkts1"/>
        <w:shd w:val="clear" w:color="auto" w:fill="FFFFFF"/>
        <w:tabs>
          <w:tab w:val="left" w:pos="284"/>
          <w:tab w:val="left" w:pos="426"/>
        </w:tabs>
        <w:ind w:left="0" w:firstLine="0"/>
        <w:rPr>
          <w:lang w:eastAsia="en-GB"/>
        </w:rPr>
      </w:pPr>
      <w:r w:rsidRPr="00E64F6F">
        <w:rPr>
          <w:lang w:eastAsia="en-GB"/>
        </w:rPr>
        <w:t>Citas d</w:t>
      </w:r>
      <w:r w:rsidR="005B63F1" w:rsidRPr="006E5615">
        <w:t>alībvalsts</w:t>
      </w:r>
      <w:r w:rsidR="005B63F1" w:rsidRPr="006E5615">
        <w:rPr>
          <w:lang w:eastAsia="en-GB"/>
        </w:rPr>
        <w:t xml:space="preserve"> vai trešās</w:t>
      </w:r>
      <w:r w:rsidR="005B63F1" w:rsidRPr="00E11AC0">
        <w:rPr>
          <w:lang w:eastAsia="en-GB"/>
        </w:rPr>
        <w:t xml:space="preserve"> valsts kredītiestādes filiāle Latvijas Republikā sagatavo un iesniedz </w:t>
      </w:r>
      <w:r w:rsidR="005B63F1" w:rsidRPr="00A3618D">
        <w:rPr>
          <w:lang w:eastAsia="en-GB"/>
        </w:rPr>
        <w:t>Pārskata</w:t>
      </w:r>
      <w:r w:rsidR="005B63F1" w:rsidRPr="003813B0">
        <w:rPr>
          <w:lang w:eastAsia="en-GB"/>
        </w:rPr>
        <w:t xml:space="preserve"> 1.</w:t>
      </w:r>
      <w:r w:rsidR="00835974" w:rsidRPr="00435118">
        <w:t> </w:t>
      </w:r>
      <w:r w:rsidR="005B63F1" w:rsidRPr="003813B0">
        <w:rPr>
          <w:lang w:eastAsia="en-GB"/>
        </w:rPr>
        <w:t>daļu un</w:t>
      </w:r>
      <w:r w:rsidR="00BE5998">
        <w:rPr>
          <w:lang w:eastAsia="en-GB"/>
        </w:rPr>
        <w:t xml:space="preserve"> </w:t>
      </w:r>
      <w:r w:rsidR="005B63F1" w:rsidRPr="003813B0">
        <w:rPr>
          <w:lang w:eastAsia="en-GB"/>
        </w:rPr>
        <w:t>Pārskata 4.</w:t>
      </w:r>
      <w:r w:rsidR="00835974" w:rsidRPr="00435118">
        <w:t> </w:t>
      </w:r>
      <w:r w:rsidR="005B63F1" w:rsidRPr="003813B0">
        <w:rPr>
          <w:lang w:eastAsia="en-GB"/>
        </w:rPr>
        <w:t>daļu.</w:t>
      </w:r>
    </w:p>
    <w:p w14:paraId="36741149" w14:textId="36F11C05" w:rsidR="005B63F1" w:rsidRDefault="005B63F1" w:rsidP="006E185B">
      <w:pPr>
        <w:pStyle w:val="NApunkts1"/>
        <w:shd w:val="clear" w:color="auto" w:fill="FFFFFF"/>
        <w:tabs>
          <w:tab w:val="left" w:pos="284"/>
          <w:tab w:val="left" w:pos="426"/>
        </w:tabs>
        <w:ind w:left="0" w:firstLine="0"/>
        <w:rPr>
          <w:lang w:eastAsia="en-GB"/>
        </w:rPr>
      </w:pPr>
      <w:r w:rsidRPr="003813B0">
        <w:t>Sagatavojot</w:t>
      </w:r>
      <w:r w:rsidRPr="003813B0">
        <w:rPr>
          <w:lang w:eastAsia="en-GB"/>
        </w:rPr>
        <w:t xml:space="preserve"> </w:t>
      </w:r>
      <w:r w:rsidRPr="00A3618D">
        <w:rPr>
          <w:lang w:eastAsia="en-GB"/>
        </w:rPr>
        <w:t>Pārskata</w:t>
      </w:r>
      <w:r>
        <w:rPr>
          <w:lang w:eastAsia="en-GB"/>
        </w:rPr>
        <w:t xml:space="preserve"> 1.</w:t>
      </w:r>
      <w:r w:rsidR="00835974" w:rsidRPr="00435118">
        <w:t> </w:t>
      </w:r>
      <w:r w:rsidRPr="006E5615">
        <w:rPr>
          <w:lang w:eastAsia="en-GB"/>
        </w:rPr>
        <w:t xml:space="preserve">daļu, </w:t>
      </w:r>
      <w:r w:rsidR="00336D99" w:rsidRPr="006E5615">
        <w:rPr>
          <w:lang w:eastAsia="en-GB"/>
        </w:rPr>
        <w:t>citas</w:t>
      </w:r>
      <w:r w:rsidR="00336D99" w:rsidRPr="00131B48">
        <w:rPr>
          <w:lang w:eastAsia="en-GB"/>
        </w:rPr>
        <w:t xml:space="preserve"> </w:t>
      </w:r>
      <w:r w:rsidRPr="006E5615">
        <w:rPr>
          <w:lang w:eastAsia="en-GB"/>
        </w:rPr>
        <w:t>dalībvalsts</w:t>
      </w:r>
      <w:r w:rsidRPr="00E11AC0">
        <w:rPr>
          <w:lang w:eastAsia="en-GB"/>
        </w:rPr>
        <w:t xml:space="preserve"> vai trešās valsts kredītiestādes filiāle Latvijas Republikā ne</w:t>
      </w:r>
      <w:r>
        <w:rPr>
          <w:lang w:eastAsia="en-GB"/>
        </w:rPr>
        <w:t xml:space="preserve">sniedz informāciju par </w:t>
      </w:r>
      <w:r w:rsidRPr="00E11AC0">
        <w:rPr>
          <w:lang w:eastAsia="en-GB"/>
        </w:rPr>
        <w:t xml:space="preserve">NILLTPF </w:t>
      </w:r>
      <w:r w:rsidR="000222A7">
        <w:rPr>
          <w:lang w:eastAsia="en-GB"/>
        </w:rPr>
        <w:t>riska pārvaldīšanas</w:t>
      </w:r>
      <w:r w:rsidR="000222A7" w:rsidRPr="00E11AC0">
        <w:rPr>
          <w:lang w:eastAsia="en-GB"/>
        </w:rPr>
        <w:t xml:space="preserve"> </w:t>
      </w:r>
      <w:r w:rsidRPr="00E11AC0">
        <w:rPr>
          <w:lang w:eastAsia="en-GB"/>
        </w:rPr>
        <w:t>stratēģijā noteikt</w:t>
      </w:r>
      <w:r>
        <w:rPr>
          <w:lang w:eastAsia="en-GB"/>
        </w:rPr>
        <w:t>ajiem</w:t>
      </w:r>
      <w:r w:rsidRPr="00E11AC0">
        <w:rPr>
          <w:lang w:eastAsia="en-GB"/>
        </w:rPr>
        <w:t xml:space="preserve"> robežlielumi</w:t>
      </w:r>
      <w:r>
        <w:rPr>
          <w:lang w:eastAsia="en-GB"/>
        </w:rPr>
        <w:t>em (</w:t>
      </w:r>
      <w:r w:rsidR="00A15B59">
        <w:rPr>
          <w:lang w:eastAsia="en-GB"/>
        </w:rPr>
        <w:t>ailes kods</w:t>
      </w:r>
      <w:r w:rsidR="00D96DA1">
        <w:rPr>
          <w:lang w:eastAsia="en-GB"/>
        </w:rPr>
        <w:t> </w:t>
      </w:r>
      <w:r w:rsidR="00336D99">
        <w:rPr>
          <w:lang w:eastAsia="en-GB"/>
        </w:rPr>
        <w:t>110, 120 un 130</w:t>
      </w:r>
      <w:r>
        <w:rPr>
          <w:lang w:eastAsia="en-GB"/>
        </w:rPr>
        <w:t>)</w:t>
      </w:r>
      <w:r w:rsidRPr="00E11AC0">
        <w:rPr>
          <w:lang w:eastAsia="en-GB"/>
        </w:rPr>
        <w:t>.</w:t>
      </w:r>
    </w:p>
    <w:p w14:paraId="29221977" w14:textId="6004412D" w:rsidR="006E135F" w:rsidRPr="00E11AC0" w:rsidRDefault="006E135F" w:rsidP="006E185B">
      <w:pPr>
        <w:pStyle w:val="NApunkts1"/>
        <w:shd w:val="clear" w:color="auto" w:fill="FFFFFF"/>
        <w:tabs>
          <w:tab w:val="left" w:pos="284"/>
          <w:tab w:val="left" w:pos="426"/>
        </w:tabs>
        <w:ind w:left="0" w:firstLine="0"/>
        <w:rPr>
          <w:lang w:eastAsia="en-GB"/>
        </w:rPr>
      </w:pPr>
      <w:r>
        <w:t>P</w:t>
      </w:r>
      <w:r w:rsidRPr="00E11AC0">
        <w:t>ārskat</w:t>
      </w:r>
      <w:r>
        <w:t>s</w:t>
      </w:r>
      <w:r w:rsidRPr="00E11AC0">
        <w:rPr>
          <w:lang w:eastAsia="en-GB"/>
        </w:rPr>
        <w:t xml:space="preserve"> sastāv no tr</w:t>
      </w:r>
      <w:r w:rsidR="00DF000A">
        <w:rPr>
          <w:lang w:eastAsia="en-GB"/>
        </w:rPr>
        <w:t>ijām</w:t>
      </w:r>
      <w:r w:rsidRPr="00E11AC0">
        <w:rPr>
          <w:lang w:eastAsia="en-GB"/>
        </w:rPr>
        <w:t xml:space="preserve"> rādītāju grupām:</w:t>
      </w:r>
    </w:p>
    <w:p w14:paraId="1C37A2A7" w14:textId="1AA684CE" w:rsidR="006E135F" w:rsidRPr="00E11AC0" w:rsidRDefault="006E135F" w:rsidP="006E185B">
      <w:pPr>
        <w:pStyle w:val="NApunkts2"/>
        <w:rPr>
          <w:lang w:eastAsia="en-GB"/>
        </w:rPr>
      </w:pPr>
      <w:r w:rsidRPr="00E11AC0">
        <w:rPr>
          <w:lang w:eastAsia="en-GB"/>
        </w:rPr>
        <w:t xml:space="preserve">rādītāji, kuru faktisko apmēru norāda par </w:t>
      </w:r>
      <w:r w:rsidRPr="00DB6F4D">
        <w:rPr>
          <w:lang w:eastAsia="en-GB"/>
        </w:rPr>
        <w:t xml:space="preserve">stāvokli pārskata ceturkšņa </w:t>
      </w:r>
      <w:r w:rsidR="00DB6F4D" w:rsidRPr="00A3618D">
        <w:rPr>
          <w:lang w:eastAsia="en-GB"/>
        </w:rPr>
        <w:t xml:space="preserve">pēdējās dienas </w:t>
      </w:r>
      <w:r w:rsidRPr="00DB6F4D">
        <w:rPr>
          <w:lang w:eastAsia="en-GB"/>
        </w:rPr>
        <w:t>beigās,</w:t>
      </w:r>
      <w:r w:rsidR="00A15B59">
        <w:rPr>
          <w:lang w:eastAsia="en-GB"/>
        </w:rPr>
        <w:t> </w:t>
      </w:r>
      <w:r w:rsidRPr="00DB6F4D">
        <w:rPr>
          <w:lang w:eastAsia="en-GB"/>
        </w:rPr>
        <w:t>– ar kopējo grupas nosaukumu "Pārskata ceturkšņa beigās</w:t>
      </w:r>
      <w:r w:rsidRPr="00E11AC0">
        <w:rPr>
          <w:lang w:eastAsia="en-GB"/>
        </w:rPr>
        <w:t>";</w:t>
      </w:r>
    </w:p>
    <w:p w14:paraId="1D67B1E5" w14:textId="742225D0" w:rsidR="006E135F" w:rsidRPr="00E11AC0" w:rsidRDefault="006E135F" w:rsidP="006E185B">
      <w:pPr>
        <w:pStyle w:val="NApunkts2"/>
        <w:rPr>
          <w:lang w:eastAsia="en-GB"/>
        </w:rPr>
      </w:pPr>
      <w:r w:rsidRPr="00E11AC0">
        <w:rPr>
          <w:lang w:eastAsia="en-GB"/>
        </w:rPr>
        <w:t>rādītāji, kuru faktisko apmēru norāda par pārskata ceturksni,</w:t>
      </w:r>
      <w:r w:rsidR="00A15B59">
        <w:rPr>
          <w:lang w:eastAsia="en-GB"/>
        </w:rPr>
        <w:t> </w:t>
      </w:r>
      <w:r w:rsidRPr="00E11AC0">
        <w:rPr>
          <w:lang w:eastAsia="en-GB"/>
        </w:rPr>
        <w:t>–</w:t>
      </w:r>
      <w:r>
        <w:rPr>
          <w:lang w:eastAsia="en-GB"/>
        </w:rPr>
        <w:t xml:space="preserve"> </w:t>
      </w:r>
      <w:r w:rsidRPr="00E11AC0">
        <w:rPr>
          <w:lang w:eastAsia="en-GB"/>
        </w:rPr>
        <w:t>ar kopējo grupas nosaukumu "Pārskata ceturksnī";</w:t>
      </w:r>
    </w:p>
    <w:p w14:paraId="2E204DC6" w14:textId="421246DC" w:rsidR="006E135F" w:rsidRDefault="006E135F" w:rsidP="006E185B">
      <w:pPr>
        <w:pStyle w:val="NApunkts2"/>
        <w:rPr>
          <w:lang w:eastAsia="en-GB"/>
        </w:rPr>
      </w:pPr>
      <w:r w:rsidRPr="00E11AC0">
        <w:rPr>
          <w:lang w:eastAsia="en-GB"/>
        </w:rPr>
        <w:t xml:space="preserve">kredītiestādes NILLTPF riska pārvaldīšanas stratēģijā </w:t>
      </w:r>
      <w:r w:rsidR="00B86158" w:rsidRPr="002901B1">
        <w:rPr>
          <w:lang w:eastAsia="en-GB"/>
        </w:rPr>
        <w:t>noteiktajam periodam</w:t>
      </w:r>
      <w:r w:rsidRPr="002901B1">
        <w:rPr>
          <w:lang w:eastAsia="en-GB"/>
        </w:rPr>
        <w:t xml:space="preserve"> noteiktie</w:t>
      </w:r>
      <w:r w:rsidRPr="00E11AC0">
        <w:rPr>
          <w:lang w:eastAsia="en-GB"/>
        </w:rPr>
        <w:t xml:space="preserve"> robežlielumi, t</w:t>
      </w:r>
      <w:r w:rsidR="00C80945">
        <w:rPr>
          <w:lang w:eastAsia="en-GB"/>
        </w:rPr>
        <w:t>as</w:t>
      </w:r>
      <w:r w:rsidR="00861600" w:rsidRPr="00435118">
        <w:t> </w:t>
      </w:r>
      <w:r w:rsidRPr="00E11AC0">
        <w:rPr>
          <w:lang w:eastAsia="en-GB"/>
        </w:rPr>
        <w:t>i</w:t>
      </w:r>
      <w:r w:rsidR="00C80945">
        <w:rPr>
          <w:lang w:eastAsia="en-GB"/>
        </w:rPr>
        <w:t>r</w:t>
      </w:r>
      <w:r w:rsidRPr="00E11AC0">
        <w:rPr>
          <w:lang w:eastAsia="en-GB"/>
        </w:rPr>
        <w:t>, NILLTPF riska ekspozīcijas rādītāju īpatsvars,</w:t>
      </w:r>
      <w:r w:rsidR="00A15B59">
        <w:rPr>
          <w:lang w:eastAsia="en-GB"/>
        </w:rPr>
        <w:t> </w:t>
      </w:r>
      <w:r w:rsidRPr="00E11AC0">
        <w:rPr>
          <w:lang w:eastAsia="en-GB"/>
        </w:rPr>
        <w:t>–</w:t>
      </w:r>
      <w:r w:rsidR="00FF785D">
        <w:rPr>
          <w:lang w:eastAsia="en-GB"/>
        </w:rPr>
        <w:t xml:space="preserve"> </w:t>
      </w:r>
      <w:r w:rsidRPr="00EB5161">
        <w:rPr>
          <w:lang w:eastAsia="en-GB"/>
        </w:rPr>
        <w:t>ar</w:t>
      </w:r>
      <w:r w:rsidRPr="00E11AC0">
        <w:rPr>
          <w:lang w:eastAsia="en-GB"/>
        </w:rPr>
        <w:t xml:space="preserve"> kopējo grupas nosaukumu "Stratēģijā noteiktie robežlielumi".</w:t>
      </w:r>
    </w:p>
    <w:p w14:paraId="65F6303E" w14:textId="0B59C983" w:rsidR="005B63F1" w:rsidRPr="008A6443" w:rsidRDefault="005B63F1" w:rsidP="006E185B">
      <w:pPr>
        <w:pStyle w:val="NApunkts1"/>
        <w:shd w:val="clear" w:color="auto" w:fill="FFFFFF"/>
        <w:tabs>
          <w:tab w:val="left" w:pos="284"/>
          <w:tab w:val="left" w:pos="426"/>
        </w:tabs>
        <w:ind w:left="0" w:firstLine="0"/>
        <w:rPr>
          <w:lang w:eastAsia="en-GB"/>
        </w:rPr>
      </w:pPr>
      <w:r>
        <w:t>Sagatavojot</w:t>
      </w:r>
      <w:r>
        <w:rPr>
          <w:lang w:eastAsia="en-GB"/>
        </w:rPr>
        <w:t xml:space="preserve"> P</w:t>
      </w:r>
      <w:r w:rsidRPr="00760C4C">
        <w:rPr>
          <w:lang w:eastAsia="en-GB"/>
        </w:rPr>
        <w:t>ārskatu</w:t>
      </w:r>
      <w:r>
        <w:rPr>
          <w:lang w:eastAsia="en-GB"/>
        </w:rPr>
        <w:t>,</w:t>
      </w:r>
      <w:r w:rsidRPr="00E11AC0">
        <w:rPr>
          <w:lang w:eastAsia="en-GB"/>
        </w:rPr>
        <w:t xml:space="preserve"> kredītiestāde</w:t>
      </w:r>
      <w:r>
        <w:rPr>
          <w:lang w:eastAsia="en-GB"/>
        </w:rPr>
        <w:t xml:space="preserve"> </w:t>
      </w:r>
      <w:r w:rsidR="00C96898">
        <w:rPr>
          <w:lang w:eastAsia="en-GB"/>
        </w:rPr>
        <w:t xml:space="preserve">un </w:t>
      </w:r>
      <w:r w:rsidR="00E82C32">
        <w:rPr>
          <w:lang w:eastAsia="en-GB"/>
        </w:rPr>
        <w:t>cita</w:t>
      </w:r>
      <w:r w:rsidR="00C80945">
        <w:rPr>
          <w:lang w:eastAsia="en-GB"/>
        </w:rPr>
        <w:t>s</w:t>
      </w:r>
      <w:r w:rsidR="00E82C32">
        <w:rPr>
          <w:lang w:eastAsia="en-GB"/>
        </w:rPr>
        <w:t xml:space="preserve"> </w:t>
      </w:r>
      <w:r w:rsidR="00C96898">
        <w:rPr>
          <w:lang w:eastAsia="en-GB"/>
        </w:rPr>
        <w:t>d</w:t>
      </w:r>
      <w:r w:rsidR="00C96898" w:rsidRPr="00E11AC0">
        <w:rPr>
          <w:lang w:eastAsia="en-GB"/>
        </w:rPr>
        <w:t>alībvalsts vai trešās valsts kredītiestādes filiāle Latvijas Republikā</w:t>
      </w:r>
      <w:r w:rsidR="00C96898" w:rsidRPr="008A6443">
        <w:rPr>
          <w:lang w:eastAsia="en-GB"/>
        </w:rPr>
        <w:t xml:space="preserve"> </w:t>
      </w:r>
      <w:r w:rsidRPr="008A6443">
        <w:rPr>
          <w:lang w:eastAsia="en-GB"/>
        </w:rPr>
        <w:t>ievēro šādus vispārējos principus:</w:t>
      </w:r>
    </w:p>
    <w:p w14:paraId="30A5ABF7" w14:textId="020DB4C4" w:rsidR="005B63F1" w:rsidRPr="00E11AC0" w:rsidRDefault="005B63F1" w:rsidP="006E185B">
      <w:pPr>
        <w:pStyle w:val="NApunkts2"/>
        <w:rPr>
          <w:lang w:eastAsia="en-GB"/>
        </w:rPr>
      </w:pPr>
      <w:r w:rsidRPr="008A6443">
        <w:rPr>
          <w:lang w:eastAsia="en-GB"/>
        </w:rPr>
        <w:t>datus sniedz individuālā līmenī</w:t>
      </w:r>
      <w:r w:rsidR="00664236">
        <w:rPr>
          <w:lang w:eastAsia="en-GB"/>
        </w:rPr>
        <w:t>, t</w:t>
      </w:r>
      <w:r w:rsidR="00C80945">
        <w:rPr>
          <w:lang w:eastAsia="en-GB"/>
        </w:rPr>
        <w:t>as</w:t>
      </w:r>
      <w:r w:rsidR="00900084">
        <w:rPr>
          <w:lang w:eastAsia="en-GB"/>
        </w:rPr>
        <w:t> </w:t>
      </w:r>
      <w:r w:rsidR="00664236">
        <w:rPr>
          <w:lang w:eastAsia="en-GB"/>
        </w:rPr>
        <w:t>i</w:t>
      </w:r>
      <w:r w:rsidR="00C80945">
        <w:rPr>
          <w:lang w:eastAsia="en-GB"/>
        </w:rPr>
        <w:t>r</w:t>
      </w:r>
      <w:r w:rsidR="00A15B59">
        <w:rPr>
          <w:lang w:eastAsia="en-GB"/>
        </w:rPr>
        <w:t>,</w:t>
      </w:r>
      <w:r w:rsidRPr="008A6443">
        <w:rPr>
          <w:lang w:eastAsia="en-GB"/>
        </w:rPr>
        <w:t xml:space="preserve"> </w:t>
      </w:r>
      <w:r w:rsidRPr="00A3618D">
        <w:rPr>
          <w:lang w:eastAsia="en-GB"/>
        </w:rPr>
        <w:t xml:space="preserve">kredītiestāde neiekļauj datus par tās filiālēm </w:t>
      </w:r>
      <w:r w:rsidR="00E82C32">
        <w:rPr>
          <w:lang w:eastAsia="en-GB"/>
        </w:rPr>
        <w:t xml:space="preserve">citā </w:t>
      </w:r>
      <w:r w:rsidRPr="00A3618D">
        <w:rPr>
          <w:lang w:eastAsia="en-GB"/>
        </w:rPr>
        <w:t>dalībvalstī vai trešajā valstī;</w:t>
      </w:r>
    </w:p>
    <w:p w14:paraId="5EC2FCB8" w14:textId="7B054F76" w:rsidR="005B63F1" w:rsidRPr="00E11AC0" w:rsidRDefault="005B63F1" w:rsidP="006E185B">
      <w:pPr>
        <w:pStyle w:val="NApunkts2"/>
        <w:rPr>
          <w:lang w:eastAsia="en-GB"/>
        </w:rPr>
      </w:pPr>
      <w:r w:rsidRPr="00E11AC0">
        <w:rPr>
          <w:lang w:eastAsia="en-GB"/>
        </w:rPr>
        <w:t>lieto naudas vienību</w:t>
      </w:r>
      <w:r w:rsidR="00A15B59">
        <w:rPr>
          <w:lang w:eastAsia="en-GB"/>
        </w:rPr>
        <w:t xml:space="preserve"> </w:t>
      </w:r>
      <w:r w:rsidRPr="00E82C32">
        <w:rPr>
          <w:i/>
          <w:iCs/>
          <w:lang w:eastAsia="en-GB"/>
        </w:rPr>
        <w:t>euro</w:t>
      </w:r>
      <w:r w:rsidRPr="00E11AC0">
        <w:rPr>
          <w:lang w:eastAsia="en-GB"/>
        </w:rPr>
        <w:t>;</w:t>
      </w:r>
    </w:p>
    <w:p w14:paraId="7965FE73" w14:textId="06653AA0" w:rsidR="005B63F1" w:rsidRPr="00064A47" w:rsidRDefault="005B63F1" w:rsidP="006E185B">
      <w:pPr>
        <w:pStyle w:val="NApunkts2"/>
        <w:rPr>
          <w:lang w:eastAsia="en-GB"/>
        </w:rPr>
      </w:pPr>
      <w:r w:rsidRPr="00E11AC0">
        <w:rPr>
          <w:lang w:eastAsia="en-GB"/>
        </w:rPr>
        <w:t xml:space="preserve">atlikumus ārvalstu </w:t>
      </w:r>
      <w:r w:rsidRPr="00064A47">
        <w:rPr>
          <w:lang w:eastAsia="en-GB"/>
        </w:rPr>
        <w:t xml:space="preserve">valūtās </w:t>
      </w:r>
      <w:r w:rsidR="00665983" w:rsidRPr="00E64F6F">
        <w:rPr>
          <w:lang w:eastAsia="en-GB"/>
        </w:rPr>
        <w:t>no</w:t>
      </w:r>
      <w:r w:rsidR="00665983" w:rsidRPr="00064A47">
        <w:rPr>
          <w:lang w:eastAsia="en-GB"/>
        </w:rPr>
        <w:t xml:space="preserve">rāda </w:t>
      </w:r>
      <w:r w:rsidRPr="00064A47">
        <w:rPr>
          <w:i/>
          <w:iCs/>
          <w:lang w:eastAsia="en-GB"/>
        </w:rPr>
        <w:t>euro</w:t>
      </w:r>
      <w:r w:rsidR="00A15B59" w:rsidRPr="00064A47">
        <w:rPr>
          <w:lang w:eastAsia="en-GB"/>
        </w:rPr>
        <w:t xml:space="preserve"> </w:t>
      </w:r>
      <w:r w:rsidRPr="00064A47">
        <w:rPr>
          <w:lang w:eastAsia="en-GB"/>
        </w:rPr>
        <w:t>saskaņā ar grāmatvedībā izmantojamo attiecīgās ārvalstu valūtas kursu pārskata ceturkšņa pēdējās dienas beigās;</w:t>
      </w:r>
    </w:p>
    <w:p w14:paraId="58DF7949" w14:textId="332E040B" w:rsidR="005B63F1" w:rsidRPr="00064A47" w:rsidRDefault="005B63F1" w:rsidP="006E185B">
      <w:pPr>
        <w:pStyle w:val="NApunkts2"/>
        <w:rPr>
          <w:lang w:eastAsia="en-GB"/>
        </w:rPr>
      </w:pPr>
      <w:r w:rsidRPr="00064A47">
        <w:rPr>
          <w:lang w:eastAsia="en-GB"/>
        </w:rPr>
        <w:t xml:space="preserve">atlikumus, apgrozījumu un ienākumus </w:t>
      </w:r>
      <w:r w:rsidR="00665983" w:rsidRPr="00665983">
        <w:rPr>
          <w:lang w:eastAsia="en-GB"/>
        </w:rPr>
        <w:t xml:space="preserve">norāda </w:t>
      </w:r>
      <w:r w:rsidRPr="00064A47">
        <w:rPr>
          <w:lang w:eastAsia="en-GB"/>
        </w:rPr>
        <w:t>veselos</w:t>
      </w:r>
      <w:r w:rsidR="00A15B59" w:rsidRPr="00665983">
        <w:rPr>
          <w:lang w:eastAsia="en-GB"/>
        </w:rPr>
        <w:t xml:space="preserve"> </w:t>
      </w:r>
      <w:r w:rsidRPr="00064A47">
        <w:rPr>
          <w:i/>
          <w:iCs/>
          <w:lang w:eastAsia="en-GB"/>
        </w:rPr>
        <w:t>euro</w:t>
      </w:r>
      <w:r w:rsidRPr="00064A47">
        <w:rPr>
          <w:lang w:eastAsia="en-GB"/>
        </w:rPr>
        <w:t>;</w:t>
      </w:r>
    </w:p>
    <w:p w14:paraId="1FFC80E4" w14:textId="39B0D24E" w:rsidR="005B63F1" w:rsidRDefault="005B63F1" w:rsidP="006E185B">
      <w:pPr>
        <w:pStyle w:val="NApunkts2"/>
        <w:rPr>
          <w:lang w:eastAsia="en-GB"/>
        </w:rPr>
      </w:pPr>
      <w:r w:rsidRPr="00064A47">
        <w:rPr>
          <w:lang w:eastAsia="en-GB"/>
        </w:rPr>
        <w:t xml:space="preserve">noguldījumu, kredītu un trasta darījumu apmēru pārskata ceturkšņa </w:t>
      </w:r>
      <w:r w:rsidR="00DB6F4D" w:rsidRPr="00064A47">
        <w:rPr>
          <w:lang w:eastAsia="en-GB"/>
        </w:rPr>
        <w:t xml:space="preserve">pēdējās dienas </w:t>
      </w:r>
      <w:r w:rsidRPr="00064A47">
        <w:rPr>
          <w:lang w:eastAsia="en-GB"/>
        </w:rPr>
        <w:t>beigās norāda darījumu pamatsummā, neiekļaujot uzkrātos</w:t>
      </w:r>
      <w:r w:rsidRPr="00E11AC0">
        <w:rPr>
          <w:lang w:eastAsia="en-GB"/>
        </w:rPr>
        <w:t xml:space="preserve"> procentus, atliktos komisijas ienākumus un uzkrājumus paredzamajiem zaudējumiem</w:t>
      </w:r>
      <w:r>
        <w:rPr>
          <w:lang w:eastAsia="en-GB"/>
        </w:rPr>
        <w:t>;</w:t>
      </w:r>
    </w:p>
    <w:p w14:paraId="39CC8C19" w14:textId="529028E6" w:rsidR="005B63F1" w:rsidRDefault="005B63F1" w:rsidP="006E185B">
      <w:pPr>
        <w:pStyle w:val="NApunkts2"/>
        <w:rPr>
          <w:lang w:eastAsia="en-GB"/>
        </w:rPr>
      </w:pPr>
      <w:r w:rsidRPr="00A3618D">
        <w:rPr>
          <w:lang w:eastAsia="en-GB"/>
        </w:rPr>
        <w:t xml:space="preserve">datus par turējumā esošajiem klientu vērtspapīriem norāda atbilstoši Latvijas Bankas noteikumu, kas nosaka </w:t>
      </w:r>
      <w:hyperlink r:id="rId16" w:tgtFrame="_blank" w:history="1">
        <w:r w:rsidRPr="00A3618D">
          <w:rPr>
            <w:lang w:eastAsia="en-GB"/>
          </w:rPr>
          <w:t>statistisko datu par vērtspapīriem sagatavošanu un iesniegšanu, prasībām.</w:t>
        </w:r>
      </w:hyperlink>
    </w:p>
    <w:p w14:paraId="0D6F91D0" w14:textId="412803A7" w:rsidR="0052058B" w:rsidRPr="0052058B" w:rsidRDefault="006F3F44" w:rsidP="0052058B">
      <w:pPr>
        <w:pStyle w:val="NAapaksnodala"/>
        <w:numPr>
          <w:ilvl w:val="0"/>
          <w:numId w:val="0"/>
        </w:numPr>
        <w:rPr>
          <w:bCs/>
        </w:rPr>
      </w:pPr>
      <w:bookmarkStart w:id="60" w:name="p20"/>
      <w:bookmarkStart w:id="61" w:name="p-1168012"/>
      <w:bookmarkEnd w:id="60"/>
      <w:bookmarkEnd w:id="61"/>
      <w:r>
        <w:rPr>
          <w:bCs/>
        </w:rPr>
        <w:t>4</w:t>
      </w:r>
      <w:r w:rsidR="0052058B" w:rsidRPr="0052058B">
        <w:rPr>
          <w:bCs/>
        </w:rPr>
        <w:t>.</w:t>
      </w:r>
      <w:r w:rsidR="00DB6F4D">
        <w:rPr>
          <w:bCs/>
        </w:rPr>
        <w:t>2</w:t>
      </w:r>
      <w:r w:rsidR="0052058B" w:rsidRPr="0052058B">
        <w:rPr>
          <w:bCs/>
        </w:rPr>
        <w:t>.</w:t>
      </w:r>
      <w:r w:rsidR="001F322C">
        <w:rPr>
          <w:bCs/>
        </w:rPr>
        <w:t>2</w:t>
      </w:r>
      <w:r w:rsidR="00FE4DE2">
        <w:rPr>
          <w:bCs/>
        </w:rPr>
        <w:t>.</w:t>
      </w:r>
      <w:r w:rsidR="00222B1F" w:rsidRPr="00222B1F">
        <w:t xml:space="preserve"> </w:t>
      </w:r>
      <w:r w:rsidR="00FF785D">
        <w:rPr>
          <w:bCs/>
        </w:rPr>
        <w:t>P</w:t>
      </w:r>
      <w:r w:rsidR="00D94D58">
        <w:rPr>
          <w:bCs/>
        </w:rPr>
        <w:t>ārskata</w:t>
      </w:r>
      <w:r w:rsidR="00347933">
        <w:rPr>
          <w:bCs/>
        </w:rPr>
        <w:t xml:space="preserve"> 1.</w:t>
      </w:r>
      <w:r w:rsidR="003B0E03">
        <w:rPr>
          <w:bCs/>
        </w:rPr>
        <w:t> </w:t>
      </w:r>
      <w:r w:rsidR="00347933">
        <w:rPr>
          <w:bCs/>
        </w:rPr>
        <w:t xml:space="preserve">daļas </w:t>
      </w:r>
      <w:r w:rsidR="0061303A">
        <w:rPr>
          <w:bCs/>
        </w:rPr>
        <w:t xml:space="preserve">sagatavošanas </w:t>
      </w:r>
      <w:r w:rsidR="00222B1F">
        <w:rPr>
          <w:bCs/>
        </w:rPr>
        <w:t>kārtība</w:t>
      </w:r>
    </w:p>
    <w:p w14:paraId="5DD4ED4E" w14:textId="57EAF2ED" w:rsidR="00E11AC0" w:rsidRDefault="00EB5161" w:rsidP="006E185B">
      <w:pPr>
        <w:pStyle w:val="NApunkts1"/>
        <w:shd w:val="clear" w:color="auto" w:fill="FFFFFF"/>
        <w:tabs>
          <w:tab w:val="left" w:pos="284"/>
          <w:tab w:val="left" w:pos="426"/>
        </w:tabs>
        <w:ind w:left="0" w:firstLine="0"/>
        <w:rPr>
          <w:bCs/>
        </w:rPr>
      </w:pPr>
      <w:r>
        <w:t>Kredītiestāde</w:t>
      </w:r>
      <w:r w:rsidR="00EE1CA1">
        <w:rPr>
          <w:lang w:eastAsia="en-GB"/>
        </w:rPr>
        <w:t xml:space="preserve"> un </w:t>
      </w:r>
      <w:r w:rsidR="00E82C32">
        <w:rPr>
          <w:lang w:eastAsia="en-GB"/>
        </w:rPr>
        <w:t xml:space="preserve">citas </w:t>
      </w:r>
      <w:r w:rsidR="00EE1CA1">
        <w:rPr>
          <w:lang w:eastAsia="en-GB"/>
        </w:rPr>
        <w:t>d</w:t>
      </w:r>
      <w:r w:rsidR="00EE1CA1" w:rsidRPr="00E11AC0">
        <w:rPr>
          <w:lang w:eastAsia="en-GB"/>
        </w:rPr>
        <w:t>alībvalsts vai trešās valsts kredītiestādes filiāle Latvijas Republikā</w:t>
      </w:r>
      <w:r w:rsidR="00222B1F">
        <w:rPr>
          <w:lang w:eastAsia="en-GB"/>
        </w:rPr>
        <w:t xml:space="preserve">, </w:t>
      </w:r>
      <w:r w:rsidR="00DB6F4D">
        <w:rPr>
          <w:lang w:eastAsia="en-GB"/>
        </w:rPr>
        <w:t xml:space="preserve">sagatavojot </w:t>
      </w:r>
      <w:r w:rsidR="00347933">
        <w:rPr>
          <w:lang w:eastAsia="en-GB"/>
        </w:rPr>
        <w:t>Pārskata 1.</w:t>
      </w:r>
      <w:r w:rsidR="00835974" w:rsidRPr="00435118">
        <w:t> </w:t>
      </w:r>
      <w:r w:rsidR="00347933">
        <w:rPr>
          <w:lang w:eastAsia="en-GB"/>
        </w:rPr>
        <w:t>daļu</w:t>
      </w:r>
      <w:r w:rsidR="00222B1F">
        <w:rPr>
          <w:bCs/>
        </w:rPr>
        <w:t>,</w:t>
      </w:r>
      <w:bookmarkStart w:id="62" w:name="p-1168018"/>
      <w:bookmarkEnd w:id="62"/>
      <w:r w:rsidR="00650596">
        <w:rPr>
          <w:bCs/>
        </w:rPr>
        <w:t xml:space="preserve"> norāda šādus datus</w:t>
      </w:r>
      <w:r w:rsidR="001F3EF5">
        <w:rPr>
          <w:bCs/>
        </w:rPr>
        <w:t>:</w:t>
      </w:r>
    </w:p>
    <w:p w14:paraId="21DDA360" w14:textId="72380378" w:rsidR="001F3EF5" w:rsidRPr="00E11AC0" w:rsidRDefault="001F3EF5" w:rsidP="006E185B">
      <w:pPr>
        <w:pStyle w:val="NApunkts2"/>
        <w:rPr>
          <w:lang w:eastAsia="en-GB"/>
        </w:rPr>
      </w:pPr>
      <w:r w:rsidRPr="00E11AC0">
        <w:rPr>
          <w:lang w:eastAsia="en-GB"/>
        </w:rPr>
        <w:t>rind</w:t>
      </w:r>
      <w:r>
        <w:rPr>
          <w:lang w:eastAsia="en-GB"/>
        </w:rPr>
        <w:t>ā</w:t>
      </w:r>
      <w:r w:rsidRPr="00E11AC0">
        <w:rPr>
          <w:lang w:eastAsia="en-GB"/>
        </w:rPr>
        <w:t xml:space="preserve"> "Klienti kopā"</w:t>
      </w:r>
      <w:r w:rsidR="00E82C32">
        <w:rPr>
          <w:lang w:eastAsia="en-GB"/>
        </w:rPr>
        <w:t xml:space="preserve"> (rindas kods</w:t>
      </w:r>
      <w:r w:rsidR="00D96DA1">
        <w:rPr>
          <w:lang w:eastAsia="en-GB"/>
        </w:rPr>
        <w:t> </w:t>
      </w:r>
      <w:r w:rsidR="00E82C32">
        <w:rPr>
          <w:lang w:eastAsia="en-GB"/>
        </w:rPr>
        <w:t>010)</w:t>
      </w:r>
      <w:r>
        <w:rPr>
          <w:lang w:eastAsia="en-GB"/>
        </w:rPr>
        <w:t>:</w:t>
      </w:r>
    </w:p>
    <w:p w14:paraId="70BEDDD2" w14:textId="7798C291" w:rsidR="00E11AC0" w:rsidRPr="00E11AC0" w:rsidRDefault="00E82C32" w:rsidP="006E185B">
      <w:pPr>
        <w:pStyle w:val="NApunkts3"/>
        <w:rPr>
          <w:lang w:eastAsia="en-GB"/>
        </w:rPr>
      </w:pPr>
      <w:bookmarkStart w:id="63" w:name="p-1168019"/>
      <w:bookmarkEnd w:id="63"/>
      <w:r>
        <w:rPr>
          <w:lang w:eastAsia="en-GB"/>
        </w:rPr>
        <w:lastRenderedPageBreak/>
        <w:t>ailē</w:t>
      </w:r>
      <w:r w:rsidR="00E11AC0" w:rsidRPr="00E11AC0">
        <w:rPr>
          <w:lang w:eastAsia="en-GB"/>
        </w:rPr>
        <w:t xml:space="preserve"> "Klientiem izsniegtie kredīti,</w:t>
      </w:r>
      <w:r w:rsidR="00D96DA1">
        <w:rPr>
          <w:lang w:eastAsia="en-GB"/>
        </w:rPr>
        <w:t xml:space="preserve"> </w:t>
      </w:r>
      <w:r w:rsidR="00E11AC0" w:rsidRPr="00A3618D">
        <w:rPr>
          <w:i/>
          <w:iCs/>
          <w:lang w:eastAsia="en-GB"/>
        </w:rPr>
        <w:t>euro</w:t>
      </w:r>
      <w:r w:rsidR="00E11AC0" w:rsidRPr="00E11AC0">
        <w:rPr>
          <w:lang w:eastAsia="en-GB"/>
        </w:rPr>
        <w:t xml:space="preserve">" </w:t>
      </w:r>
      <w:r>
        <w:rPr>
          <w:lang w:eastAsia="en-GB"/>
        </w:rPr>
        <w:t>(ailes kods</w:t>
      </w:r>
      <w:r w:rsidR="00D96DA1">
        <w:rPr>
          <w:lang w:eastAsia="en-GB"/>
        </w:rPr>
        <w:t> </w:t>
      </w:r>
      <w:r>
        <w:rPr>
          <w:lang w:eastAsia="en-GB"/>
        </w:rPr>
        <w:t xml:space="preserve">060) </w:t>
      </w:r>
      <w:r w:rsidR="00E11AC0" w:rsidRPr="00E11AC0">
        <w:rPr>
          <w:lang w:eastAsia="en-GB"/>
        </w:rPr>
        <w:t>norāda faktiskos datus par visiem klientiem izsniegtajiem kredītiem</w:t>
      </w:r>
      <w:r w:rsidR="00091331">
        <w:rPr>
          <w:lang w:eastAsia="en-GB"/>
        </w:rPr>
        <w:t>, izņemot</w:t>
      </w:r>
      <w:r w:rsidR="00E11AC0" w:rsidRPr="00E11AC0">
        <w:rPr>
          <w:lang w:eastAsia="en-GB"/>
        </w:rPr>
        <w:t xml:space="preserve"> fiduciār</w:t>
      </w:r>
      <w:r w:rsidR="00C80945">
        <w:rPr>
          <w:lang w:eastAsia="en-GB"/>
        </w:rPr>
        <w:t>os</w:t>
      </w:r>
      <w:r w:rsidR="00E11AC0" w:rsidRPr="00E11AC0">
        <w:rPr>
          <w:lang w:eastAsia="en-GB"/>
        </w:rPr>
        <w:t xml:space="preserve"> kredīt</w:t>
      </w:r>
      <w:r w:rsidR="00C80945">
        <w:rPr>
          <w:lang w:eastAsia="en-GB"/>
        </w:rPr>
        <w:t>us</w:t>
      </w:r>
      <w:r w:rsidR="00091331">
        <w:rPr>
          <w:lang w:eastAsia="en-GB"/>
        </w:rPr>
        <w:t>,</w:t>
      </w:r>
      <w:r w:rsidR="00E11AC0" w:rsidRPr="00E11AC0">
        <w:rPr>
          <w:lang w:eastAsia="en-GB"/>
        </w:rPr>
        <w:t xml:space="preserve"> pārskata ceturkšņa </w:t>
      </w:r>
      <w:r w:rsidR="00DB6F4D">
        <w:rPr>
          <w:lang w:eastAsia="en-GB"/>
        </w:rPr>
        <w:t xml:space="preserve">pēdējās dienas </w:t>
      </w:r>
      <w:r w:rsidR="00E11AC0" w:rsidRPr="00E11AC0">
        <w:rPr>
          <w:lang w:eastAsia="en-GB"/>
        </w:rPr>
        <w:t>beigās;</w:t>
      </w:r>
    </w:p>
    <w:p w14:paraId="6550B25B" w14:textId="1945E521" w:rsidR="00E11AC0" w:rsidRDefault="00434174" w:rsidP="006E185B">
      <w:pPr>
        <w:pStyle w:val="NApunkts3"/>
        <w:rPr>
          <w:lang w:eastAsia="en-GB"/>
        </w:rPr>
      </w:pPr>
      <w:r>
        <w:rPr>
          <w:lang w:eastAsia="en-GB"/>
        </w:rPr>
        <w:t>a</w:t>
      </w:r>
      <w:r w:rsidR="001B2E85">
        <w:rPr>
          <w:lang w:eastAsia="en-GB"/>
        </w:rPr>
        <w:t xml:space="preserve">ilē "Ienākumi, </w:t>
      </w:r>
      <w:r w:rsidR="001B2E85" w:rsidRPr="006E185B">
        <w:rPr>
          <w:i/>
          <w:iCs/>
          <w:lang w:eastAsia="en-GB"/>
        </w:rPr>
        <w:t>euro</w:t>
      </w:r>
      <w:r w:rsidR="001B2E85">
        <w:rPr>
          <w:lang w:eastAsia="en-GB"/>
        </w:rPr>
        <w:t>" (ailes kods</w:t>
      </w:r>
      <w:r w:rsidR="00D96DA1">
        <w:rPr>
          <w:lang w:eastAsia="en-GB"/>
        </w:rPr>
        <w:t> </w:t>
      </w:r>
      <w:r w:rsidR="001B2E85">
        <w:rPr>
          <w:lang w:eastAsia="en-GB"/>
        </w:rPr>
        <w:t xml:space="preserve">090) un ailē "Komisijas, </w:t>
      </w:r>
      <w:r w:rsidR="001B2E85" w:rsidRPr="006E185B">
        <w:rPr>
          <w:i/>
          <w:iCs/>
          <w:lang w:eastAsia="en-GB"/>
        </w:rPr>
        <w:t>euro</w:t>
      </w:r>
      <w:r w:rsidR="001B2E85">
        <w:rPr>
          <w:lang w:eastAsia="en-GB"/>
        </w:rPr>
        <w:t>" (ailes kods</w:t>
      </w:r>
      <w:r w:rsidR="00D96DA1">
        <w:rPr>
          <w:lang w:eastAsia="en-GB"/>
        </w:rPr>
        <w:t> </w:t>
      </w:r>
      <w:r w:rsidR="001B2E85">
        <w:rPr>
          <w:lang w:eastAsia="en-GB"/>
        </w:rPr>
        <w:t xml:space="preserve">100) </w:t>
      </w:r>
      <w:r w:rsidR="00E11AC0" w:rsidRPr="000F2DA3">
        <w:rPr>
          <w:lang w:eastAsia="en-GB"/>
        </w:rPr>
        <w:t>norāda</w:t>
      </w:r>
      <w:r w:rsidR="00E11AC0" w:rsidRPr="00E11AC0">
        <w:rPr>
          <w:lang w:eastAsia="en-GB"/>
        </w:rPr>
        <w:t xml:space="preserve"> </w:t>
      </w:r>
      <w:r w:rsidR="00D61C6D">
        <w:rPr>
          <w:lang w:eastAsia="en-GB"/>
        </w:rPr>
        <w:t xml:space="preserve">attiecīgi </w:t>
      </w:r>
      <w:r w:rsidR="00E11AC0" w:rsidRPr="00E11AC0">
        <w:rPr>
          <w:lang w:eastAsia="en-GB"/>
        </w:rPr>
        <w:t>faktisk</w:t>
      </w:r>
      <w:r w:rsidR="001B2E85">
        <w:rPr>
          <w:lang w:eastAsia="en-GB"/>
        </w:rPr>
        <w:t>os</w:t>
      </w:r>
      <w:r w:rsidR="00E11AC0" w:rsidRPr="00E11AC0">
        <w:rPr>
          <w:lang w:eastAsia="en-GB"/>
        </w:rPr>
        <w:t xml:space="preserve"> kopēj</w:t>
      </w:r>
      <w:r w:rsidR="001B2E85">
        <w:rPr>
          <w:lang w:eastAsia="en-GB"/>
        </w:rPr>
        <w:t>os</w:t>
      </w:r>
      <w:r w:rsidR="00E11AC0" w:rsidRPr="00E11AC0">
        <w:rPr>
          <w:lang w:eastAsia="en-GB"/>
        </w:rPr>
        <w:t xml:space="preserve"> ienākum</w:t>
      </w:r>
      <w:r w:rsidR="001B2E85">
        <w:rPr>
          <w:lang w:eastAsia="en-GB"/>
        </w:rPr>
        <w:t>us</w:t>
      </w:r>
      <w:r w:rsidR="00D61C6D">
        <w:rPr>
          <w:lang w:eastAsia="en-GB"/>
        </w:rPr>
        <w:t xml:space="preserve"> un </w:t>
      </w:r>
      <w:r w:rsidR="001B2E85">
        <w:rPr>
          <w:lang w:eastAsia="en-GB"/>
        </w:rPr>
        <w:t xml:space="preserve">saņemtās komisijas </w:t>
      </w:r>
      <w:r w:rsidR="00E11AC0" w:rsidRPr="00E11AC0">
        <w:rPr>
          <w:lang w:eastAsia="en-GB"/>
        </w:rPr>
        <w:t xml:space="preserve">no pakalpojumu sniegšanas klientiem pārskata ceturksnī atbilstoši šo noteikumu </w:t>
      </w:r>
      <w:r w:rsidR="00DB6F4D" w:rsidRPr="00A3618D">
        <w:rPr>
          <w:lang w:eastAsia="en-GB"/>
        </w:rPr>
        <w:t>2</w:t>
      </w:r>
      <w:r w:rsidR="00E11AC0" w:rsidRPr="003813B0">
        <w:rPr>
          <w:lang w:eastAsia="en-GB"/>
        </w:rPr>
        <w:t>.3.</w:t>
      </w:r>
      <w:r w:rsidR="00835974" w:rsidRPr="00435118">
        <w:t> </w:t>
      </w:r>
      <w:r w:rsidR="00E11AC0" w:rsidRPr="003813B0">
        <w:rPr>
          <w:lang w:eastAsia="en-GB"/>
        </w:rPr>
        <w:t>apakšpunktā</w:t>
      </w:r>
      <w:r w:rsidR="00E11AC0" w:rsidRPr="00E11AC0">
        <w:rPr>
          <w:lang w:eastAsia="en-GB"/>
        </w:rPr>
        <w:t xml:space="preserve"> noteiktajam ienākumu ietvaram, tai skaitā </w:t>
      </w:r>
      <w:r w:rsidR="001B2E85">
        <w:rPr>
          <w:lang w:eastAsia="en-GB"/>
        </w:rPr>
        <w:t xml:space="preserve">norāda </w:t>
      </w:r>
      <w:r w:rsidR="00E11AC0" w:rsidRPr="00E11AC0">
        <w:rPr>
          <w:lang w:eastAsia="en-GB"/>
        </w:rPr>
        <w:t>ienākum</w:t>
      </w:r>
      <w:r w:rsidR="001B2E85">
        <w:rPr>
          <w:lang w:eastAsia="en-GB"/>
        </w:rPr>
        <w:t>us</w:t>
      </w:r>
      <w:r w:rsidR="00E11AC0" w:rsidRPr="00E11AC0">
        <w:rPr>
          <w:lang w:eastAsia="en-GB"/>
        </w:rPr>
        <w:t xml:space="preserve">, kas </w:t>
      </w:r>
      <w:r w:rsidR="001B2E85">
        <w:rPr>
          <w:lang w:eastAsia="en-GB"/>
        </w:rPr>
        <w:t>ie</w:t>
      </w:r>
      <w:r w:rsidR="00E11AC0" w:rsidRPr="00E11AC0">
        <w:rPr>
          <w:lang w:eastAsia="en-GB"/>
        </w:rPr>
        <w:t>gūti no pakalpojumu sniegšanas klientiem, kuri veic gadījuma rakstura darījumus</w:t>
      </w:r>
      <w:r w:rsidR="008727CF">
        <w:rPr>
          <w:lang w:eastAsia="en-GB"/>
        </w:rPr>
        <w:t>;</w:t>
      </w:r>
    </w:p>
    <w:p w14:paraId="4E60B050" w14:textId="7086F9B6" w:rsidR="00E11AC0" w:rsidRPr="00E11AC0" w:rsidRDefault="001F3EF5" w:rsidP="006E185B">
      <w:pPr>
        <w:pStyle w:val="NApunkts2"/>
        <w:rPr>
          <w:lang w:eastAsia="en-GB"/>
        </w:rPr>
      </w:pPr>
      <w:r w:rsidRPr="00E11AC0">
        <w:rPr>
          <w:lang w:eastAsia="en-GB"/>
        </w:rPr>
        <w:t>rind</w:t>
      </w:r>
      <w:r w:rsidR="00612A46">
        <w:rPr>
          <w:lang w:eastAsia="en-GB"/>
        </w:rPr>
        <w:t>u</w:t>
      </w:r>
      <w:r>
        <w:rPr>
          <w:lang w:eastAsia="en-GB"/>
        </w:rPr>
        <w:t xml:space="preserve"> </w:t>
      </w:r>
      <w:r w:rsidRPr="00E11AC0">
        <w:rPr>
          <w:lang w:eastAsia="en-GB"/>
        </w:rPr>
        <w:t>"Padziļinātās izpētes klienti"</w:t>
      </w:r>
      <w:r w:rsidR="001B2E85">
        <w:rPr>
          <w:lang w:eastAsia="en-GB"/>
        </w:rPr>
        <w:t xml:space="preserve"> (rindas kods</w:t>
      </w:r>
      <w:r w:rsidR="00D96DA1">
        <w:rPr>
          <w:lang w:eastAsia="en-GB"/>
        </w:rPr>
        <w:t> </w:t>
      </w:r>
      <w:r w:rsidR="001B2E85">
        <w:rPr>
          <w:lang w:eastAsia="en-GB"/>
        </w:rPr>
        <w:t>020)</w:t>
      </w:r>
      <w:r w:rsidRPr="00E11AC0">
        <w:rPr>
          <w:lang w:eastAsia="en-GB"/>
        </w:rPr>
        <w:t>,</w:t>
      </w:r>
      <w:r w:rsidR="001B2E85">
        <w:rPr>
          <w:lang w:eastAsia="en-GB"/>
        </w:rPr>
        <w:t xml:space="preserve"> </w:t>
      </w:r>
      <w:r w:rsidRPr="00E11AC0">
        <w:rPr>
          <w:lang w:eastAsia="en-GB"/>
        </w:rPr>
        <w:t>"Augsta riska klienti"</w:t>
      </w:r>
      <w:r w:rsidR="001B2E85">
        <w:rPr>
          <w:lang w:eastAsia="en-GB"/>
        </w:rPr>
        <w:t xml:space="preserve"> (rindas kods</w:t>
      </w:r>
      <w:r w:rsidR="00D96DA1">
        <w:rPr>
          <w:lang w:eastAsia="en-GB"/>
        </w:rPr>
        <w:t> </w:t>
      </w:r>
      <w:r w:rsidR="001B2E85">
        <w:rPr>
          <w:lang w:eastAsia="en-GB"/>
        </w:rPr>
        <w:t>030)</w:t>
      </w:r>
      <w:r w:rsidR="00D96DA1">
        <w:rPr>
          <w:lang w:eastAsia="en-GB"/>
        </w:rPr>
        <w:t xml:space="preserve"> </w:t>
      </w:r>
      <w:r w:rsidRPr="00E11AC0">
        <w:rPr>
          <w:lang w:eastAsia="en-GB"/>
        </w:rPr>
        <w:t>un "Čaulas veidojumi"</w:t>
      </w:r>
      <w:r w:rsidR="001B2E85">
        <w:rPr>
          <w:lang w:eastAsia="en-GB"/>
        </w:rPr>
        <w:t xml:space="preserve"> (rindas kods</w:t>
      </w:r>
      <w:r w:rsidR="00D96DA1">
        <w:rPr>
          <w:lang w:eastAsia="en-GB"/>
        </w:rPr>
        <w:t> </w:t>
      </w:r>
      <w:r w:rsidR="001B2E85">
        <w:rPr>
          <w:lang w:eastAsia="en-GB"/>
        </w:rPr>
        <w:t>040)</w:t>
      </w:r>
      <w:r w:rsidRPr="00E11AC0">
        <w:rPr>
          <w:lang w:eastAsia="en-GB"/>
        </w:rPr>
        <w:t>:</w:t>
      </w:r>
    </w:p>
    <w:p w14:paraId="508BD0C2" w14:textId="34B263EE" w:rsidR="00E11AC0" w:rsidRPr="00E11AC0" w:rsidRDefault="001B2E85" w:rsidP="006E185B">
      <w:pPr>
        <w:pStyle w:val="NApunkts3"/>
        <w:rPr>
          <w:lang w:eastAsia="en-GB"/>
        </w:rPr>
      </w:pPr>
      <w:bookmarkStart w:id="64" w:name="p-1168021"/>
      <w:bookmarkEnd w:id="64"/>
      <w:r>
        <w:rPr>
          <w:lang w:eastAsia="en-GB"/>
        </w:rPr>
        <w:t>ailē</w:t>
      </w:r>
      <w:r w:rsidR="00E11AC0" w:rsidRPr="00E11AC0">
        <w:rPr>
          <w:lang w:eastAsia="en-GB"/>
        </w:rPr>
        <w:t xml:space="preserve"> "Klientiem izsniegtie kredīti, </w:t>
      </w:r>
      <w:r w:rsidR="00E11AC0" w:rsidRPr="00A3618D">
        <w:rPr>
          <w:i/>
          <w:iCs/>
          <w:lang w:eastAsia="en-GB"/>
        </w:rPr>
        <w:t>euro</w:t>
      </w:r>
      <w:r w:rsidR="00E11AC0" w:rsidRPr="00E11AC0">
        <w:rPr>
          <w:lang w:eastAsia="en-GB"/>
        </w:rPr>
        <w:t xml:space="preserve">" </w:t>
      </w:r>
      <w:r>
        <w:rPr>
          <w:lang w:eastAsia="en-GB"/>
        </w:rPr>
        <w:t>(ailes kods</w:t>
      </w:r>
      <w:r w:rsidR="00D96DA1">
        <w:rPr>
          <w:lang w:eastAsia="en-GB"/>
        </w:rPr>
        <w:t> </w:t>
      </w:r>
      <w:r>
        <w:rPr>
          <w:lang w:eastAsia="en-GB"/>
        </w:rPr>
        <w:t xml:space="preserve">060) </w:t>
      </w:r>
      <w:r w:rsidR="00E11AC0" w:rsidRPr="00E11AC0">
        <w:rPr>
          <w:lang w:eastAsia="en-GB"/>
        </w:rPr>
        <w:t xml:space="preserve">norāda klientiem, kas pakļauti padziļinātai izpētei, augsta riska klientiem un čaulas veidojumiem </w:t>
      </w:r>
      <w:r>
        <w:rPr>
          <w:lang w:eastAsia="en-GB"/>
        </w:rPr>
        <w:t xml:space="preserve">faktiski izsniegtos </w:t>
      </w:r>
      <w:r w:rsidR="00E11AC0" w:rsidRPr="00E11AC0">
        <w:rPr>
          <w:lang w:eastAsia="en-GB"/>
        </w:rPr>
        <w:t>kredīt</w:t>
      </w:r>
      <w:r>
        <w:rPr>
          <w:lang w:eastAsia="en-GB"/>
        </w:rPr>
        <w:t>us</w:t>
      </w:r>
      <w:r w:rsidR="00091331">
        <w:rPr>
          <w:lang w:eastAsia="en-GB"/>
        </w:rPr>
        <w:t>, izņemot</w:t>
      </w:r>
      <w:r w:rsidR="00E11AC0" w:rsidRPr="00E11AC0">
        <w:rPr>
          <w:lang w:eastAsia="en-GB"/>
        </w:rPr>
        <w:t xml:space="preserve"> fiduciār</w:t>
      </w:r>
      <w:r>
        <w:rPr>
          <w:lang w:eastAsia="en-GB"/>
        </w:rPr>
        <w:t>os</w:t>
      </w:r>
      <w:r w:rsidR="00E11AC0" w:rsidRPr="00E11AC0">
        <w:rPr>
          <w:lang w:eastAsia="en-GB"/>
        </w:rPr>
        <w:t xml:space="preserve"> kredīt</w:t>
      </w:r>
      <w:r>
        <w:rPr>
          <w:lang w:eastAsia="en-GB"/>
        </w:rPr>
        <w:t>us</w:t>
      </w:r>
      <w:r w:rsidR="00091331">
        <w:rPr>
          <w:lang w:eastAsia="en-GB"/>
        </w:rPr>
        <w:t>,</w:t>
      </w:r>
      <w:r w:rsidR="00E11AC0" w:rsidRPr="00E11AC0">
        <w:rPr>
          <w:lang w:eastAsia="en-GB"/>
        </w:rPr>
        <w:t xml:space="preserve"> pārskata ceturkšņa </w:t>
      </w:r>
      <w:r w:rsidR="00DB6F4D">
        <w:rPr>
          <w:lang w:eastAsia="en-GB"/>
        </w:rPr>
        <w:t xml:space="preserve">pēdējās dienas </w:t>
      </w:r>
      <w:r w:rsidR="00E11AC0" w:rsidRPr="00E11AC0">
        <w:rPr>
          <w:lang w:eastAsia="en-GB"/>
        </w:rPr>
        <w:t>beigās;</w:t>
      </w:r>
    </w:p>
    <w:p w14:paraId="1ED493FF" w14:textId="3B104067" w:rsidR="00E11AC0" w:rsidRPr="00E11AC0" w:rsidRDefault="00434174" w:rsidP="006E185B">
      <w:pPr>
        <w:pStyle w:val="NApunkts3"/>
        <w:rPr>
          <w:lang w:eastAsia="en-GB"/>
        </w:rPr>
      </w:pPr>
      <w:r>
        <w:rPr>
          <w:lang w:eastAsia="en-GB"/>
        </w:rPr>
        <w:t>a</w:t>
      </w:r>
      <w:r w:rsidR="00FC03B9">
        <w:rPr>
          <w:lang w:eastAsia="en-GB"/>
        </w:rPr>
        <w:t xml:space="preserve">ilē "Ienākumi, </w:t>
      </w:r>
      <w:r w:rsidR="00FC03B9" w:rsidRPr="00AF485D">
        <w:rPr>
          <w:i/>
          <w:iCs/>
          <w:lang w:eastAsia="en-GB"/>
        </w:rPr>
        <w:t>euro</w:t>
      </w:r>
      <w:r w:rsidR="00FC03B9">
        <w:rPr>
          <w:lang w:eastAsia="en-GB"/>
        </w:rPr>
        <w:t>" (ailes kods</w:t>
      </w:r>
      <w:r w:rsidR="00D96DA1">
        <w:rPr>
          <w:lang w:eastAsia="en-GB"/>
        </w:rPr>
        <w:t> </w:t>
      </w:r>
      <w:r w:rsidR="00FC03B9">
        <w:rPr>
          <w:lang w:eastAsia="en-GB"/>
        </w:rPr>
        <w:t xml:space="preserve">090) un ailē "Komisijas, </w:t>
      </w:r>
      <w:r w:rsidR="00FC03B9" w:rsidRPr="00AF485D">
        <w:rPr>
          <w:i/>
          <w:iCs/>
          <w:lang w:eastAsia="en-GB"/>
        </w:rPr>
        <w:t>euro</w:t>
      </w:r>
      <w:r w:rsidR="00FC03B9">
        <w:rPr>
          <w:lang w:eastAsia="en-GB"/>
        </w:rPr>
        <w:t>" (ailes kods</w:t>
      </w:r>
      <w:r w:rsidR="00D96DA1">
        <w:rPr>
          <w:lang w:eastAsia="en-GB"/>
        </w:rPr>
        <w:t> </w:t>
      </w:r>
      <w:r w:rsidR="00FC03B9">
        <w:rPr>
          <w:lang w:eastAsia="en-GB"/>
        </w:rPr>
        <w:t xml:space="preserve">100) </w:t>
      </w:r>
      <w:r w:rsidR="00E11AC0" w:rsidRPr="00E11AC0">
        <w:rPr>
          <w:lang w:eastAsia="en-GB"/>
        </w:rPr>
        <w:t xml:space="preserve">norāda </w:t>
      </w:r>
      <w:r w:rsidR="00D61C6D">
        <w:rPr>
          <w:lang w:eastAsia="en-GB"/>
        </w:rPr>
        <w:t xml:space="preserve">attiecīgi </w:t>
      </w:r>
      <w:r w:rsidR="00E11AC0" w:rsidRPr="00E11AC0">
        <w:rPr>
          <w:lang w:eastAsia="en-GB"/>
        </w:rPr>
        <w:t>faktisk</w:t>
      </w:r>
      <w:r w:rsidR="00FC03B9">
        <w:rPr>
          <w:lang w:eastAsia="en-GB"/>
        </w:rPr>
        <w:t>os</w:t>
      </w:r>
      <w:r w:rsidR="00E11AC0" w:rsidRPr="00E11AC0">
        <w:rPr>
          <w:lang w:eastAsia="en-GB"/>
        </w:rPr>
        <w:t xml:space="preserve"> ienākum</w:t>
      </w:r>
      <w:r w:rsidR="00FC03B9">
        <w:rPr>
          <w:lang w:eastAsia="en-GB"/>
        </w:rPr>
        <w:t>us</w:t>
      </w:r>
      <w:r w:rsidR="00E11AC0" w:rsidRPr="00E11AC0">
        <w:rPr>
          <w:lang w:eastAsia="en-GB"/>
        </w:rPr>
        <w:t xml:space="preserve"> </w:t>
      </w:r>
      <w:r w:rsidR="00D61C6D">
        <w:rPr>
          <w:lang w:eastAsia="en-GB"/>
        </w:rPr>
        <w:t xml:space="preserve">un saņemtās komisijas </w:t>
      </w:r>
      <w:r w:rsidR="00E11AC0" w:rsidRPr="00E11AC0">
        <w:rPr>
          <w:lang w:eastAsia="en-GB"/>
        </w:rPr>
        <w:t>no pakalpojumu sniegšanas klientiem, kas pakļauti padziļinātai izpētei, augsta riska klientiem un čaulas veidojumiem dal</w:t>
      </w:r>
      <w:r w:rsidR="00A97B33">
        <w:rPr>
          <w:lang w:eastAsia="en-GB"/>
        </w:rPr>
        <w:t xml:space="preserve">ījumā </w:t>
      </w:r>
      <w:r w:rsidR="00E11AC0" w:rsidRPr="00E11AC0">
        <w:rPr>
          <w:lang w:eastAsia="en-GB"/>
        </w:rPr>
        <w:t>pa klientu rezidences (reģistrācijas) valstīm</w:t>
      </w:r>
      <w:r w:rsidR="00A15B59">
        <w:rPr>
          <w:lang w:eastAsia="en-GB"/>
        </w:rPr>
        <w:t> </w:t>
      </w:r>
      <w:r w:rsidR="00A97B33">
        <w:rPr>
          <w:lang w:eastAsia="en-GB"/>
        </w:rPr>
        <w:t>– Latvija, citas Eiropas Savienības dalībvalstis un pārējās valstis</w:t>
      </w:r>
      <w:r w:rsidR="00E11AC0" w:rsidRPr="00E11AC0">
        <w:rPr>
          <w:lang w:eastAsia="en-GB"/>
        </w:rPr>
        <w:t xml:space="preserve"> </w:t>
      </w:r>
      <w:r w:rsidR="00A97B33">
        <w:rPr>
          <w:lang w:eastAsia="en-GB"/>
        </w:rPr>
        <w:t>(</w:t>
      </w:r>
      <w:r w:rsidR="00E11AC0" w:rsidRPr="00AB7A0A">
        <w:rPr>
          <w:lang w:eastAsia="en-GB"/>
        </w:rPr>
        <w:t>atbilstoši</w:t>
      </w:r>
      <w:r w:rsidR="00A97B33" w:rsidRPr="00AB7A0A">
        <w:rPr>
          <w:lang w:eastAsia="en-GB"/>
        </w:rPr>
        <w:t>e</w:t>
      </w:r>
      <w:r w:rsidR="00E11AC0" w:rsidRPr="00AB7A0A">
        <w:rPr>
          <w:lang w:eastAsia="en-GB"/>
        </w:rPr>
        <w:t xml:space="preserve"> </w:t>
      </w:r>
      <w:r w:rsidR="00A97B33" w:rsidRPr="00AB7A0A">
        <w:rPr>
          <w:lang w:eastAsia="en-GB"/>
        </w:rPr>
        <w:t>rindu</w:t>
      </w:r>
      <w:r w:rsidR="00A97B33">
        <w:rPr>
          <w:lang w:eastAsia="en-GB"/>
        </w:rPr>
        <w:t xml:space="preserve"> kodi</w:t>
      </w:r>
      <w:r w:rsidR="00D96DA1">
        <w:rPr>
          <w:lang w:eastAsia="en-GB"/>
        </w:rPr>
        <w:t> </w:t>
      </w:r>
      <w:r w:rsidR="00E11AC0" w:rsidRPr="00E11AC0">
        <w:rPr>
          <w:lang w:eastAsia="en-GB"/>
        </w:rPr>
        <w:t>021–023, 031–033 un 041–043</w:t>
      </w:r>
      <w:r w:rsidR="00A97B33">
        <w:rPr>
          <w:lang w:eastAsia="en-GB"/>
        </w:rPr>
        <w:t>)</w:t>
      </w:r>
      <w:r w:rsidR="00E11AC0" w:rsidRPr="00E11AC0">
        <w:rPr>
          <w:lang w:eastAsia="en-GB"/>
        </w:rPr>
        <w:t>;</w:t>
      </w:r>
    </w:p>
    <w:p w14:paraId="5C3E583B" w14:textId="0C6BECA2" w:rsidR="00E11AC0" w:rsidRDefault="00042198" w:rsidP="006E185B">
      <w:pPr>
        <w:pStyle w:val="NApunkts3"/>
        <w:rPr>
          <w:lang w:eastAsia="en-GB"/>
        </w:rPr>
      </w:pPr>
      <w:r>
        <w:rPr>
          <w:lang w:eastAsia="en-GB"/>
        </w:rPr>
        <w:t xml:space="preserve">rādītāju </w:t>
      </w:r>
      <w:r w:rsidR="00E11AC0" w:rsidRPr="00E11AC0">
        <w:rPr>
          <w:lang w:eastAsia="en-GB"/>
        </w:rPr>
        <w:t xml:space="preserve">grupā "Stratēģijā noteiktie robežlielumi" </w:t>
      </w:r>
      <w:r>
        <w:rPr>
          <w:lang w:eastAsia="en-GB"/>
        </w:rPr>
        <w:t>(aiļu kodi</w:t>
      </w:r>
      <w:r w:rsidR="00D96DA1">
        <w:rPr>
          <w:lang w:eastAsia="en-GB"/>
        </w:rPr>
        <w:t> </w:t>
      </w:r>
      <w:r w:rsidRPr="00E11AC0">
        <w:rPr>
          <w:lang w:eastAsia="en-GB"/>
        </w:rPr>
        <w:t>110</w:t>
      </w:r>
      <w:r w:rsidR="00D61C6D" w:rsidRPr="00E11AC0">
        <w:rPr>
          <w:lang w:eastAsia="en-GB"/>
        </w:rPr>
        <w:t>–</w:t>
      </w:r>
      <w:r w:rsidRPr="00E11AC0">
        <w:rPr>
          <w:lang w:eastAsia="en-GB"/>
        </w:rPr>
        <w:t>130</w:t>
      </w:r>
      <w:r>
        <w:rPr>
          <w:lang w:eastAsia="en-GB"/>
        </w:rPr>
        <w:t>)</w:t>
      </w:r>
      <w:r w:rsidRPr="00E11AC0">
        <w:rPr>
          <w:lang w:eastAsia="en-GB"/>
        </w:rPr>
        <w:t xml:space="preserve"> </w:t>
      </w:r>
      <w:r w:rsidR="00E11AC0" w:rsidRPr="00E11AC0">
        <w:rPr>
          <w:lang w:eastAsia="en-GB"/>
        </w:rPr>
        <w:t xml:space="preserve">norāda NILLTPF riska pārvaldīšanas stratēģijā </w:t>
      </w:r>
      <w:r w:rsidR="00E11AC0" w:rsidRPr="00375E49">
        <w:rPr>
          <w:lang w:eastAsia="en-GB"/>
        </w:rPr>
        <w:t>atbilstoši šo noteikumu 1</w:t>
      </w:r>
      <w:r w:rsidR="003813B0" w:rsidRPr="00A3618D">
        <w:rPr>
          <w:lang w:eastAsia="en-GB"/>
        </w:rPr>
        <w:t>7</w:t>
      </w:r>
      <w:r w:rsidR="00E11AC0" w:rsidRPr="00375E49">
        <w:rPr>
          <w:lang w:eastAsia="en-GB"/>
        </w:rPr>
        <w:t>.1.1.1.–1</w:t>
      </w:r>
      <w:r w:rsidR="003813B0" w:rsidRPr="00A3618D">
        <w:rPr>
          <w:lang w:eastAsia="en-GB"/>
        </w:rPr>
        <w:t>7</w:t>
      </w:r>
      <w:r w:rsidR="00E11AC0" w:rsidRPr="00375E49">
        <w:rPr>
          <w:lang w:eastAsia="en-GB"/>
        </w:rPr>
        <w:t>.1.1.4.</w:t>
      </w:r>
      <w:r w:rsidR="00835974" w:rsidRPr="00435118">
        <w:t> </w:t>
      </w:r>
      <w:r w:rsidR="00E11AC0" w:rsidRPr="00375E49">
        <w:rPr>
          <w:lang w:eastAsia="en-GB"/>
        </w:rPr>
        <w:t>apakšpunktam</w:t>
      </w:r>
      <w:r w:rsidR="00E11AC0" w:rsidRPr="00E11AC0">
        <w:rPr>
          <w:lang w:eastAsia="en-GB"/>
        </w:rPr>
        <w:t xml:space="preserve"> noteikto augsta riska klientu un čaulas veidojumu finanšu aktīvu īpatsvaru kopējā klientu finanšu aktīvu apmērā, šo klientu kredīta apgrozījuma īpatsvaru kopējā klientu kredīta apgrozījuma apmērā un ienākumu, kas gūti no pakalpojumu sniegšanas šiem klientiem, īpatsvaru kopējā ienākumu apmērā</w:t>
      </w:r>
      <w:r w:rsidR="007A5E5B">
        <w:rPr>
          <w:lang w:eastAsia="en-GB"/>
        </w:rPr>
        <w:t>;</w:t>
      </w:r>
    </w:p>
    <w:p w14:paraId="61A71E6D" w14:textId="259BFAC7" w:rsidR="00E11AC0" w:rsidRPr="00E11AC0" w:rsidRDefault="00E11AC0" w:rsidP="006E185B">
      <w:pPr>
        <w:pStyle w:val="NApunkts2"/>
        <w:rPr>
          <w:lang w:eastAsia="en-GB"/>
        </w:rPr>
      </w:pPr>
      <w:bookmarkStart w:id="65" w:name="p-1168022"/>
      <w:bookmarkStart w:id="66" w:name="p-1168023"/>
      <w:bookmarkEnd w:id="65"/>
      <w:bookmarkEnd w:id="66"/>
      <w:r w:rsidRPr="00E11AC0">
        <w:rPr>
          <w:lang w:eastAsia="en-GB"/>
        </w:rPr>
        <w:t>rind</w:t>
      </w:r>
      <w:r w:rsidR="000313E8">
        <w:rPr>
          <w:lang w:eastAsia="en-GB"/>
        </w:rPr>
        <w:t>ā</w:t>
      </w:r>
      <w:r w:rsidRPr="00E11AC0">
        <w:rPr>
          <w:lang w:eastAsia="en-GB"/>
        </w:rPr>
        <w:t xml:space="preserve"> "Klienti, kuru patiesie labuma guvēji ir no paaugstināta riska jurisdikcijas"</w:t>
      </w:r>
      <w:r w:rsidR="00042198">
        <w:rPr>
          <w:lang w:eastAsia="en-GB"/>
        </w:rPr>
        <w:t xml:space="preserve"> (rindas kods</w:t>
      </w:r>
      <w:r w:rsidR="00D96DA1">
        <w:rPr>
          <w:lang w:eastAsia="en-GB"/>
        </w:rPr>
        <w:t> </w:t>
      </w:r>
      <w:r w:rsidR="00042198">
        <w:rPr>
          <w:lang w:eastAsia="en-GB"/>
        </w:rPr>
        <w:t>060)</w:t>
      </w:r>
      <w:r w:rsidRPr="00E11AC0">
        <w:rPr>
          <w:lang w:eastAsia="en-GB"/>
        </w:rPr>
        <w:t>:</w:t>
      </w:r>
    </w:p>
    <w:p w14:paraId="63472CF6" w14:textId="49079B5D" w:rsidR="00E11AC0" w:rsidRPr="00E11AC0" w:rsidRDefault="00042198" w:rsidP="00434174">
      <w:pPr>
        <w:pStyle w:val="NApunkts3"/>
        <w:rPr>
          <w:lang w:eastAsia="en-GB"/>
        </w:rPr>
      </w:pPr>
      <w:r>
        <w:rPr>
          <w:lang w:eastAsia="en-GB"/>
        </w:rPr>
        <w:t xml:space="preserve">rādītāju </w:t>
      </w:r>
      <w:r w:rsidR="00E11AC0" w:rsidRPr="00E11AC0">
        <w:rPr>
          <w:lang w:eastAsia="en-GB"/>
        </w:rPr>
        <w:t>grupā "Pārskata ceturkšņa beigās</w:t>
      </w:r>
      <w:r w:rsidR="00E11AC0" w:rsidRPr="00AB7A0A">
        <w:rPr>
          <w:lang w:eastAsia="en-GB"/>
        </w:rPr>
        <w:t xml:space="preserve">" </w:t>
      </w:r>
      <w:r w:rsidRPr="00AB7A0A">
        <w:rPr>
          <w:lang w:eastAsia="en-GB"/>
        </w:rPr>
        <w:t>(</w:t>
      </w:r>
      <w:r w:rsidR="00434174" w:rsidRPr="007A2005">
        <w:rPr>
          <w:lang w:eastAsia="en-GB"/>
        </w:rPr>
        <w:t>atti</w:t>
      </w:r>
      <w:r w:rsidR="00434174" w:rsidRPr="00AB7A0A">
        <w:rPr>
          <w:lang w:eastAsia="en-GB"/>
        </w:rPr>
        <w:t xml:space="preserve">ecīgo </w:t>
      </w:r>
      <w:r w:rsidRPr="00AB7A0A">
        <w:rPr>
          <w:lang w:eastAsia="en-GB"/>
        </w:rPr>
        <w:t>aiļu</w:t>
      </w:r>
      <w:r>
        <w:rPr>
          <w:lang w:eastAsia="en-GB"/>
        </w:rPr>
        <w:t xml:space="preserve"> kodi</w:t>
      </w:r>
      <w:r w:rsidR="00D96DA1">
        <w:rPr>
          <w:lang w:eastAsia="en-GB"/>
        </w:rPr>
        <w:t> </w:t>
      </w:r>
      <w:r w:rsidRPr="00E11AC0">
        <w:rPr>
          <w:lang w:eastAsia="en-GB"/>
        </w:rPr>
        <w:t>010</w:t>
      </w:r>
      <w:r w:rsidR="00434174">
        <w:rPr>
          <w:lang w:eastAsia="en-GB"/>
        </w:rPr>
        <w:t>–</w:t>
      </w:r>
      <w:r w:rsidRPr="00E11AC0">
        <w:rPr>
          <w:lang w:eastAsia="en-GB"/>
        </w:rPr>
        <w:t>070</w:t>
      </w:r>
      <w:r>
        <w:rPr>
          <w:lang w:eastAsia="en-GB"/>
        </w:rPr>
        <w:t xml:space="preserve">) </w:t>
      </w:r>
      <w:r w:rsidR="00E11AC0" w:rsidRPr="00E11AC0">
        <w:rPr>
          <w:lang w:eastAsia="en-GB"/>
        </w:rPr>
        <w:t xml:space="preserve">norāda faktiskos datus par klientu, kuru </w:t>
      </w:r>
      <w:r w:rsidR="00AC2349" w:rsidRPr="008E0CF5">
        <w:rPr>
          <w:lang w:eastAsia="en-GB"/>
        </w:rPr>
        <w:t xml:space="preserve">patiesie labuma guvēji </w:t>
      </w:r>
      <w:r w:rsidR="00E11AC0" w:rsidRPr="00E11AC0">
        <w:rPr>
          <w:lang w:eastAsia="en-GB"/>
        </w:rPr>
        <w:t>ir no paaugstināta riska jurisdikcijas, skaitu un kopējo finanšu aktīvu apmēru noguldījum</w:t>
      </w:r>
      <w:r>
        <w:rPr>
          <w:lang w:eastAsia="en-GB"/>
        </w:rPr>
        <w:t>u</w:t>
      </w:r>
      <w:r w:rsidR="00E11AC0" w:rsidRPr="00E11AC0">
        <w:rPr>
          <w:lang w:eastAsia="en-GB"/>
        </w:rPr>
        <w:t>, trast</w:t>
      </w:r>
      <w:r>
        <w:rPr>
          <w:lang w:eastAsia="en-GB"/>
        </w:rPr>
        <w:t>u</w:t>
      </w:r>
      <w:r w:rsidR="00E11AC0" w:rsidRPr="00E11AC0">
        <w:rPr>
          <w:lang w:eastAsia="en-GB"/>
        </w:rPr>
        <w:t>, kas ieguldīti fiduciārajos kredītos</w:t>
      </w:r>
      <w:r>
        <w:rPr>
          <w:lang w:eastAsia="en-GB"/>
        </w:rPr>
        <w:t xml:space="preserve">, un </w:t>
      </w:r>
      <w:r w:rsidR="00E11AC0" w:rsidRPr="00E11AC0">
        <w:rPr>
          <w:lang w:eastAsia="en-GB"/>
        </w:rPr>
        <w:t>turējumā esoš</w:t>
      </w:r>
      <w:r>
        <w:rPr>
          <w:lang w:eastAsia="en-GB"/>
        </w:rPr>
        <w:t>o</w:t>
      </w:r>
      <w:r w:rsidR="00E11AC0" w:rsidRPr="00E11AC0">
        <w:rPr>
          <w:lang w:eastAsia="en-GB"/>
        </w:rPr>
        <w:t xml:space="preserve"> klientu vērtspapīr</w:t>
      </w:r>
      <w:r>
        <w:rPr>
          <w:lang w:eastAsia="en-GB"/>
        </w:rPr>
        <w:t>u dalījumā</w:t>
      </w:r>
      <w:r w:rsidR="00E11AC0" w:rsidRPr="00E11AC0">
        <w:rPr>
          <w:lang w:eastAsia="en-GB"/>
        </w:rPr>
        <w:t xml:space="preserve"> un šiem klientiem izsniegto kredītu apmēru</w:t>
      </w:r>
      <w:r>
        <w:rPr>
          <w:lang w:eastAsia="en-GB"/>
        </w:rPr>
        <w:t>. Šajā apakšpunktā minēto informāciju norāda</w:t>
      </w:r>
      <w:r w:rsidR="00E11AC0" w:rsidRPr="00E11AC0">
        <w:rPr>
          <w:lang w:eastAsia="en-GB"/>
        </w:rPr>
        <w:t xml:space="preserve"> dal</w:t>
      </w:r>
      <w:r>
        <w:rPr>
          <w:lang w:eastAsia="en-GB"/>
        </w:rPr>
        <w:t>ījumā</w:t>
      </w:r>
      <w:r w:rsidR="00E11AC0" w:rsidRPr="00E11AC0">
        <w:rPr>
          <w:lang w:eastAsia="en-GB"/>
        </w:rPr>
        <w:t xml:space="preserve"> pa klientu rezidences (reģistrācijas) valstīm</w:t>
      </w:r>
      <w:r w:rsidR="00A15B59">
        <w:rPr>
          <w:lang w:eastAsia="en-GB"/>
        </w:rPr>
        <w:t> </w:t>
      </w:r>
      <w:r>
        <w:rPr>
          <w:lang w:eastAsia="en-GB"/>
        </w:rPr>
        <w:t>– Latvija, citas Eiropas Savienības dalībvalstis un pārējās valstis (</w:t>
      </w:r>
      <w:r w:rsidR="00E11AC0" w:rsidRPr="00E11AC0">
        <w:rPr>
          <w:lang w:eastAsia="en-GB"/>
        </w:rPr>
        <w:t>atbilstoši</w:t>
      </w:r>
      <w:r>
        <w:rPr>
          <w:lang w:eastAsia="en-GB"/>
        </w:rPr>
        <w:t>e</w:t>
      </w:r>
      <w:r w:rsidR="00E11AC0" w:rsidRPr="00E11AC0">
        <w:rPr>
          <w:lang w:eastAsia="en-GB"/>
        </w:rPr>
        <w:t xml:space="preserve"> </w:t>
      </w:r>
      <w:r>
        <w:rPr>
          <w:lang w:eastAsia="en-GB"/>
        </w:rPr>
        <w:t>rindu kodi</w:t>
      </w:r>
      <w:r w:rsidR="00D96DA1">
        <w:rPr>
          <w:lang w:eastAsia="en-GB"/>
        </w:rPr>
        <w:t> </w:t>
      </w:r>
      <w:r w:rsidR="00E11AC0" w:rsidRPr="00E11AC0">
        <w:rPr>
          <w:lang w:eastAsia="en-GB"/>
        </w:rPr>
        <w:t>061–063</w:t>
      </w:r>
      <w:r w:rsidR="00434174">
        <w:rPr>
          <w:lang w:eastAsia="en-GB"/>
        </w:rPr>
        <w:t>)</w:t>
      </w:r>
      <w:r w:rsidR="008727CF">
        <w:rPr>
          <w:lang w:eastAsia="en-GB"/>
        </w:rPr>
        <w:t>;</w:t>
      </w:r>
    </w:p>
    <w:p w14:paraId="3C94D2C0" w14:textId="7FF9483A" w:rsidR="00E11AC0" w:rsidRPr="00E11AC0" w:rsidRDefault="00434174" w:rsidP="006E185B">
      <w:pPr>
        <w:pStyle w:val="NApunkts3"/>
        <w:rPr>
          <w:lang w:eastAsia="en-GB"/>
        </w:rPr>
      </w:pPr>
      <w:r>
        <w:rPr>
          <w:lang w:eastAsia="en-GB"/>
        </w:rPr>
        <w:t xml:space="preserve">rādītāju </w:t>
      </w:r>
      <w:r w:rsidR="00E11AC0" w:rsidRPr="00E11AC0">
        <w:rPr>
          <w:lang w:eastAsia="en-GB"/>
        </w:rPr>
        <w:t xml:space="preserve">grupā "Pārskata ceturksnī" </w:t>
      </w:r>
      <w:r>
        <w:rPr>
          <w:lang w:eastAsia="en-GB"/>
        </w:rPr>
        <w:t>(attiecīgo aiļu kodi</w:t>
      </w:r>
      <w:r w:rsidR="00D96DA1">
        <w:rPr>
          <w:lang w:eastAsia="en-GB"/>
        </w:rPr>
        <w:t> </w:t>
      </w:r>
      <w:r w:rsidRPr="00E11AC0">
        <w:rPr>
          <w:lang w:eastAsia="en-GB"/>
        </w:rPr>
        <w:t>08</w:t>
      </w:r>
      <w:r>
        <w:rPr>
          <w:lang w:eastAsia="en-GB"/>
        </w:rPr>
        <w:t xml:space="preserve">1, 082, 083, 090 un </w:t>
      </w:r>
      <w:r w:rsidRPr="00E11AC0">
        <w:rPr>
          <w:lang w:eastAsia="en-GB"/>
        </w:rPr>
        <w:t>100</w:t>
      </w:r>
      <w:r>
        <w:rPr>
          <w:lang w:eastAsia="en-GB"/>
        </w:rPr>
        <w:t>)</w:t>
      </w:r>
      <w:r w:rsidRPr="00E11AC0">
        <w:rPr>
          <w:lang w:eastAsia="en-GB"/>
        </w:rPr>
        <w:t xml:space="preserve"> </w:t>
      </w:r>
      <w:r w:rsidR="00E11AC0" w:rsidRPr="00E11AC0">
        <w:rPr>
          <w:lang w:eastAsia="en-GB"/>
        </w:rPr>
        <w:t xml:space="preserve">norāda datus par kopējo faktisko klientu, kuru </w:t>
      </w:r>
      <w:r w:rsidR="00AC2349" w:rsidRPr="008E0CF5">
        <w:rPr>
          <w:lang w:eastAsia="en-GB"/>
        </w:rPr>
        <w:t xml:space="preserve">patiesie labuma guvēji </w:t>
      </w:r>
      <w:r w:rsidR="00E11AC0" w:rsidRPr="00E11AC0">
        <w:rPr>
          <w:lang w:eastAsia="en-GB"/>
        </w:rPr>
        <w:t>ir no paaugstināta riska jurisdikcijas, kredīta apgrozījumu</w:t>
      </w:r>
      <w:r w:rsidR="00943207">
        <w:rPr>
          <w:lang w:eastAsia="en-GB"/>
        </w:rPr>
        <w:t xml:space="preserve"> bezskaidras naudas</w:t>
      </w:r>
      <w:r w:rsidR="00D61C6D">
        <w:rPr>
          <w:lang w:eastAsia="en-GB"/>
        </w:rPr>
        <w:t xml:space="preserve"> norēķinu</w:t>
      </w:r>
      <w:r w:rsidR="00375E49">
        <w:rPr>
          <w:lang w:eastAsia="en-GB"/>
        </w:rPr>
        <w:t xml:space="preserve">, </w:t>
      </w:r>
      <w:r w:rsidR="00943207">
        <w:rPr>
          <w:lang w:eastAsia="en-GB"/>
        </w:rPr>
        <w:t>skaidras naudas norēķin</w:t>
      </w:r>
      <w:r>
        <w:rPr>
          <w:lang w:eastAsia="en-GB"/>
        </w:rPr>
        <w:t>u</w:t>
      </w:r>
      <w:r w:rsidR="006E59B9">
        <w:rPr>
          <w:lang w:eastAsia="en-GB"/>
        </w:rPr>
        <w:t xml:space="preserve"> un norēķin</w:t>
      </w:r>
      <w:r>
        <w:rPr>
          <w:lang w:eastAsia="en-GB"/>
        </w:rPr>
        <w:t>u</w:t>
      </w:r>
      <w:r w:rsidR="006E59B9">
        <w:rPr>
          <w:lang w:eastAsia="en-GB"/>
        </w:rPr>
        <w:t>, kas veidojušies inkasāciju rezultātā,</w:t>
      </w:r>
      <w:r>
        <w:rPr>
          <w:lang w:eastAsia="en-GB"/>
        </w:rPr>
        <w:t xml:space="preserve"> dalījumā</w:t>
      </w:r>
      <w:r w:rsidR="00E11AC0" w:rsidRPr="00E11AC0">
        <w:rPr>
          <w:lang w:eastAsia="en-GB"/>
        </w:rPr>
        <w:t xml:space="preserve"> un par faktiskajiem ienākumiem no pakalpojumu sniegšanas šādiem klientiem</w:t>
      </w:r>
      <w:r>
        <w:rPr>
          <w:lang w:eastAsia="en-GB"/>
        </w:rPr>
        <w:t xml:space="preserve">, atsevišķi ailē "Komisijas, </w:t>
      </w:r>
      <w:r w:rsidRPr="006E185B">
        <w:rPr>
          <w:i/>
          <w:iCs/>
          <w:lang w:eastAsia="en-GB"/>
        </w:rPr>
        <w:t>euro</w:t>
      </w:r>
      <w:r>
        <w:rPr>
          <w:lang w:eastAsia="en-GB"/>
        </w:rPr>
        <w:t>" (ailes kods</w:t>
      </w:r>
      <w:r w:rsidR="00D96DA1">
        <w:rPr>
          <w:lang w:eastAsia="en-GB"/>
        </w:rPr>
        <w:t> </w:t>
      </w:r>
      <w:r>
        <w:rPr>
          <w:lang w:eastAsia="en-GB"/>
        </w:rPr>
        <w:t>100)</w:t>
      </w:r>
      <w:r w:rsidR="00DA1088">
        <w:rPr>
          <w:lang w:eastAsia="en-GB"/>
        </w:rPr>
        <w:t xml:space="preserve"> norādot</w:t>
      </w:r>
      <w:r w:rsidR="00DA1088" w:rsidRPr="00E11AC0">
        <w:rPr>
          <w:lang w:eastAsia="en-GB"/>
        </w:rPr>
        <w:t xml:space="preserve"> saņemtās komisijas</w:t>
      </w:r>
      <w:r>
        <w:rPr>
          <w:lang w:eastAsia="en-GB"/>
        </w:rPr>
        <w:t>. Šajā apakšpunktā minēto informāciju norāda</w:t>
      </w:r>
      <w:r w:rsidR="00E11AC0" w:rsidRPr="00E11AC0">
        <w:rPr>
          <w:lang w:eastAsia="en-GB"/>
        </w:rPr>
        <w:t xml:space="preserve"> dal</w:t>
      </w:r>
      <w:r>
        <w:rPr>
          <w:lang w:eastAsia="en-GB"/>
        </w:rPr>
        <w:t xml:space="preserve">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 (atbilstošie rindu kodi</w:t>
      </w:r>
      <w:r w:rsidR="00D96DA1">
        <w:rPr>
          <w:lang w:eastAsia="en-GB"/>
        </w:rPr>
        <w:t> </w:t>
      </w:r>
      <w:r w:rsidR="00E11AC0" w:rsidRPr="00E11AC0">
        <w:rPr>
          <w:lang w:eastAsia="en-GB"/>
        </w:rPr>
        <w:t>061–063</w:t>
      </w:r>
      <w:r>
        <w:rPr>
          <w:lang w:eastAsia="en-GB"/>
        </w:rPr>
        <w:t>)</w:t>
      </w:r>
      <w:r w:rsidR="00E11AC0" w:rsidRPr="00E11AC0">
        <w:rPr>
          <w:lang w:eastAsia="en-GB"/>
        </w:rPr>
        <w:t>;</w:t>
      </w:r>
    </w:p>
    <w:p w14:paraId="3465F37B" w14:textId="19C642C9" w:rsidR="00E11AC0" w:rsidRDefault="00434174" w:rsidP="006E185B">
      <w:pPr>
        <w:pStyle w:val="NApunkts3"/>
        <w:rPr>
          <w:lang w:eastAsia="en-GB"/>
        </w:rPr>
      </w:pPr>
      <w:r>
        <w:rPr>
          <w:lang w:eastAsia="en-GB"/>
        </w:rPr>
        <w:t>rādītāju</w:t>
      </w:r>
      <w:r w:rsidR="00E11AC0" w:rsidRPr="00E11AC0">
        <w:rPr>
          <w:lang w:eastAsia="en-GB"/>
        </w:rPr>
        <w:t xml:space="preserve"> grupā "Stratēģijā noteiktie robežlielumi" </w:t>
      </w:r>
      <w:r>
        <w:rPr>
          <w:lang w:eastAsia="en-GB"/>
        </w:rPr>
        <w:t>(attiecīgo aiļu kodi</w:t>
      </w:r>
      <w:r w:rsidR="00D96DA1">
        <w:rPr>
          <w:lang w:eastAsia="en-GB"/>
        </w:rPr>
        <w:t> </w:t>
      </w:r>
      <w:r w:rsidRPr="00E11AC0">
        <w:rPr>
          <w:lang w:eastAsia="en-GB"/>
        </w:rPr>
        <w:t>110–130</w:t>
      </w:r>
      <w:r>
        <w:rPr>
          <w:lang w:eastAsia="en-GB"/>
        </w:rPr>
        <w:t xml:space="preserve">) </w:t>
      </w:r>
      <w:r w:rsidR="00E11AC0" w:rsidRPr="00E11AC0">
        <w:rPr>
          <w:lang w:eastAsia="en-GB"/>
        </w:rPr>
        <w:t xml:space="preserve">norāda NILLTPF riska pārvaldīšanas stratēģijā atbilstoši šo noteikumu </w:t>
      </w:r>
      <w:r w:rsidR="00E11AC0" w:rsidRPr="008A6443">
        <w:rPr>
          <w:lang w:eastAsia="en-GB"/>
        </w:rPr>
        <w:t>1</w:t>
      </w:r>
      <w:r w:rsidR="003813B0" w:rsidRPr="00A3618D">
        <w:rPr>
          <w:lang w:eastAsia="en-GB"/>
        </w:rPr>
        <w:t>7</w:t>
      </w:r>
      <w:r w:rsidR="00E11AC0" w:rsidRPr="008A6443">
        <w:rPr>
          <w:lang w:eastAsia="en-GB"/>
        </w:rPr>
        <w:t>.1.1.5.</w:t>
      </w:r>
      <w:r w:rsidR="00835974" w:rsidRPr="00435118">
        <w:t> </w:t>
      </w:r>
      <w:r w:rsidR="00E11AC0" w:rsidRPr="008A6443">
        <w:rPr>
          <w:lang w:eastAsia="en-GB"/>
        </w:rPr>
        <w:t>apakšpunktam</w:t>
      </w:r>
      <w:r w:rsidR="00E11AC0" w:rsidRPr="00E11AC0">
        <w:rPr>
          <w:lang w:eastAsia="en-GB"/>
        </w:rPr>
        <w:t xml:space="preserve"> noteikto klientu, kuru </w:t>
      </w:r>
      <w:r w:rsidR="00AC2349" w:rsidRPr="008E0CF5">
        <w:rPr>
          <w:lang w:eastAsia="en-GB"/>
        </w:rPr>
        <w:t xml:space="preserve">patiesie labuma guvēji </w:t>
      </w:r>
      <w:r w:rsidR="00E11AC0" w:rsidRPr="00E11AC0">
        <w:rPr>
          <w:lang w:eastAsia="en-GB"/>
        </w:rPr>
        <w:t>ir no paaugstināta riska jurisdikcijas, finanšu aktīvu un kredīta apgrozījuma īpatsvaru klientu kopējā finanšu aktīvu un kredīta apgrozījuma apmērā</w:t>
      </w:r>
      <w:r w:rsidR="008727CF">
        <w:rPr>
          <w:lang w:eastAsia="en-GB"/>
        </w:rPr>
        <w:t>;</w:t>
      </w:r>
    </w:p>
    <w:p w14:paraId="463A8675" w14:textId="6E91D51C"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"Pakalpojumu sniegšana turīgiem klientiem"</w:t>
      </w:r>
      <w:r w:rsidR="00434174">
        <w:rPr>
          <w:lang w:eastAsia="en-GB"/>
        </w:rPr>
        <w:t xml:space="preserve"> (rindas kods</w:t>
      </w:r>
      <w:r w:rsidR="00D96DA1">
        <w:rPr>
          <w:lang w:eastAsia="en-GB"/>
        </w:rPr>
        <w:t> </w:t>
      </w:r>
      <w:r w:rsidR="00434174">
        <w:rPr>
          <w:lang w:eastAsia="en-GB"/>
        </w:rPr>
        <w:t>070)</w:t>
      </w:r>
      <w:r w:rsidRPr="00E11AC0">
        <w:rPr>
          <w:lang w:eastAsia="en-GB"/>
        </w:rPr>
        <w:t>:</w:t>
      </w:r>
      <w:bookmarkStart w:id="67" w:name="p30"/>
      <w:bookmarkStart w:id="68" w:name="p-1168024"/>
      <w:bookmarkEnd w:id="67"/>
      <w:bookmarkEnd w:id="68"/>
    </w:p>
    <w:p w14:paraId="4E450900" w14:textId="40EDB32F" w:rsidR="00E11AC0" w:rsidRPr="00E11AC0" w:rsidRDefault="00AC0752" w:rsidP="006E185B">
      <w:pPr>
        <w:pStyle w:val="NApunkts3"/>
        <w:rPr>
          <w:lang w:eastAsia="en-GB"/>
        </w:rPr>
      </w:pPr>
      <w:r>
        <w:rPr>
          <w:lang w:eastAsia="en-GB"/>
        </w:rPr>
        <w:lastRenderedPageBreak/>
        <w:t xml:space="preserve">rādītāju </w:t>
      </w:r>
      <w:r w:rsidR="00E11AC0" w:rsidRPr="00E11AC0">
        <w:rPr>
          <w:lang w:eastAsia="en-GB"/>
        </w:rPr>
        <w:t xml:space="preserve">grupā "Pārskata ceturkšņa beigās" </w:t>
      </w:r>
      <w:r>
        <w:rPr>
          <w:lang w:eastAsia="en-GB"/>
        </w:rPr>
        <w:t>(attiecīgo aiļu kodi</w:t>
      </w:r>
      <w:r w:rsidR="00D96DA1">
        <w:rPr>
          <w:lang w:eastAsia="en-GB"/>
        </w:rPr>
        <w:t> </w:t>
      </w:r>
      <w:r w:rsidRPr="00E11AC0">
        <w:rPr>
          <w:lang w:eastAsia="en-GB"/>
        </w:rPr>
        <w:t>010</w:t>
      </w:r>
      <w:r>
        <w:rPr>
          <w:lang w:eastAsia="en-GB"/>
        </w:rPr>
        <w:t>–</w:t>
      </w:r>
      <w:r w:rsidRPr="00E11AC0">
        <w:rPr>
          <w:lang w:eastAsia="en-GB"/>
        </w:rPr>
        <w:t>070</w:t>
      </w:r>
      <w:r>
        <w:rPr>
          <w:lang w:eastAsia="en-GB"/>
        </w:rPr>
        <w:t xml:space="preserve">) </w:t>
      </w:r>
      <w:r w:rsidR="00E11AC0" w:rsidRPr="00E11AC0">
        <w:rPr>
          <w:lang w:eastAsia="en-GB"/>
        </w:rPr>
        <w:t xml:space="preserve">norāda faktiskos datus par </w:t>
      </w:r>
      <w:r w:rsidR="00A42AAD">
        <w:rPr>
          <w:lang w:eastAsia="en-GB"/>
        </w:rPr>
        <w:t xml:space="preserve">pakalpojumiem </w:t>
      </w:r>
      <w:r w:rsidR="00E11AC0" w:rsidRPr="00E11AC0">
        <w:rPr>
          <w:lang w:eastAsia="en-GB"/>
        </w:rPr>
        <w:t>turīg</w:t>
      </w:r>
      <w:r w:rsidR="00A42AAD">
        <w:rPr>
          <w:lang w:eastAsia="en-GB"/>
        </w:rPr>
        <w:t>iem</w:t>
      </w:r>
      <w:r w:rsidR="00E11AC0" w:rsidRPr="00E11AC0">
        <w:rPr>
          <w:lang w:eastAsia="en-GB"/>
        </w:rPr>
        <w:t xml:space="preserve"> klient</w:t>
      </w:r>
      <w:r w:rsidR="00A42AAD">
        <w:rPr>
          <w:lang w:eastAsia="en-GB"/>
        </w:rPr>
        <w:t>iem</w:t>
      </w:r>
      <w:r w:rsidR="00947BC0">
        <w:rPr>
          <w:lang w:eastAsia="en-GB"/>
        </w:rPr>
        <w:t xml:space="preserve">, </w:t>
      </w:r>
      <w:r w:rsidR="00DA1088">
        <w:rPr>
          <w:lang w:eastAsia="en-GB"/>
        </w:rPr>
        <w:t xml:space="preserve">tai skaitā </w:t>
      </w:r>
      <w:r w:rsidR="00947BC0">
        <w:rPr>
          <w:lang w:eastAsia="en-GB"/>
        </w:rPr>
        <w:t>šādu klientu</w:t>
      </w:r>
      <w:r w:rsidR="00E11AC0" w:rsidRPr="00E11AC0">
        <w:rPr>
          <w:lang w:eastAsia="en-GB"/>
        </w:rPr>
        <w:t xml:space="preserve"> skaitu un </w:t>
      </w:r>
      <w:r w:rsidR="00947BC0">
        <w:rPr>
          <w:lang w:eastAsia="en-GB"/>
        </w:rPr>
        <w:t xml:space="preserve">to </w:t>
      </w:r>
      <w:r w:rsidR="00E11AC0" w:rsidRPr="00E11AC0">
        <w:rPr>
          <w:lang w:eastAsia="en-GB"/>
        </w:rPr>
        <w:t>faktisko kopējo finanšu aktīvu apmēru noguldījum</w:t>
      </w:r>
      <w:r>
        <w:rPr>
          <w:lang w:eastAsia="en-GB"/>
        </w:rPr>
        <w:t>u</w:t>
      </w:r>
      <w:r w:rsidR="00E11AC0" w:rsidRPr="00E11AC0">
        <w:rPr>
          <w:lang w:eastAsia="en-GB"/>
        </w:rPr>
        <w:t>, trast</w:t>
      </w:r>
      <w:r>
        <w:rPr>
          <w:lang w:eastAsia="en-GB"/>
        </w:rPr>
        <w:t>u</w:t>
      </w:r>
      <w:r w:rsidR="00E11AC0" w:rsidRPr="00E11AC0">
        <w:rPr>
          <w:lang w:eastAsia="en-GB"/>
        </w:rPr>
        <w:t xml:space="preserve">, kas ieguldīti fiduciārajos kredītos, </w:t>
      </w:r>
      <w:r w:rsidR="00DA1088">
        <w:rPr>
          <w:lang w:eastAsia="en-GB"/>
        </w:rPr>
        <w:t xml:space="preserve">un </w:t>
      </w:r>
      <w:r w:rsidR="00E11AC0" w:rsidRPr="00E11AC0">
        <w:rPr>
          <w:lang w:eastAsia="en-GB"/>
        </w:rPr>
        <w:t>turējumā esoš</w:t>
      </w:r>
      <w:r>
        <w:rPr>
          <w:lang w:eastAsia="en-GB"/>
        </w:rPr>
        <w:t>o</w:t>
      </w:r>
      <w:r w:rsidR="00E11AC0" w:rsidRPr="00E11AC0">
        <w:rPr>
          <w:lang w:eastAsia="en-GB"/>
        </w:rPr>
        <w:t xml:space="preserve"> klientu vērtspapīr</w:t>
      </w:r>
      <w:r>
        <w:rPr>
          <w:lang w:eastAsia="en-GB"/>
        </w:rPr>
        <w:t>u dalījumā</w:t>
      </w:r>
      <w:r w:rsidR="00E11AC0" w:rsidRPr="00E11AC0">
        <w:rPr>
          <w:lang w:eastAsia="en-GB"/>
        </w:rPr>
        <w:t xml:space="preserve"> un šiem klientiem izsniegto kredītu apmēru</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 (</w:t>
      </w:r>
      <w:r w:rsidR="00E11AC0" w:rsidRPr="00E11AC0">
        <w:rPr>
          <w:lang w:eastAsia="en-GB"/>
        </w:rPr>
        <w:t>atbilstoši</w:t>
      </w:r>
      <w:r>
        <w:rPr>
          <w:lang w:eastAsia="en-GB"/>
        </w:rPr>
        <w:t>e rindu kodi</w:t>
      </w:r>
      <w:r w:rsidR="00D96DA1">
        <w:rPr>
          <w:lang w:eastAsia="en-GB"/>
        </w:rPr>
        <w:t> </w:t>
      </w:r>
      <w:r w:rsidR="00E11AC0" w:rsidRPr="00E11AC0">
        <w:rPr>
          <w:lang w:eastAsia="en-GB"/>
        </w:rPr>
        <w:t>071–073</w:t>
      </w:r>
      <w:r>
        <w:rPr>
          <w:lang w:eastAsia="en-GB"/>
        </w:rPr>
        <w:t>)</w:t>
      </w:r>
      <w:r w:rsidR="008727CF">
        <w:rPr>
          <w:lang w:eastAsia="en-GB"/>
        </w:rPr>
        <w:t>;</w:t>
      </w:r>
    </w:p>
    <w:p w14:paraId="49771E50" w14:textId="1BF55C87" w:rsidR="00E11AC0" w:rsidRPr="00E11AC0" w:rsidRDefault="00D140B2" w:rsidP="006E185B">
      <w:pPr>
        <w:pStyle w:val="NApunkts3"/>
        <w:rPr>
          <w:lang w:eastAsia="en-GB"/>
        </w:rPr>
      </w:pPr>
      <w:r>
        <w:rPr>
          <w:lang w:eastAsia="en-GB"/>
        </w:rPr>
        <w:t>rādītāju</w:t>
      </w:r>
      <w:r w:rsidR="00E11AC0" w:rsidRPr="00E11AC0">
        <w:rPr>
          <w:lang w:eastAsia="en-GB"/>
        </w:rPr>
        <w:t xml:space="preserve"> grupā "Pārskata ceturksnī" </w:t>
      </w:r>
      <w:r>
        <w:rPr>
          <w:lang w:eastAsia="en-GB"/>
        </w:rPr>
        <w:t>(attiecīgo aiļu kodi</w:t>
      </w:r>
      <w:r w:rsidR="00D96DA1">
        <w:rPr>
          <w:lang w:eastAsia="en-GB"/>
        </w:rPr>
        <w:t> </w:t>
      </w:r>
      <w:r w:rsidRPr="00E11AC0">
        <w:rPr>
          <w:lang w:eastAsia="en-GB"/>
        </w:rPr>
        <w:t>08</w:t>
      </w:r>
      <w:r>
        <w:rPr>
          <w:lang w:eastAsia="en-GB"/>
        </w:rPr>
        <w:t xml:space="preserve">1, 082, 083, 090 un </w:t>
      </w:r>
      <w:r w:rsidRPr="00E11AC0">
        <w:rPr>
          <w:lang w:eastAsia="en-GB"/>
        </w:rPr>
        <w:t>100</w:t>
      </w:r>
      <w:r>
        <w:rPr>
          <w:lang w:eastAsia="en-GB"/>
        </w:rPr>
        <w:t>)</w:t>
      </w:r>
      <w:r w:rsidRPr="00E11AC0">
        <w:rPr>
          <w:lang w:eastAsia="en-GB"/>
        </w:rPr>
        <w:t xml:space="preserve"> </w:t>
      </w:r>
      <w:r w:rsidR="00E11AC0" w:rsidRPr="00E11AC0">
        <w:rPr>
          <w:lang w:eastAsia="en-GB"/>
        </w:rPr>
        <w:t xml:space="preserve">norāda datus par kopējo </w:t>
      </w:r>
      <w:r w:rsidR="00947BC0">
        <w:rPr>
          <w:lang w:eastAsia="en-GB"/>
        </w:rPr>
        <w:t xml:space="preserve">pakalpojumu </w:t>
      </w:r>
      <w:r w:rsidR="00E11AC0" w:rsidRPr="00E11AC0">
        <w:rPr>
          <w:lang w:eastAsia="en-GB"/>
        </w:rPr>
        <w:t>turīg</w:t>
      </w:r>
      <w:r w:rsidR="00947BC0">
        <w:rPr>
          <w:lang w:eastAsia="en-GB"/>
        </w:rPr>
        <w:t>iem</w:t>
      </w:r>
      <w:r w:rsidR="00E11AC0" w:rsidRPr="00E11AC0">
        <w:rPr>
          <w:lang w:eastAsia="en-GB"/>
        </w:rPr>
        <w:t xml:space="preserve"> klient</w:t>
      </w:r>
      <w:r w:rsidR="00947BC0">
        <w:rPr>
          <w:lang w:eastAsia="en-GB"/>
        </w:rPr>
        <w:t>iem apmēru</w:t>
      </w:r>
      <w:r w:rsidR="00A15B59">
        <w:rPr>
          <w:lang w:eastAsia="en-GB"/>
        </w:rPr>
        <w:t> </w:t>
      </w:r>
      <w:r w:rsidR="00947BC0">
        <w:rPr>
          <w:lang w:eastAsia="en-GB"/>
        </w:rPr>
        <w:t>– šādu klientu</w:t>
      </w:r>
      <w:r w:rsidR="00E11AC0" w:rsidRPr="00E11AC0">
        <w:rPr>
          <w:lang w:eastAsia="en-GB"/>
        </w:rPr>
        <w:t xml:space="preserve"> </w:t>
      </w:r>
      <w:r w:rsidR="00E11AC0" w:rsidRPr="00AD64C6">
        <w:rPr>
          <w:lang w:eastAsia="en-GB"/>
        </w:rPr>
        <w:t>kredīta apgrozījumu</w:t>
      </w:r>
      <w:r w:rsidR="00E92042">
        <w:rPr>
          <w:lang w:eastAsia="en-GB"/>
        </w:rPr>
        <w:t xml:space="preserve"> bezskaidras naudas</w:t>
      </w:r>
      <w:r>
        <w:rPr>
          <w:lang w:eastAsia="en-GB"/>
        </w:rPr>
        <w:t xml:space="preserve"> norēķinu,</w:t>
      </w:r>
      <w:r w:rsidR="00E92042">
        <w:rPr>
          <w:lang w:eastAsia="en-GB"/>
        </w:rPr>
        <w:t xml:space="preserve"> skaidras naudas norēķin</w:t>
      </w:r>
      <w:r>
        <w:rPr>
          <w:lang w:eastAsia="en-GB"/>
        </w:rPr>
        <w:t>u</w:t>
      </w:r>
      <w:r w:rsidR="00DA1088">
        <w:rPr>
          <w:lang w:eastAsia="en-GB"/>
        </w:rPr>
        <w:t xml:space="preserve"> un</w:t>
      </w:r>
      <w:r w:rsidR="00E92042" w:rsidRPr="00E11AC0">
        <w:rPr>
          <w:lang w:eastAsia="en-GB"/>
        </w:rPr>
        <w:t xml:space="preserve"> </w:t>
      </w:r>
      <w:r w:rsidR="006E59B9">
        <w:rPr>
          <w:lang w:eastAsia="en-GB"/>
        </w:rPr>
        <w:t>norēķin</w:t>
      </w:r>
      <w:r>
        <w:rPr>
          <w:lang w:eastAsia="en-GB"/>
        </w:rPr>
        <w:t>u</w:t>
      </w:r>
      <w:r w:rsidR="006E59B9">
        <w:rPr>
          <w:lang w:eastAsia="en-GB"/>
        </w:rPr>
        <w:t xml:space="preserve">, kas veidojušies inkasāciju rezultātā, </w:t>
      </w:r>
      <w:r>
        <w:rPr>
          <w:lang w:eastAsia="en-GB"/>
        </w:rPr>
        <w:t>dalījumā</w:t>
      </w:r>
      <w:r w:rsidR="00DA1088">
        <w:rPr>
          <w:lang w:eastAsia="en-GB"/>
        </w:rPr>
        <w:t> –</w:t>
      </w:r>
      <w:r>
        <w:rPr>
          <w:lang w:eastAsia="en-GB"/>
        </w:rPr>
        <w:t xml:space="preserve"> un </w:t>
      </w:r>
      <w:r w:rsidR="00E11AC0" w:rsidRPr="00E11AC0">
        <w:rPr>
          <w:lang w:eastAsia="en-GB"/>
        </w:rPr>
        <w:t>par faktiskajiem ienākumiem no pakalpojumu sniegšanas šādiem klientiem</w:t>
      </w:r>
      <w:r>
        <w:rPr>
          <w:lang w:eastAsia="en-GB"/>
        </w:rPr>
        <w:t xml:space="preserve">, atsevišķi ailē "Komisijas, </w:t>
      </w:r>
      <w:r>
        <w:rPr>
          <w:i/>
          <w:iCs/>
          <w:lang w:eastAsia="en-GB"/>
        </w:rPr>
        <w:t>euro</w:t>
      </w:r>
      <w:r>
        <w:rPr>
          <w:lang w:eastAsia="en-GB"/>
        </w:rPr>
        <w:t>" (ailes kods</w:t>
      </w:r>
      <w:r w:rsidR="00D96DA1">
        <w:rPr>
          <w:lang w:eastAsia="en-GB"/>
        </w:rPr>
        <w:t> </w:t>
      </w:r>
      <w:r>
        <w:rPr>
          <w:lang w:eastAsia="en-GB"/>
        </w:rPr>
        <w:t>100</w:t>
      </w:r>
      <w:r w:rsidR="00E11AC0" w:rsidRPr="00E11AC0">
        <w:rPr>
          <w:lang w:eastAsia="en-GB"/>
        </w:rPr>
        <w:t>)</w:t>
      </w:r>
      <w:r w:rsidR="00DA1088">
        <w:rPr>
          <w:lang w:eastAsia="en-GB"/>
        </w:rPr>
        <w:t xml:space="preserve"> norādot</w:t>
      </w:r>
      <w:r w:rsidR="00DA1088" w:rsidRPr="00E11AC0">
        <w:rPr>
          <w:lang w:eastAsia="en-GB"/>
        </w:rPr>
        <w:t xml:space="preserve"> saņemtās komisijas</w:t>
      </w:r>
      <w:r>
        <w:rPr>
          <w:lang w:eastAsia="en-GB"/>
        </w:rPr>
        <w:t>. Šajā apakšpunktā</w:t>
      </w:r>
      <w:r w:rsidR="00E11AC0" w:rsidRPr="00E11AC0">
        <w:rPr>
          <w:lang w:eastAsia="en-GB"/>
        </w:rPr>
        <w:t xml:space="preserve"> </w:t>
      </w:r>
      <w:r>
        <w:rPr>
          <w:lang w:eastAsia="en-GB"/>
        </w:rPr>
        <w:t xml:space="preserve">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 (</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071–073</w:t>
      </w:r>
      <w:r>
        <w:rPr>
          <w:lang w:eastAsia="en-GB"/>
        </w:rPr>
        <w:t>)</w:t>
      </w:r>
      <w:r w:rsidR="00E11AC0" w:rsidRPr="00E11AC0">
        <w:rPr>
          <w:lang w:eastAsia="en-GB"/>
        </w:rPr>
        <w:t>;</w:t>
      </w:r>
    </w:p>
    <w:p w14:paraId="79D2D0AE" w14:textId="0A8B500C" w:rsidR="00E11AC0" w:rsidRDefault="00D140B2" w:rsidP="006E185B">
      <w:pPr>
        <w:pStyle w:val="NApunkts3"/>
        <w:rPr>
          <w:lang w:eastAsia="en-GB"/>
        </w:rPr>
      </w:pPr>
      <w:r>
        <w:rPr>
          <w:lang w:eastAsia="en-GB"/>
        </w:rPr>
        <w:t>rādītāju</w:t>
      </w:r>
      <w:r w:rsidR="00E11AC0" w:rsidRPr="00E11AC0">
        <w:rPr>
          <w:lang w:eastAsia="en-GB"/>
        </w:rPr>
        <w:t xml:space="preserve"> grupā "Stratēģijā noteiktie robežlielumi" </w:t>
      </w:r>
      <w:r>
        <w:rPr>
          <w:lang w:eastAsia="en-GB"/>
        </w:rPr>
        <w:t>(</w:t>
      </w:r>
      <w:r w:rsidR="00E11AC0" w:rsidRPr="00E11AC0">
        <w:rPr>
          <w:lang w:eastAsia="en-GB"/>
        </w:rPr>
        <w:t>attiecīg</w:t>
      </w:r>
      <w:r>
        <w:rPr>
          <w:lang w:eastAsia="en-GB"/>
        </w:rPr>
        <w:t>o aiļu kodi</w:t>
      </w:r>
      <w:r w:rsidR="00D96DA1">
        <w:rPr>
          <w:lang w:eastAsia="en-GB"/>
        </w:rPr>
        <w:t> </w:t>
      </w:r>
      <w:r w:rsidRPr="00E11AC0">
        <w:rPr>
          <w:lang w:eastAsia="en-GB"/>
        </w:rPr>
        <w:t>110–130</w:t>
      </w:r>
      <w:r>
        <w:rPr>
          <w:lang w:eastAsia="en-GB"/>
        </w:rPr>
        <w:t xml:space="preserve">) </w:t>
      </w:r>
      <w:r w:rsidR="00E11AC0" w:rsidRPr="00E11AC0">
        <w:rPr>
          <w:lang w:eastAsia="en-GB"/>
        </w:rPr>
        <w:t xml:space="preserve">norāda NILLTPF riska pārvaldīšanas stratēģijā atbilstoši šo noteikumu </w:t>
      </w:r>
      <w:r w:rsidR="00FA02D4" w:rsidRPr="006E59B9">
        <w:rPr>
          <w:lang w:eastAsia="en-GB"/>
        </w:rPr>
        <w:t>1</w:t>
      </w:r>
      <w:r w:rsidR="003813B0" w:rsidRPr="00A3618D">
        <w:rPr>
          <w:lang w:eastAsia="en-GB"/>
        </w:rPr>
        <w:t>7</w:t>
      </w:r>
      <w:r w:rsidR="00E11AC0" w:rsidRPr="006E59B9">
        <w:rPr>
          <w:lang w:eastAsia="en-GB"/>
        </w:rPr>
        <w:t>.1.2.</w:t>
      </w:r>
      <w:r w:rsidR="00835974" w:rsidRPr="00435118">
        <w:t> </w:t>
      </w:r>
      <w:r w:rsidR="00E11AC0" w:rsidRPr="006E59B9">
        <w:rPr>
          <w:lang w:eastAsia="en-GB"/>
        </w:rPr>
        <w:t>apakšpunktam</w:t>
      </w:r>
      <w:r w:rsidR="00E11AC0" w:rsidRPr="00E11AC0">
        <w:rPr>
          <w:lang w:eastAsia="en-GB"/>
        </w:rPr>
        <w:t xml:space="preserve"> noteikto turīgo klientu finanšu aktīvu, kredīta apgrozījuma un kredītiestādes ienākumu, kas gūti no pakalpojumu sniegšanas turīgiem klientiem, īpatsvaru klientu kopējā finanšu aktīvu un kredīta apgrozījuma apmērā un ienākumu, kas gūti no pakalpojumu sniegšanas šādiem klientiem, īpatsvaru kopējā ienākumu apmērā</w:t>
      </w:r>
      <w:r w:rsidR="008727CF">
        <w:rPr>
          <w:lang w:eastAsia="en-GB"/>
        </w:rPr>
        <w:t>;</w:t>
      </w:r>
    </w:p>
    <w:p w14:paraId="724D7A0E" w14:textId="317391B3"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"Neklātienē identificētie klienti"</w:t>
      </w:r>
      <w:r w:rsidR="00D140B2">
        <w:rPr>
          <w:lang w:eastAsia="en-GB"/>
        </w:rPr>
        <w:t xml:space="preserve"> (rindas kods</w:t>
      </w:r>
      <w:r w:rsidR="00D96DA1">
        <w:rPr>
          <w:lang w:eastAsia="en-GB"/>
        </w:rPr>
        <w:t> </w:t>
      </w:r>
      <w:r w:rsidR="00D140B2">
        <w:rPr>
          <w:lang w:eastAsia="en-GB"/>
        </w:rPr>
        <w:t>080)</w:t>
      </w:r>
      <w:r w:rsidRPr="00E11AC0">
        <w:rPr>
          <w:lang w:eastAsia="en-GB"/>
        </w:rPr>
        <w:t>:</w:t>
      </w:r>
    </w:p>
    <w:p w14:paraId="3DB79C88" w14:textId="3FA8BEC4" w:rsidR="00E11AC0" w:rsidRPr="00E11AC0" w:rsidRDefault="00D140B2" w:rsidP="006E185B">
      <w:pPr>
        <w:pStyle w:val="NApunkts3"/>
        <w:rPr>
          <w:lang w:eastAsia="en-GB"/>
        </w:rPr>
      </w:pPr>
      <w:bookmarkStart w:id="69" w:name="p-1168025"/>
      <w:bookmarkEnd w:id="69"/>
      <w:r>
        <w:rPr>
          <w:lang w:eastAsia="en-GB"/>
        </w:rPr>
        <w:t>rādītāju</w:t>
      </w:r>
      <w:r w:rsidR="00E11AC0" w:rsidRPr="00E11AC0">
        <w:rPr>
          <w:lang w:eastAsia="en-GB"/>
        </w:rPr>
        <w:t xml:space="preserve"> grupā "Pārskata ceturkšņa beigās" </w:t>
      </w:r>
      <w:r>
        <w:rPr>
          <w:lang w:eastAsia="en-GB"/>
        </w:rPr>
        <w:t>(attiecīgo aiļu kodi</w:t>
      </w:r>
      <w:r w:rsidR="00D96DA1">
        <w:rPr>
          <w:lang w:eastAsia="en-GB"/>
        </w:rPr>
        <w:t> </w:t>
      </w:r>
      <w:r w:rsidRPr="00E11AC0">
        <w:rPr>
          <w:lang w:eastAsia="en-GB"/>
        </w:rPr>
        <w:t>010</w:t>
      </w:r>
      <w:r>
        <w:rPr>
          <w:lang w:eastAsia="en-GB"/>
        </w:rPr>
        <w:t>–</w:t>
      </w:r>
      <w:r w:rsidRPr="00E11AC0">
        <w:rPr>
          <w:lang w:eastAsia="en-GB"/>
        </w:rPr>
        <w:t>070</w:t>
      </w:r>
      <w:r>
        <w:rPr>
          <w:lang w:eastAsia="en-GB"/>
        </w:rPr>
        <w:t xml:space="preserve">) </w:t>
      </w:r>
      <w:r w:rsidR="00E11AC0" w:rsidRPr="00E11AC0">
        <w:rPr>
          <w:lang w:eastAsia="en-GB"/>
        </w:rPr>
        <w:t>norāda faktiskos datus par neklātienē identificēto klientu skaitu un faktisko kopējo finanšu aktīvu apmēru noguldījum</w:t>
      </w:r>
      <w:r>
        <w:rPr>
          <w:lang w:eastAsia="en-GB"/>
        </w:rPr>
        <w:t>u</w:t>
      </w:r>
      <w:r w:rsidR="00E11AC0" w:rsidRPr="00E11AC0">
        <w:rPr>
          <w:lang w:eastAsia="en-GB"/>
        </w:rPr>
        <w:t>, trast</w:t>
      </w:r>
      <w:r>
        <w:rPr>
          <w:lang w:eastAsia="en-GB"/>
        </w:rPr>
        <w:t>u</w:t>
      </w:r>
      <w:r w:rsidR="00E11AC0" w:rsidRPr="00E11AC0">
        <w:rPr>
          <w:lang w:eastAsia="en-GB"/>
        </w:rPr>
        <w:t>, kas ieguldīti fiduciārajos kredītos</w:t>
      </w:r>
      <w:r w:rsidR="00E11AC0" w:rsidRPr="006E59B9">
        <w:rPr>
          <w:lang w:eastAsia="en-GB"/>
        </w:rPr>
        <w:t xml:space="preserve">, </w:t>
      </w:r>
      <w:r w:rsidR="00DA1088">
        <w:rPr>
          <w:lang w:eastAsia="en-GB"/>
        </w:rPr>
        <w:t xml:space="preserve">un </w:t>
      </w:r>
      <w:r w:rsidR="00E11AC0" w:rsidRPr="006E59B9">
        <w:rPr>
          <w:lang w:eastAsia="en-GB"/>
        </w:rPr>
        <w:t>turējumā esoš</w:t>
      </w:r>
      <w:r>
        <w:rPr>
          <w:lang w:eastAsia="en-GB"/>
        </w:rPr>
        <w:t>o</w:t>
      </w:r>
      <w:r w:rsidR="00E11AC0" w:rsidRPr="006E59B9">
        <w:rPr>
          <w:lang w:eastAsia="en-GB"/>
        </w:rPr>
        <w:t xml:space="preserve"> klientu vērtspapīr</w:t>
      </w:r>
      <w:r>
        <w:rPr>
          <w:lang w:eastAsia="en-GB"/>
        </w:rPr>
        <w:t>u dalījumā</w:t>
      </w:r>
      <w:r w:rsidR="00E11AC0" w:rsidRPr="006E59B9">
        <w:rPr>
          <w:lang w:eastAsia="en-GB"/>
        </w:rPr>
        <w:t xml:space="preserve"> un</w:t>
      </w:r>
      <w:r w:rsidR="00E11AC0" w:rsidRPr="00E11AC0">
        <w:rPr>
          <w:lang w:eastAsia="en-GB"/>
        </w:rPr>
        <w:t xml:space="preserve"> šiem klientiem izsniegto kredītu apmēru</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 (</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081–083</w:t>
      </w:r>
      <w:r>
        <w:rPr>
          <w:lang w:eastAsia="en-GB"/>
        </w:rPr>
        <w:t>)</w:t>
      </w:r>
      <w:r w:rsidR="008727CF">
        <w:rPr>
          <w:lang w:eastAsia="en-GB"/>
        </w:rPr>
        <w:t>;</w:t>
      </w:r>
    </w:p>
    <w:p w14:paraId="47FCD962" w14:textId="423B05D2" w:rsidR="00E11AC0" w:rsidRDefault="00D140B2" w:rsidP="00D140B2">
      <w:pPr>
        <w:pStyle w:val="NApunkts3"/>
        <w:rPr>
          <w:lang w:eastAsia="en-GB"/>
        </w:rPr>
      </w:pPr>
      <w:r>
        <w:rPr>
          <w:lang w:eastAsia="en-GB"/>
        </w:rPr>
        <w:t>ailē</w:t>
      </w:r>
      <w:r w:rsidR="00E11AC0" w:rsidRPr="00E11AC0">
        <w:rPr>
          <w:lang w:eastAsia="en-GB"/>
        </w:rPr>
        <w:t xml:space="preserve"> </w:t>
      </w:r>
      <w:r w:rsidR="00C247C7">
        <w:rPr>
          <w:lang w:eastAsia="en-GB"/>
        </w:rPr>
        <w:t>"</w:t>
      </w:r>
      <w:r w:rsidR="00720419">
        <w:rPr>
          <w:lang w:eastAsia="en-GB"/>
        </w:rPr>
        <w:t xml:space="preserve">Klientu kredīta apgrozījums, </w:t>
      </w:r>
      <w:r w:rsidR="00720419" w:rsidRPr="00A3618D">
        <w:rPr>
          <w:i/>
          <w:iCs/>
          <w:lang w:eastAsia="en-GB"/>
        </w:rPr>
        <w:t>eur</w:t>
      </w:r>
      <w:r w:rsidR="00FA5743" w:rsidRPr="00A3618D">
        <w:rPr>
          <w:i/>
          <w:iCs/>
          <w:lang w:eastAsia="en-GB"/>
        </w:rPr>
        <w:t>o</w:t>
      </w:r>
      <w:r>
        <w:rPr>
          <w:lang w:eastAsia="en-GB"/>
        </w:rPr>
        <w:t>; Bezskaidras naudas norēķini</w:t>
      </w:r>
      <w:r w:rsidR="00E11AC0" w:rsidRPr="00E11AC0">
        <w:rPr>
          <w:lang w:eastAsia="en-GB"/>
        </w:rPr>
        <w:t xml:space="preserve">" </w:t>
      </w:r>
      <w:r>
        <w:rPr>
          <w:lang w:eastAsia="en-GB"/>
        </w:rPr>
        <w:t>(ailes kods</w:t>
      </w:r>
      <w:r w:rsidR="00A15B59">
        <w:rPr>
          <w:lang w:eastAsia="en-GB"/>
        </w:rPr>
        <w:t> </w:t>
      </w:r>
      <w:r>
        <w:rPr>
          <w:lang w:eastAsia="en-GB"/>
        </w:rPr>
        <w:t xml:space="preserve">081), ailē "Klientu kredīta apgrozījums, </w:t>
      </w:r>
      <w:r w:rsidRPr="00A3618D">
        <w:rPr>
          <w:i/>
          <w:iCs/>
          <w:lang w:eastAsia="en-GB"/>
        </w:rPr>
        <w:t>euro</w:t>
      </w:r>
      <w:r>
        <w:rPr>
          <w:lang w:eastAsia="en-GB"/>
        </w:rPr>
        <w:t>; Skaidras naudas norēķini</w:t>
      </w:r>
      <w:r w:rsidRPr="00E11AC0">
        <w:rPr>
          <w:lang w:eastAsia="en-GB"/>
        </w:rPr>
        <w:t xml:space="preserve">" </w:t>
      </w:r>
      <w:r>
        <w:rPr>
          <w:lang w:eastAsia="en-GB"/>
        </w:rPr>
        <w:t>(ailes kods</w:t>
      </w:r>
      <w:r w:rsidR="00D96DA1">
        <w:rPr>
          <w:lang w:eastAsia="en-GB"/>
        </w:rPr>
        <w:t> </w:t>
      </w:r>
      <w:r>
        <w:rPr>
          <w:lang w:eastAsia="en-GB"/>
        </w:rPr>
        <w:t xml:space="preserve">082) un ailē "Klientu kredīta apgrozījums, </w:t>
      </w:r>
      <w:r w:rsidRPr="00A3618D">
        <w:rPr>
          <w:i/>
          <w:iCs/>
          <w:lang w:eastAsia="en-GB"/>
        </w:rPr>
        <w:t>euro</w:t>
      </w:r>
      <w:r>
        <w:rPr>
          <w:lang w:eastAsia="en-GB"/>
        </w:rPr>
        <w:t xml:space="preserve">; Norēķini, kas </w:t>
      </w:r>
      <w:r w:rsidR="0012499A">
        <w:rPr>
          <w:lang w:eastAsia="en-GB"/>
        </w:rPr>
        <w:t>veidojušies inkasāciju rezultātā</w:t>
      </w:r>
      <w:r w:rsidRPr="00E11AC0">
        <w:rPr>
          <w:lang w:eastAsia="en-GB"/>
        </w:rPr>
        <w:t xml:space="preserve">" </w:t>
      </w:r>
      <w:r>
        <w:rPr>
          <w:lang w:eastAsia="en-GB"/>
        </w:rPr>
        <w:t>(ailes kods</w:t>
      </w:r>
      <w:r w:rsidR="00D96DA1">
        <w:rPr>
          <w:lang w:eastAsia="en-GB"/>
        </w:rPr>
        <w:t> </w:t>
      </w:r>
      <w:r>
        <w:rPr>
          <w:lang w:eastAsia="en-GB"/>
        </w:rPr>
        <w:t xml:space="preserve">083) </w:t>
      </w:r>
      <w:r w:rsidR="00E11AC0" w:rsidRPr="00E11AC0">
        <w:rPr>
          <w:lang w:eastAsia="en-GB"/>
        </w:rPr>
        <w:t>norāda datus par kopējo neklātienē identificēto klientu kredīta apgrozījumu</w:t>
      </w:r>
      <w:r w:rsidR="00193BF9">
        <w:rPr>
          <w:lang w:eastAsia="en-GB"/>
        </w:rPr>
        <w:t xml:space="preserve"> </w:t>
      </w:r>
      <w:r w:rsidR="00A14880">
        <w:rPr>
          <w:lang w:eastAsia="en-GB"/>
        </w:rPr>
        <w:t xml:space="preserve">attiecīgi </w:t>
      </w:r>
      <w:r w:rsidR="00193BF9">
        <w:rPr>
          <w:lang w:eastAsia="en-GB"/>
        </w:rPr>
        <w:t>bezskaidras naudas</w:t>
      </w:r>
      <w:r w:rsidR="0012499A">
        <w:rPr>
          <w:lang w:eastAsia="en-GB"/>
        </w:rPr>
        <w:t xml:space="preserve"> norēķin</w:t>
      </w:r>
      <w:r w:rsidR="00A14880">
        <w:rPr>
          <w:lang w:eastAsia="en-GB"/>
        </w:rPr>
        <w:t>u</w:t>
      </w:r>
      <w:r w:rsidR="004732A3">
        <w:rPr>
          <w:lang w:eastAsia="en-GB"/>
        </w:rPr>
        <w:t xml:space="preserve">, </w:t>
      </w:r>
      <w:r w:rsidR="00193BF9">
        <w:rPr>
          <w:lang w:eastAsia="en-GB"/>
        </w:rPr>
        <w:t>skaidras naudas norēķin</w:t>
      </w:r>
      <w:r w:rsidR="00A14880">
        <w:rPr>
          <w:lang w:eastAsia="en-GB"/>
        </w:rPr>
        <w:t>u</w:t>
      </w:r>
      <w:r w:rsidR="00720EAF">
        <w:rPr>
          <w:lang w:eastAsia="en-GB"/>
        </w:rPr>
        <w:t xml:space="preserve"> un</w:t>
      </w:r>
      <w:r w:rsidR="00193BF9">
        <w:rPr>
          <w:lang w:eastAsia="en-GB"/>
        </w:rPr>
        <w:t xml:space="preserve"> </w:t>
      </w:r>
      <w:r w:rsidR="006E59B9">
        <w:rPr>
          <w:lang w:eastAsia="en-GB"/>
        </w:rPr>
        <w:t>norēķin</w:t>
      </w:r>
      <w:r w:rsidR="00A14880">
        <w:rPr>
          <w:lang w:eastAsia="en-GB"/>
        </w:rPr>
        <w:t>u</w:t>
      </w:r>
      <w:r w:rsidR="006E59B9">
        <w:rPr>
          <w:lang w:eastAsia="en-GB"/>
        </w:rPr>
        <w:t>, kas veidojušies inkasāciju rezultātā</w:t>
      </w:r>
      <w:r w:rsidR="00A14880">
        <w:rPr>
          <w:lang w:eastAsia="en-GB"/>
        </w:rPr>
        <w:t>, veidā</w:t>
      </w:r>
      <w:r w:rsidR="0012499A">
        <w:rPr>
          <w:lang w:eastAsia="en-GB"/>
        </w:rPr>
        <w:t xml:space="preserve">. Šajā apakšpunktā minēto </w:t>
      </w:r>
      <w:r w:rsidR="00E11AC0" w:rsidRPr="00E11AC0">
        <w:rPr>
          <w:lang w:eastAsia="en-GB"/>
        </w:rPr>
        <w:t xml:space="preserve">informāciju </w:t>
      </w:r>
      <w:r w:rsidR="0012499A">
        <w:rPr>
          <w:lang w:eastAsia="en-GB"/>
        </w:rPr>
        <w:t xml:space="preserve">norāda dalījumā </w:t>
      </w:r>
      <w:r w:rsidR="00E11AC0" w:rsidRPr="00E11AC0">
        <w:rPr>
          <w:lang w:eastAsia="en-GB"/>
        </w:rPr>
        <w:t>pa klientu rezidences (reģistrācijas) valstīm</w:t>
      </w:r>
      <w:r w:rsidR="00A15B59">
        <w:rPr>
          <w:lang w:eastAsia="en-GB"/>
        </w:rPr>
        <w:t> </w:t>
      </w:r>
      <w:r w:rsidR="0012499A">
        <w:rPr>
          <w:lang w:eastAsia="en-GB"/>
        </w:rPr>
        <w:t>– Latvija, citas Eiropas Savienības dalībvalstis un pārējās valstis (</w:t>
      </w:r>
      <w:r w:rsidR="00E11AC0" w:rsidRPr="00E11AC0">
        <w:rPr>
          <w:lang w:eastAsia="en-GB"/>
        </w:rPr>
        <w:t>atbilstoši</w:t>
      </w:r>
      <w:r w:rsidR="0012499A">
        <w:rPr>
          <w:lang w:eastAsia="en-GB"/>
        </w:rPr>
        <w:t>e</w:t>
      </w:r>
      <w:r w:rsidR="00E11AC0" w:rsidRPr="00E11AC0">
        <w:rPr>
          <w:lang w:eastAsia="en-GB"/>
        </w:rPr>
        <w:t xml:space="preserve"> rind</w:t>
      </w:r>
      <w:r w:rsidR="0012499A">
        <w:rPr>
          <w:lang w:eastAsia="en-GB"/>
        </w:rPr>
        <w:t>u kodi</w:t>
      </w:r>
      <w:r w:rsidR="00D96DA1">
        <w:rPr>
          <w:lang w:eastAsia="en-GB"/>
        </w:rPr>
        <w:t> </w:t>
      </w:r>
      <w:r w:rsidR="0012499A">
        <w:rPr>
          <w:lang w:eastAsia="en-GB"/>
        </w:rPr>
        <w:t>0</w:t>
      </w:r>
      <w:r w:rsidR="00E11AC0" w:rsidRPr="00E11AC0">
        <w:rPr>
          <w:lang w:eastAsia="en-GB"/>
        </w:rPr>
        <w:t>81–083</w:t>
      </w:r>
      <w:r w:rsidR="0012499A">
        <w:rPr>
          <w:lang w:eastAsia="en-GB"/>
        </w:rPr>
        <w:t>)</w:t>
      </w:r>
      <w:r w:rsidR="008727CF">
        <w:rPr>
          <w:lang w:eastAsia="en-GB"/>
        </w:rPr>
        <w:t>;</w:t>
      </w:r>
    </w:p>
    <w:p w14:paraId="4A2C657C" w14:textId="0A21FDF1" w:rsidR="00E11AC0" w:rsidRPr="00E11AC0" w:rsidRDefault="000313E8" w:rsidP="006E185B">
      <w:pPr>
        <w:pStyle w:val="NApunkts2"/>
        <w:rPr>
          <w:lang w:eastAsia="en-GB"/>
        </w:rPr>
      </w:pPr>
      <w:r w:rsidRPr="00720EAF">
        <w:rPr>
          <w:lang w:eastAsia="en-GB"/>
        </w:rPr>
        <w:t>rindā "Starpnieku identificētie klienti</w:t>
      </w:r>
      <w:r w:rsidR="00CA69CF">
        <w:rPr>
          <w:lang w:eastAsia="en-GB"/>
        </w:rPr>
        <w:t xml:space="preserve">" </w:t>
      </w:r>
      <w:r w:rsidR="0012499A">
        <w:rPr>
          <w:lang w:eastAsia="en-GB"/>
        </w:rPr>
        <w:t>(rindas kods</w:t>
      </w:r>
      <w:r w:rsidR="00D96DA1">
        <w:rPr>
          <w:lang w:eastAsia="en-GB"/>
        </w:rPr>
        <w:t> </w:t>
      </w:r>
      <w:r w:rsidR="0012499A">
        <w:rPr>
          <w:lang w:eastAsia="en-GB"/>
        </w:rPr>
        <w:t xml:space="preserve">090) </w:t>
      </w:r>
      <w:r w:rsidR="00CA69CF">
        <w:rPr>
          <w:lang w:eastAsia="en-GB"/>
        </w:rPr>
        <w:t>norāda datus par klientiem, kurus identificējuši starpnieki</w:t>
      </w:r>
      <w:r w:rsidR="005613C1" w:rsidRPr="00720EAF">
        <w:rPr>
          <w:lang w:eastAsia="en-GB"/>
        </w:rPr>
        <w:t>, ta</w:t>
      </w:r>
      <w:r w:rsidR="00DA1088">
        <w:rPr>
          <w:lang w:eastAsia="en-GB"/>
        </w:rPr>
        <w:t>i</w:t>
      </w:r>
      <w:r w:rsidR="005613C1" w:rsidRPr="00720EAF">
        <w:rPr>
          <w:lang w:eastAsia="en-GB"/>
        </w:rPr>
        <w:t xml:space="preserve"> skaitā</w:t>
      </w:r>
      <w:r w:rsidRPr="00720EAF">
        <w:rPr>
          <w:lang w:eastAsia="en-GB"/>
        </w:rPr>
        <w:t xml:space="preserve"> aģenti, advokāti</w:t>
      </w:r>
      <w:r w:rsidR="00DA1088">
        <w:rPr>
          <w:lang w:eastAsia="en-GB"/>
        </w:rPr>
        <w:t xml:space="preserve"> un</w:t>
      </w:r>
      <w:r w:rsidRPr="00720EAF">
        <w:rPr>
          <w:lang w:eastAsia="en-GB"/>
        </w:rPr>
        <w:t xml:space="preserve"> notāri, </w:t>
      </w:r>
      <w:r w:rsidR="00CA69CF">
        <w:rPr>
          <w:lang w:eastAsia="en-GB"/>
        </w:rPr>
        <w:t xml:space="preserve">bet </w:t>
      </w:r>
      <w:r w:rsidRPr="00720EAF">
        <w:rPr>
          <w:lang w:eastAsia="en-GB"/>
        </w:rPr>
        <w:t xml:space="preserve">neietver </w:t>
      </w:r>
      <w:r w:rsidR="00CA69CF">
        <w:rPr>
          <w:lang w:eastAsia="en-GB"/>
        </w:rPr>
        <w:t>datus</w:t>
      </w:r>
      <w:r w:rsidRPr="00720EAF">
        <w:rPr>
          <w:lang w:eastAsia="en-GB"/>
        </w:rPr>
        <w:t xml:space="preserve"> par klientiem, k</w:t>
      </w:r>
      <w:r w:rsidR="007A68CE">
        <w:rPr>
          <w:lang w:eastAsia="en-GB"/>
        </w:rPr>
        <w:t>uri</w:t>
      </w:r>
      <w:r w:rsidRPr="00720EAF">
        <w:rPr>
          <w:lang w:eastAsia="en-GB"/>
        </w:rPr>
        <w:t xml:space="preserve"> identificēti</w:t>
      </w:r>
      <w:r w:rsidR="00A36876" w:rsidRPr="00720EAF">
        <w:rPr>
          <w:lang w:eastAsia="en-GB"/>
        </w:rPr>
        <w:t xml:space="preserve"> </w:t>
      </w:r>
      <w:r w:rsidRPr="00720EAF">
        <w:rPr>
          <w:lang w:eastAsia="en-GB"/>
        </w:rPr>
        <w:t>grupas ietvaros</w:t>
      </w:r>
      <w:r w:rsidR="00665983">
        <w:rPr>
          <w:lang w:eastAsia="en-GB"/>
        </w:rPr>
        <w:t xml:space="preserve"> </w:t>
      </w:r>
      <w:r w:rsidR="00665983" w:rsidRPr="00720EAF">
        <w:rPr>
          <w:lang w:eastAsia="en-GB"/>
        </w:rPr>
        <w:t>(turpmāk</w:t>
      </w:r>
      <w:r w:rsidR="00665983">
        <w:rPr>
          <w:lang w:eastAsia="en-GB"/>
        </w:rPr>
        <w:t> </w:t>
      </w:r>
      <w:r w:rsidR="00665983" w:rsidRPr="00720EAF">
        <w:rPr>
          <w:lang w:eastAsia="en-GB"/>
        </w:rPr>
        <w:t>– starpnieku identificēti</w:t>
      </w:r>
      <w:r w:rsidR="00665983">
        <w:rPr>
          <w:lang w:eastAsia="en-GB"/>
        </w:rPr>
        <w:t>e</w:t>
      </w:r>
      <w:r w:rsidR="00665983" w:rsidRPr="00720EAF">
        <w:rPr>
          <w:lang w:eastAsia="en-GB"/>
        </w:rPr>
        <w:t xml:space="preserve"> klienti)</w:t>
      </w:r>
      <w:r w:rsidR="00083C14" w:rsidRPr="00A3618D">
        <w:rPr>
          <w:lang w:eastAsia="en-GB"/>
        </w:rPr>
        <w:t>, ja</w:t>
      </w:r>
      <w:r w:rsidR="006E59B9" w:rsidRPr="00A3618D">
        <w:rPr>
          <w:lang w:eastAsia="en-GB"/>
        </w:rPr>
        <w:t xml:space="preserve"> grupas</w:t>
      </w:r>
      <w:r w:rsidR="00083C14" w:rsidRPr="00A3618D">
        <w:rPr>
          <w:lang w:eastAsia="en-GB"/>
        </w:rPr>
        <w:t xml:space="preserve"> </w:t>
      </w:r>
      <w:r w:rsidR="00083C14" w:rsidRPr="00720EAF">
        <w:rPr>
          <w:lang w:eastAsia="en-GB"/>
        </w:rPr>
        <w:t xml:space="preserve">prasības identifikācijai </w:t>
      </w:r>
      <w:r w:rsidR="006E59B9" w:rsidRPr="00720EAF">
        <w:rPr>
          <w:lang w:eastAsia="en-GB"/>
        </w:rPr>
        <w:t>nav zemākas par Novēršanas likuma un tam pakārtoto normatīvo aktu prasībām</w:t>
      </w:r>
      <w:r w:rsidRPr="00720EAF">
        <w:rPr>
          <w:lang w:eastAsia="en-GB"/>
        </w:rPr>
        <w:t>:</w:t>
      </w:r>
      <w:bookmarkStart w:id="70" w:name="p-1168026"/>
      <w:bookmarkEnd w:id="70"/>
    </w:p>
    <w:p w14:paraId="243E1A91" w14:textId="6A074BBE" w:rsidR="00E11AC0" w:rsidRPr="00E11AC0" w:rsidRDefault="005A2478" w:rsidP="006E185B">
      <w:pPr>
        <w:pStyle w:val="NApunkts3"/>
        <w:rPr>
          <w:lang w:eastAsia="en-GB"/>
        </w:rPr>
      </w:pPr>
      <w:r>
        <w:rPr>
          <w:lang w:eastAsia="en-GB"/>
        </w:rPr>
        <w:t>rādītāju</w:t>
      </w:r>
      <w:r w:rsidR="00E11AC0" w:rsidRPr="00E11AC0">
        <w:rPr>
          <w:lang w:eastAsia="en-GB"/>
        </w:rPr>
        <w:t xml:space="preserve"> grupā "Pārskata ceturkšņa beigās" </w:t>
      </w:r>
      <w:r>
        <w:rPr>
          <w:lang w:eastAsia="en-GB"/>
        </w:rPr>
        <w:t>(attiecīgo aiļu kodi</w:t>
      </w:r>
      <w:r w:rsidR="00D96DA1">
        <w:rPr>
          <w:lang w:eastAsia="en-GB"/>
        </w:rPr>
        <w:t> </w:t>
      </w:r>
      <w:r w:rsidRPr="00E11AC0">
        <w:rPr>
          <w:lang w:eastAsia="en-GB"/>
        </w:rPr>
        <w:t>010</w:t>
      </w:r>
      <w:r>
        <w:rPr>
          <w:lang w:eastAsia="en-GB"/>
        </w:rPr>
        <w:t>–</w:t>
      </w:r>
      <w:r w:rsidRPr="00E11AC0">
        <w:rPr>
          <w:lang w:eastAsia="en-GB"/>
        </w:rPr>
        <w:t>070</w:t>
      </w:r>
      <w:r>
        <w:rPr>
          <w:lang w:eastAsia="en-GB"/>
        </w:rPr>
        <w:t xml:space="preserve">) </w:t>
      </w:r>
      <w:r w:rsidR="00E11AC0" w:rsidRPr="00E11AC0">
        <w:rPr>
          <w:lang w:eastAsia="en-GB"/>
        </w:rPr>
        <w:t>norāda faktiskos datus par starpnieku identificēto klientu skaitu un faktisko kopējo finanšu aktīvu apmēru noguldījum</w:t>
      </w:r>
      <w:r>
        <w:rPr>
          <w:lang w:eastAsia="en-GB"/>
        </w:rPr>
        <w:t>u</w:t>
      </w:r>
      <w:r w:rsidR="00E11AC0" w:rsidRPr="00E11AC0">
        <w:rPr>
          <w:lang w:eastAsia="en-GB"/>
        </w:rPr>
        <w:t>, trast</w:t>
      </w:r>
      <w:r>
        <w:rPr>
          <w:lang w:eastAsia="en-GB"/>
        </w:rPr>
        <w:t>u</w:t>
      </w:r>
      <w:r w:rsidR="00E11AC0" w:rsidRPr="00E11AC0">
        <w:rPr>
          <w:lang w:eastAsia="en-GB"/>
        </w:rPr>
        <w:t>, kas ieguldīti fiduciārajos kredītos,</w:t>
      </w:r>
      <w:r w:rsidR="007A68CE">
        <w:rPr>
          <w:lang w:eastAsia="en-GB"/>
        </w:rPr>
        <w:t xml:space="preserve"> un</w:t>
      </w:r>
      <w:r w:rsidR="00E11AC0" w:rsidRPr="00E11AC0">
        <w:rPr>
          <w:lang w:eastAsia="en-GB"/>
        </w:rPr>
        <w:t xml:space="preserve"> turējumā esoš</w:t>
      </w:r>
      <w:r>
        <w:rPr>
          <w:lang w:eastAsia="en-GB"/>
        </w:rPr>
        <w:t>o</w:t>
      </w:r>
      <w:r w:rsidR="00E11AC0" w:rsidRPr="00E11AC0">
        <w:rPr>
          <w:lang w:eastAsia="en-GB"/>
        </w:rPr>
        <w:t xml:space="preserve"> klientu vērtspapīr</w:t>
      </w:r>
      <w:r>
        <w:rPr>
          <w:lang w:eastAsia="en-GB"/>
        </w:rPr>
        <w:t>u dalījumā</w:t>
      </w:r>
      <w:r w:rsidR="00E11AC0" w:rsidRPr="00E11AC0">
        <w:rPr>
          <w:lang w:eastAsia="en-GB"/>
        </w:rPr>
        <w:t xml:space="preserve"> un šiem klientiem izsniegto kredītu apmēru</w:t>
      </w:r>
      <w:r>
        <w:rPr>
          <w:lang w:eastAsia="en-GB"/>
        </w:rPr>
        <w:t>. Šajā apakšpunktā minēto</w:t>
      </w:r>
      <w:r w:rsidR="00E11AC0" w:rsidRPr="00E11AC0">
        <w:rPr>
          <w:lang w:eastAsia="en-GB"/>
        </w:rPr>
        <w:t xml:space="preserve"> informāciju </w:t>
      </w:r>
      <w:r>
        <w:rPr>
          <w:lang w:eastAsia="en-GB"/>
        </w:rPr>
        <w:t xml:space="preserve">norāda dalījumā </w:t>
      </w:r>
      <w:r w:rsidR="00E11AC0" w:rsidRPr="00E11AC0">
        <w:rPr>
          <w:lang w:eastAsia="en-GB"/>
        </w:rPr>
        <w:t>pa klientu rezidences (reģistrācijas) valstīm</w:t>
      </w:r>
      <w:r>
        <w:rPr>
          <w:lang w:eastAsia="en-GB"/>
        </w:rPr>
        <w:t> – Latvija, citas Eiropas Savienības dalībvalstis un pārējās valstis (</w:t>
      </w:r>
      <w:r w:rsidR="00E11AC0" w:rsidRPr="00E11AC0">
        <w:rPr>
          <w:lang w:eastAsia="en-GB"/>
        </w:rPr>
        <w:t>atbilstoši</w:t>
      </w:r>
      <w:r>
        <w:rPr>
          <w:lang w:eastAsia="en-GB"/>
        </w:rPr>
        <w:t>e</w:t>
      </w:r>
      <w:r w:rsidR="00E11AC0" w:rsidRPr="00E11AC0">
        <w:rPr>
          <w:lang w:eastAsia="en-GB"/>
        </w:rPr>
        <w:t xml:space="preserve"> rind</w:t>
      </w:r>
      <w:r>
        <w:rPr>
          <w:lang w:eastAsia="en-GB"/>
        </w:rPr>
        <w:t>u</w:t>
      </w:r>
      <w:r w:rsidR="00E11AC0" w:rsidRPr="00E11AC0">
        <w:rPr>
          <w:lang w:eastAsia="en-GB"/>
        </w:rPr>
        <w:t xml:space="preserve"> </w:t>
      </w:r>
      <w:r>
        <w:rPr>
          <w:lang w:eastAsia="en-GB"/>
        </w:rPr>
        <w:t>kodi</w:t>
      </w:r>
      <w:r w:rsidR="00D96DA1">
        <w:rPr>
          <w:lang w:eastAsia="en-GB"/>
        </w:rPr>
        <w:t> </w:t>
      </w:r>
      <w:r w:rsidR="00E11AC0" w:rsidRPr="00E11AC0">
        <w:rPr>
          <w:lang w:eastAsia="en-GB"/>
        </w:rPr>
        <w:t>0</w:t>
      </w:r>
      <w:r w:rsidR="00A14880">
        <w:rPr>
          <w:lang w:eastAsia="en-GB"/>
        </w:rPr>
        <w:t>9</w:t>
      </w:r>
      <w:r w:rsidR="00E11AC0" w:rsidRPr="00E11AC0">
        <w:rPr>
          <w:lang w:eastAsia="en-GB"/>
        </w:rPr>
        <w:t>1–0</w:t>
      </w:r>
      <w:r w:rsidR="00A14880">
        <w:rPr>
          <w:lang w:eastAsia="en-GB"/>
        </w:rPr>
        <w:t>9</w:t>
      </w:r>
      <w:r w:rsidR="00E11AC0" w:rsidRPr="00E11AC0">
        <w:rPr>
          <w:lang w:eastAsia="en-GB"/>
        </w:rPr>
        <w:t>3</w:t>
      </w:r>
      <w:r>
        <w:rPr>
          <w:lang w:eastAsia="en-GB"/>
        </w:rPr>
        <w:t>)</w:t>
      </w:r>
      <w:r w:rsidR="00EE1CA1">
        <w:rPr>
          <w:lang w:eastAsia="en-GB"/>
        </w:rPr>
        <w:t>;</w:t>
      </w:r>
      <w:r w:rsidR="00E11AC0" w:rsidRPr="00E11AC0">
        <w:rPr>
          <w:lang w:eastAsia="en-GB"/>
        </w:rPr>
        <w:t xml:space="preserve"> </w:t>
      </w:r>
    </w:p>
    <w:p w14:paraId="7D8E0251" w14:textId="7EA54815" w:rsidR="00E11AC0" w:rsidRDefault="005A2478" w:rsidP="006E185B">
      <w:pPr>
        <w:pStyle w:val="NApunkts3"/>
        <w:rPr>
          <w:lang w:eastAsia="en-GB"/>
        </w:rPr>
      </w:pPr>
      <w:r w:rsidRPr="005A2478">
        <w:rPr>
          <w:lang w:eastAsia="en-GB"/>
        </w:rPr>
        <w:lastRenderedPageBreak/>
        <w:t xml:space="preserve"> </w:t>
      </w:r>
      <w:r>
        <w:rPr>
          <w:lang w:eastAsia="en-GB"/>
        </w:rPr>
        <w:t>ailē</w:t>
      </w:r>
      <w:r w:rsidRPr="00E11AC0">
        <w:rPr>
          <w:lang w:eastAsia="en-GB"/>
        </w:rPr>
        <w:t xml:space="preserve"> </w:t>
      </w:r>
      <w:r>
        <w:rPr>
          <w:lang w:eastAsia="en-GB"/>
        </w:rPr>
        <w:t xml:space="preserve">"Klientu kredīta apgrozījums, </w:t>
      </w:r>
      <w:r w:rsidRPr="00A3618D">
        <w:rPr>
          <w:i/>
          <w:iCs/>
          <w:lang w:eastAsia="en-GB"/>
        </w:rPr>
        <w:t>euro</w:t>
      </w:r>
      <w:r>
        <w:rPr>
          <w:lang w:eastAsia="en-GB"/>
        </w:rPr>
        <w:t>; Bezskaidras naudas norēķini</w:t>
      </w:r>
      <w:r w:rsidRPr="00E11AC0">
        <w:rPr>
          <w:lang w:eastAsia="en-GB"/>
        </w:rPr>
        <w:t xml:space="preserve">" </w:t>
      </w:r>
      <w:r>
        <w:rPr>
          <w:lang w:eastAsia="en-GB"/>
        </w:rPr>
        <w:t>(ailes kods</w:t>
      </w:r>
      <w:r w:rsidR="00D96DA1">
        <w:rPr>
          <w:lang w:eastAsia="en-GB"/>
        </w:rPr>
        <w:t> </w:t>
      </w:r>
      <w:r>
        <w:rPr>
          <w:lang w:eastAsia="en-GB"/>
        </w:rPr>
        <w:t xml:space="preserve">081), ailē "Klientu kredīta apgrozījums, </w:t>
      </w:r>
      <w:r w:rsidRPr="00A3618D">
        <w:rPr>
          <w:i/>
          <w:iCs/>
          <w:lang w:eastAsia="en-GB"/>
        </w:rPr>
        <w:t>euro</w:t>
      </w:r>
      <w:r>
        <w:rPr>
          <w:lang w:eastAsia="en-GB"/>
        </w:rPr>
        <w:t>; Skaidras naudas norēķini</w:t>
      </w:r>
      <w:r w:rsidRPr="00E11AC0">
        <w:rPr>
          <w:lang w:eastAsia="en-GB"/>
        </w:rPr>
        <w:t xml:space="preserve">" </w:t>
      </w:r>
      <w:r>
        <w:rPr>
          <w:lang w:eastAsia="en-GB"/>
        </w:rPr>
        <w:t>(ailes kods</w:t>
      </w:r>
      <w:r w:rsidR="00A15B59">
        <w:rPr>
          <w:lang w:eastAsia="en-GB"/>
        </w:rPr>
        <w:t> </w:t>
      </w:r>
      <w:r>
        <w:rPr>
          <w:lang w:eastAsia="en-GB"/>
        </w:rPr>
        <w:t xml:space="preserve">082) un ailē "Klientu kredīta apgrozījums, </w:t>
      </w:r>
      <w:r w:rsidRPr="00A3618D">
        <w:rPr>
          <w:i/>
          <w:iCs/>
          <w:lang w:eastAsia="en-GB"/>
        </w:rPr>
        <w:t>euro</w:t>
      </w:r>
      <w:r>
        <w:rPr>
          <w:lang w:eastAsia="en-GB"/>
        </w:rPr>
        <w:t>; Norēķini, kas veidojušies inkasāciju rezultātā</w:t>
      </w:r>
      <w:r w:rsidRPr="00E11AC0">
        <w:rPr>
          <w:lang w:eastAsia="en-GB"/>
        </w:rPr>
        <w:t xml:space="preserve">" </w:t>
      </w:r>
      <w:r>
        <w:rPr>
          <w:lang w:eastAsia="en-GB"/>
        </w:rPr>
        <w:t>(ailes kods</w:t>
      </w:r>
      <w:r w:rsidR="00D96DA1">
        <w:rPr>
          <w:lang w:eastAsia="en-GB"/>
        </w:rPr>
        <w:t> </w:t>
      </w:r>
      <w:r>
        <w:rPr>
          <w:lang w:eastAsia="en-GB"/>
        </w:rPr>
        <w:t xml:space="preserve">083) </w:t>
      </w:r>
      <w:r w:rsidR="00E11AC0" w:rsidRPr="00E11AC0">
        <w:rPr>
          <w:lang w:eastAsia="en-GB"/>
        </w:rPr>
        <w:t>norāda datus par kopējo faktisko starpnieku identificēto klientu kredīta apgrozījumu</w:t>
      </w:r>
      <w:r>
        <w:rPr>
          <w:lang w:eastAsia="en-GB"/>
        </w:rPr>
        <w:t xml:space="preserve"> </w:t>
      </w:r>
      <w:r w:rsidR="00A14880">
        <w:rPr>
          <w:lang w:eastAsia="en-GB"/>
        </w:rPr>
        <w:t xml:space="preserve">attiecīgi </w:t>
      </w:r>
      <w:r w:rsidR="00730D00">
        <w:rPr>
          <w:lang w:eastAsia="en-GB"/>
        </w:rPr>
        <w:t>bezskaidras naudas</w:t>
      </w:r>
      <w:r>
        <w:rPr>
          <w:lang w:eastAsia="en-GB"/>
        </w:rPr>
        <w:t xml:space="preserve"> norēķin</w:t>
      </w:r>
      <w:r w:rsidR="00A14880">
        <w:rPr>
          <w:lang w:eastAsia="en-GB"/>
        </w:rPr>
        <w:t>u</w:t>
      </w:r>
      <w:r w:rsidR="006E59B9">
        <w:rPr>
          <w:lang w:eastAsia="en-GB"/>
        </w:rPr>
        <w:t>,</w:t>
      </w:r>
      <w:r w:rsidR="00730D00">
        <w:rPr>
          <w:lang w:eastAsia="en-GB"/>
        </w:rPr>
        <w:t xml:space="preserve"> skaidras naudas norēķin</w:t>
      </w:r>
      <w:r w:rsidR="00A14880">
        <w:rPr>
          <w:lang w:eastAsia="en-GB"/>
        </w:rPr>
        <w:t>u</w:t>
      </w:r>
      <w:r w:rsidR="006E59B9">
        <w:rPr>
          <w:lang w:eastAsia="en-GB"/>
        </w:rPr>
        <w:t xml:space="preserve"> un norēķin</w:t>
      </w:r>
      <w:r w:rsidR="00A14880">
        <w:rPr>
          <w:lang w:eastAsia="en-GB"/>
        </w:rPr>
        <w:t>u</w:t>
      </w:r>
      <w:r w:rsidR="006E59B9">
        <w:rPr>
          <w:lang w:eastAsia="en-GB"/>
        </w:rPr>
        <w:t>, kas veidojušies inkasāciju rezultātā</w:t>
      </w:r>
      <w:r w:rsidR="00A14880">
        <w:rPr>
          <w:lang w:eastAsia="en-GB"/>
        </w:rPr>
        <w:t>, veidā</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w:t>
      </w:r>
      <w:r w:rsidR="00E11AC0"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091–093</w:t>
      </w:r>
      <w:r>
        <w:rPr>
          <w:lang w:eastAsia="en-GB"/>
        </w:rPr>
        <w:t>)</w:t>
      </w:r>
      <w:r w:rsidR="008727CF">
        <w:rPr>
          <w:lang w:eastAsia="en-GB"/>
        </w:rPr>
        <w:t>;</w:t>
      </w:r>
    </w:p>
    <w:p w14:paraId="6AB85A1A" w14:textId="582B9CBB"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"Depozītu platformas"</w:t>
      </w:r>
      <w:r w:rsidR="00AA217F">
        <w:rPr>
          <w:lang w:eastAsia="en-GB"/>
        </w:rPr>
        <w:t xml:space="preserve"> (rindas kods</w:t>
      </w:r>
      <w:r w:rsidR="00D96DA1">
        <w:rPr>
          <w:lang w:eastAsia="en-GB"/>
        </w:rPr>
        <w:t> </w:t>
      </w:r>
      <w:r w:rsidR="00AA217F">
        <w:rPr>
          <w:lang w:eastAsia="en-GB"/>
        </w:rPr>
        <w:t>100)</w:t>
      </w:r>
      <w:r w:rsidRPr="00E11AC0">
        <w:rPr>
          <w:lang w:eastAsia="en-GB"/>
        </w:rPr>
        <w:t>:</w:t>
      </w:r>
    </w:p>
    <w:p w14:paraId="163BF4CA" w14:textId="115C26C9" w:rsidR="00E11AC0" w:rsidRPr="00E11AC0" w:rsidRDefault="00AA217F" w:rsidP="006E185B">
      <w:pPr>
        <w:pStyle w:val="NApunkts3"/>
        <w:rPr>
          <w:lang w:eastAsia="en-GB"/>
        </w:rPr>
      </w:pPr>
      <w:bookmarkStart w:id="71" w:name="p-1168027"/>
      <w:bookmarkEnd w:id="71"/>
      <w:r>
        <w:rPr>
          <w:lang w:eastAsia="en-GB"/>
        </w:rPr>
        <w:t>rādītāju</w:t>
      </w:r>
      <w:r w:rsidR="00E11AC0" w:rsidRPr="00E11AC0">
        <w:rPr>
          <w:lang w:eastAsia="en-GB"/>
        </w:rPr>
        <w:t xml:space="preserve"> grupā "Pārskata ceturkšņa beigās" </w:t>
      </w:r>
      <w:r>
        <w:rPr>
          <w:lang w:eastAsia="en-GB"/>
        </w:rPr>
        <w:t>(attiecīgo aiļu kodi</w:t>
      </w:r>
      <w:r w:rsidR="00D96DA1">
        <w:rPr>
          <w:lang w:eastAsia="en-GB"/>
        </w:rPr>
        <w:t> </w:t>
      </w:r>
      <w:r w:rsidRPr="00E11AC0">
        <w:rPr>
          <w:lang w:eastAsia="en-GB"/>
        </w:rPr>
        <w:t>010</w:t>
      </w:r>
      <w:r>
        <w:rPr>
          <w:lang w:eastAsia="en-GB"/>
        </w:rPr>
        <w:t>–</w:t>
      </w:r>
      <w:r w:rsidRPr="00E11AC0">
        <w:rPr>
          <w:lang w:eastAsia="en-GB"/>
        </w:rPr>
        <w:t>070</w:t>
      </w:r>
      <w:r>
        <w:rPr>
          <w:lang w:eastAsia="en-GB"/>
        </w:rPr>
        <w:t xml:space="preserve">) </w:t>
      </w:r>
      <w:r w:rsidR="00E11AC0" w:rsidRPr="00E11AC0">
        <w:rPr>
          <w:lang w:eastAsia="en-GB"/>
        </w:rPr>
        <w:t>norāda faktiskos datus par kopējo klientu</w:t>
      </w:r>
      <w:r w:rsidR="00A15B59">
        <w:rPr>
          <w:lang w:eastAsia="en-GB"/>
        </w:rPr>
        <w:t> </w:t>
      </w:r>
      <w:r w:rsidR="00E11AC0" w:rsidRPr="00E11AC0">
        <w:rPr>
          <w:lang w:eastAsia="en-GB"/>
        </w:rPr>
        <w:t>– noguldītāju, kas ir depozītu platformu klienti,</w:t>
      </w:r>
      <w:r w:rsidR="00A15B59">
        <w:rPr>
          <w:lang w:eastAsia="en-GB"/>
        </w:rPr>
        <w:t> </w:t>
      </w:r>
      <w:r w:rsidR="00E11AC0" w:rsidRPr="00E11AC0">
        <w:rPr>
          <w:lang w:eastAsia="en-GB"/>
        </w:rPr>
        <w:t>– skaitu un to veikto noguldījumu apmēru;</w:t>
      </w:r>
    </w:p>
    <w:p w14:paraId="152AB091" w14:textId="6C0FCEBB" w:rsidR="00E11AC0" w:rsidRDefault="00AA217F" w:rsidP="006E185B">
      <w:pPr>
        <w:pStyle w:val="NApunkts3"/>
        <w:rPr>
          <w:lang w:eastAsia="en-GB"/>
        </w:rPr>
      </w:pPr>
      <w:r>
        <w:rPr>
          <w:lang w:eastAsia="en-GB"/>
        </w:rPr>
        <w:t>ailē</w:t>
      </w:r>
      <w:r w:rsidR="00E11AC0" w:rsidRPr="00E11AC0">
        <w:rPr>
          <w:lang w:eastAsia="en-GB"/>
        </w:rPr>
        <w:t xml:space="preserve"> </w:t>
      </w:r>
      <w:r w:rsidR="00614225">
        <w:rPr>
          <w:lang w:eastAsia="en-GB"/>
        </w:rPr>
        <w:t>"</w:t>
      </w:r>
      <w:r w:rsidR="00614225" w:rsidRPr="00614225">
        <w:rPr>
          <w:lang w:eastAsia="en-GB"/>
        </w:rPr>
        <w:t xml:space="preserve">Klientu kredīta apgrozījums, </w:t>
      </w:r>
      <w:r w:rsidR="00614225" w:rsidRPr="00A3618D">
        <w:rPr>
          <w:i/>
          <w:iCs/>
          <w:lang w:eastAsia="en-GB"/>
        </w:rPr>
        <w:t>euro</w:t>
      </w:r>
      <w:r>
        <w:rPr>
          <w:lang w:eastAsia="en-GB"/>
        </w:rPr>
        <w:t>; Bezskaidras naudas norēķini</w:t>
      </w:r>
      <w:r w:rsidR="00E11AC0" w:rsidRPr="00E11AC0">
        <w:rPr>
          <w:lang w:eastAsia="en-GB"/>
        </w:rPr>
        <w:t>"</w:t>
      </w:r>
      <w:r>
        <w:rPr>
          <w:lang w:eastAsia="en-GB"/>
        </w:rPr>
        <w:t xml:space="preserve"> (ailes kods</w:t>
      </w:r>
      <w:r w:rsidR="00D96DA1">
        <w:rPr>
          <w:lang w:eastAsia="en-GB"/>
        </w:rPr>
        <w:t> </w:t>
      </w:r>
      <w:r>
        <w:rPr>
          <w:lang w:eastAsia="en-GB"/>
        </w:rPr>
        <w:t>081)</w:t>
      </w:r>
      <w:r w:rsidR="00E11AC0" w:rsidRPr="00E11AC0">
        <w:rPr>
          <w:lang w:eastAsia="en-GB"/>
        </w:rPr>
        <w:t xml:space="preserve"> norāda datus par kopējo faktisko šo depozītu platformu klientu kredīta apgrozījumu</w:t>
      </w:r>
      <w:r w:rsidR="00730D00">
        <w:rPr>
          <w:lang w:eastAsia="en-GB"/>
        </w:rPr>
        <w:t xml:space="preserve"> bezskaidras naudas norēķinu veidā</w:t>
      </w:r>
      <w:r w:rsidR="008727CF">
        <w:rPr>
          <w:lang w:eastAsia="en-GB"/>
        </w:rPr>
        <w:t>;</w:t>
      </w:r>
    </w:p>
    <w:p w14:paraId="787E2644" w14:textId="62873213"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"Finanšu iestādes (</w:t>
      </w:r>
      <w:proofErr w:type="spellStart"/>
      <w:r w:rsidRPr="00E11AC0">
        <w:rPr>
          <w:lang w:eastAsia="en-GB"/>
        </w:rPr>
        <w:t>nebankas</w:t>
      </w:r>
      <w:proofErr w:type="spellEnd"/>
      <w:r w:rsidRPr="00E11AC0">
        <w:rPr>
          <w:lang w:eastAsia="en-GB"/>
        </w:rPr>
        <w:t>)"</w:t>
      </w:r>
      <w:r w:rsidR="00AA217F">
        <w:rPr>
          <w:lang w:eastAsia="en-GB"/>
        </w:rPr>
        <w:t xml:space="preserve"> (rindas kods</w:t>
      </w:r>
      <w:r w:rsidR="00D96DA1">
        <w:rPr>
          <w:lang w:eastAsia="en-GB"/>
        </w:rPr>
        <w:t> </w:t>
      </w:r>
      <w:r w:rsidR="00AA217F">
        <w:rPr>
          <w:lang w:eastAsia="en-GB"/>
        </w:rPr>
        <w:t>110)</w:t>
      </w:r>
      <w:r w:rsidRPr="00E11AC0">
        <w:rPr>
          <w:lang w:eastAsia="en-GB"/>
        </w:rPr>
        <w:t>:</w:t>
      </w:r>
    </w:p>
    <w:p w14:paraId="0748913A" w14:textId="77BDB3DB" w:rsidR="00E11AC0" w:rsidRPr="00E11AC0" w:rsidRDefault="00AA217F" w:rsidP="006E185B">
      <w:pPr>
        <w:pStyle w:val="NApunkts3"/>
        <w:rPr>
          <w:lang w:eastAsia="en-GB"/>
        </w:rPr>
      </w:pPr>
      <w:bookmarkStart w:id="72" w:name="p-1168029"/>
      <w:bookmarkEnd w:id="72"/>
      <w:r>
        <w:rPr>
          <w:lang w:eastAsia="en-GB"/>
        </w:rPr>
        <w:t>ailē</w:t>
      </w:r>
      <w:r w:rsidR="00AB4B87">
        <w:rPr>
          <w:lang w:eastAsia="en-GB"/>
        </w:rPr>
        <w:t xml:space="preserve"> </w:t>
      </w:r>
      <w:r w:rsidR="00AB4B87" w:rsidRPr="00E11AC0">
        <w:rPr>
          <w:lang w:eastAsia="en-GB"/>
        </w:rPr>
        <w:t xml:space="preserve">"Klientu skaits" </w:t>
      </w:r>
      <w:r>
        <w:rPr>
          <w:lang w:eastAsia="en-GB"/>
        </w:rPr>
        <w:t>(ailes kods</w:t>
      </w:r>
      <w:r w:rsidR="00D96DA1">
        <w:rPr>
          <w:lang w:eastAsia="en-GB"/>
        </w:rPr>
        <w:t> </w:t>
      </w:r>
      <w:r>
        <w:rPr>
          <w:lang w:eastAsia="en-GB"/>
        </w:rPr>
        <w:t xml:space="preserve">010) </w:t>
      </w:r>
      <w:r w:rsidR="00AB4B87" w:rsidRPr="00E11AC0">
        <w:rPr>
          <w:lang w:eastAsia="en-GB"/>
        </w:rPr>
        <w:t>norāda datus par</w:t>
      </w:r>
      <w:r w:rsidR="00E11AC0" w:rsidRPr="00E11AC0">
        <w:rPr>
          <w:lang w:eastAsia="en-GB"/>
        </w:rPr>
        <w:t xml:space="preserve"> klientu, kas ir finanšu iestādes</w:t>
      </w:r>
      <w:r w:rsidR="00835974">
        <w:rPr>
          <w:lang w:eastAsia="en-GB"/>
        </w:rPr>
        <w:t xml:space="preserve"> </w:t>
      </w:r>
      <w:hyperlink r:id="rId17" w:tgtFrame="_blank" w:history="1">
        <w:r w:rsidR="00614225">
          <w:rPr>
            <w:lang w:eastAsia="en-GB"/>
          </w:rPr>
          <w:t>N</w:t>
        </w:r>
        <w:r w:rsidR="00E11AC0" w:rsidRPr="00E11AC0">
          <w:rPr>
            <w:lang w:eastAsia="en-GB"/>
          </w:rPr>
          <w:t>ovēršanas likuma</w:t>
        </w:r>
      </w:hyperlink>
      <w:r w:rsidR="00835974">
        <w:rPr>
          <w:lang w:eastAsia="en-GB"/>
        </w:rPr>
        <w:t xml:space="preserve"> </w:t>
      </w:r>
      <w:hyperlink r:id="rId18" w:anchor="p1" w:tgtFrame="_blank" w:history="1">
        <w:r w:rsidR="00E11AC0" w:rsidRPr="00E11AC0">
          <w:rPr>
            <w:lang w:eastAsia="en-GB"/>
          </w:rPr>
          <w:t>1.</w:t>
        </w:r>
        <w:r w:rsidR="00835974" w:rsidRPr="00435118">
          <w:t> </w:t>
        </w:r>
        <w:r w:rsidR="00E11AC0" w:rsidRPr="00E11AC0">
          <w:rPr>
            <w:lang w:eastAsia="en-GB"/>
          </w:rPr>
          <w:t>panta</w:t>
        </w:r>
      </w:hyperlink>
      <w:r w:rsidR="00CA30B8">
        <w:rPr>
          <w:lang w:eastAsia="en-GB"/>
        </w:rPr>
        <w:t xml:space="preserve"> pirmās daļas</w:t>
      </w:r>
      <w:r w:rsidR="00835974">
        <w:rPr>
          <w:lang w:eastAsia="en-GB"/>
        </w:rPr>
        <w:t xml:space="preserve"> </w:t>
      </w:r>
      <w:r w:rsidR="00E11AC0" w:rsidRPr="00E11AC0">
        <w:rPr>
          <w:lang w:eastAsia="en-GB"/>
        </w:rPr>
        <w:t>7.</w:t>
      </w:r>
      <w:r w:rsidR="00835974" w:rsidRPr="00435118">
        <w:t> </w:t>
      </w:r>
      <w:r w:rsidR="00E11AC0" w:rsidRPr="00E11AC0">
        <w:rPr>
          <w:lang w:eastAsia="en-GB"/>
        </w:rPr>
        <w:t>punkta izpratnē</w:t>
      </w:r>
      <w:r w:rsidR="007A68CE">
        <w:rPr>
          <w:lang w:eastAsia="en-GB"/>
        </w:rPr>
        <w:t>,</w:t>
      </w:r>
      <w:r w:rsidR="00E11AC0" w:rsidRPr="00E11AC0">
        <w:rPr>
          <w:lang w:eastAsia="en-GB"/>
        </w:rPr>
        <w:t xml:space="preserve"> (turpmāk</w:t>
      </w:r>
      <w:r w:rsidR="00A15B59">
        <w:rPr>
          <w:lang w:eastAsia="en-GB"/>
        </w:rPr>
        <w:t> </w:t>
      </w:r>
      <w:r w:rsidR="00E11AC0" w:rsidRPr="00E11AC0">
        <w:rPr>
          <w:lang w:eastAsia="en-GB"/>
        </w:rPr>
        <w:t>– finanšu iestādes) skaitu;</w:t>
      </w:r>
    </w:p>
    <w:p w14:paraId="05F8245B" w14:textId="566950C4" w:rsidR="00E11AC0" w:rsidRPr="00E11AC0" w:rsidRDefault="00AA217F" w:rsidP="006E185B">
      <w:pPr>
        <w:pStyle w:val="NApunkts3"/>
        <w:rPr>
          <w:lang w:eastAsia="en-GB"/>
        </w:rPr>
      </w:pPr>
      <w:r>
        <w:rPr>
          <w:lang w:eastAsia="en-GB"/>
        </w:rPr>
        <w:t xml:space="preserve">ailē </w:t>
      </w:r>
      <w:r w:rsidR="00B95A0D" w:rsidRPr="00E11AC0">
        <w:rPr>
          <w:lang w:eastAsia="en-GB"/>
        </w:rPr>
        <w:t>"Klientu finanšu aktīvi,</w:t>
      </w:r>
      <w:r w:rsidR="00D96DA1">
        <w:rPr>
          <w:lang w:eastAsia="en-GB"/>
        </w:rPr>
        <w:t xml:space="preserve"> </w:t>
      </w:r>
      <w:r w:rsidR="00B95A0D" w:rsidRPr="00A3618D">
        <w:rPr>
          <w:i/>
          <w:iCs/>
          <w:lang w:eastAsia="en-GB"/>
        </w:rPr>
        <w:t>euro</w:t>
      </w:r>
      <w:r w:rsidR="00B95A0D" w:rsidRPr="00E11AC0">
        <w:rPr>
          <w:lang w:eastAsia="en-GB"/>
        </w:rPr>
        <w:t xml:space="preserve">" </w:t>
      </w:r>
      <w:r>
        <w:rPr>
          <w:lang w:eastAsia="en-GB"/>
        </w:rPr>
        <w:t>(ailes kods</w:t>
      </w:r>
      <w:r w:rsidR="00D96DA1">
        <w:rPr>
          <w:lang w:eastAsia="en-GB"/>
        </w:rPr>
        <w:t> </w:t>
      </w:r>
      <w:r>
        <w:rPr>
          <w:lang w:eastAsia="en-GB"/>
        </w:rPr>
        <w:t xml:space="preserve">020) </w:t>
      </w:r>
      <w:r w:rsidR="00B95A0D" w:rsidRPr="00E11AC0">
        <w:rPr>
          <w:lang w:eastAsia="en-GB"/>
        </w:rPr>
        <w:t xml:space="preserve">norāda datus par </w:t>
      </w:r>
      <w:r w:rsidR="00E11AC0" w:rsidRPr="00E11AC0">
        <w:rPr>
          <w:lang w:eastAsia="en-GB"/>
        </w:rPr>
        <w:t xml:space="preserve">klientu, kas ir finanšu iestāžu klienti, kopējo finanšu aktīvu apmēru, </w:t>
      </w:r>
      <w:r w:rsidR="00DA3487">
        <w:rPr>
          <w:lang w:eastAsia="en-GB"/>
        </w:rPr>
        <w:t xml:space="preserve">ailē "Klientu finanšu aktīvi, </w:t>
      </w:r>
      <w:r w:rsidR="00DA3487" w:rsidRPr="00E64F6F">
        <w:rPr>
          <w:i/>
          <w:iCs/>
          <w:lang w:eastAsia="en-GB"/>
        </w:rPr>
        <w:t>euro</w:t>
      </w:r>
      <w:r w:rsidR="00DA3487">
        <w:rPr>
          <w:lang w:eastAsia="en-GB"/>
        </w:rPr>
        <w:t xml:space="preserve">; Noguldījumi, </w:t>
      </w:r>
      <w:r w:rsidR="00DA3487" w:rsidRPr="00E64F6F">
        <w:rPr>
          <w:i/>
          <w:iCs/>
          <w:lang w:eastAsia="en-GB"/>
        </w:rPr>
        <w:t>euro</w:t>
      </w:r>
      <w:r w:rsidR="00DA3487">
        <w:rPr>
          <w:lang w:eastAsia="en-GB"/>
        </w:rPr>
        <w:t>" (ailes kods</w:t>
      </w:r>
      <w:r w:rsidR="00D96DA1">
        <w:rPr>
          <w:lang w:eastAsia="en-GB"/>
        </w:rPr>
        <w:t> </w:t>
      </w:r>
      <w:r w:rsidR="00E11AC0" w:rsidRPr="00E11AC0">
        <w:rPr>
          <w:lang w:eastAsia="en-GB"/>
        </w:rPr>
        <w:t>030</w:t>
      </w:r>
      <w:r w:rsidR="00DA3487">
        <w:rPr>
          <w:lang w:eastAsia="en-GB"/>
        </w:rPr>
        <w:t>)</w:t>
      </w:r>
      <w:r w:rsidR="00AB4B87">
        <w:rPr>
          <w:lang w:eastAsia="en-GB"/>
        </w:rPr>
        <w:t xml:space="preserve"> un </w:t>
      </w:r>
      <w:r w:rsidR="00DA3487">
        <w:rPr>
          <w:lang w:eastAsia="en-GB"/>
        </w:rPr>
        <w:t xml:space="preserve">ailē "Klientu finanšu aktīvi, </w:t>
      </w:r>
      <w:r w:rsidR="00DA3487" w:rsidRPr="00DC2D71">
        <w:rPr>
          <w:i/>
          <w:iCs/>
          <w:lang w:eastAsia="en-GB"/>
        </w:rPr>
        <w:t>euro</w:t>
      </w:r>
      <w:r w:rsidR="00DA3487">
        <w:rPr>
          <w:lang w:eastAsia="en-GB"/>
        </w:rPr>
        <w:t xml:space="preserve">; Turējumā esošie klientu vērtspapīri, </w:t>
      </w:r>
      <w:r w:rsidR="00DA3487" w:rsidRPr="00DC2D71">
        <w:rPr>
          <w:i/>
          <w:iCs/>
          <w:lang w:eastAsia="en-GB"/>
        </w:rPr>
        <w:t>euro</w:t>
      </w:r>
      <w:r w:rsidR="00DA3487">
        <w:rPr>
          <w:lang w:eastAsia="en-GB"/>
        </w:rPr>
        <w:t>" (ailes kods</w:t>
      </w:r>
      <w:r w:rsidR="00D96DA1">
        <w:rPr>
          <w:lang w:eastAsia="en-GB"/>
        </w:rPr>
        <w:t> </w:t>
      </w:r>
      <w:r w:rsidR="00E11AC0" w:rsidRPr="00E11AC0">
        <w:rPr>
          <w:lang w:eastAsia="en-GB"/>
        </w:rPr>
        <w:t>050</w:t>
      </w:r>
      <w:r w:rsidR="00DA3487">
        <w:rPr>
          <w:lang w:eastAsia="en-GB"/>
        </w:rPr>
        <w:t>)</w:t>
      </w:r>
      <w:r w:rsidR="00E11AC0" w:rsidRPr="00E11AC0">
        <w:rPr>
          <w:lang w:eastAsia="en-GB"/>
        </w:rPr>
        <w:t xml:space="preserve"> </w:t>
      </w:r>
      <w:r w:rsidR="007A68CE">
        <w:rPr>
          <w:lang w:eastAsia="en-GB"/>
        </w:rPr>
        <w:t>atsevišķi</w:t>
      </w:r>
      <w:r w:rsidR="007A68CE" w:rsidRPr="00E11AC0">
        <w:rPr>
          <w:lang w:eastAsia="en-GB"/>
        </w:rPr>
        <w:t xml:space="preserve"> </w:t>
      </w:r>
      <w:r w:rsidR="00E11AC0" w:rsidRPr="00E11AC0">
        <w:rPr>
          <w:lang w:eastAsia="en-GB"/>
        </w:rPr>
        <w:t>no kopējiem finanšu iestāžu klientu finanšu aktīviem</w:t>
      </w:r>
      <w:r w:rsidR="00DA3487">
        <w:rPr>
          <w:lang w:eastAsia="en-GB"/>
        </w:rPr>
        <w:t xml:space="preserve"> norādot </w:t>
      </w:r>
      <w:r w:rsidR="00A14880">
        <w:rPr>
          <w:lang w:eastAsia="en-GB"/>
        </w:rPr>
        <w:t xml:space="preserve">attiecīgi </w:t>
      </w:r>
      <w:r w:rsidR="00E11AC0" w:rsidRPr="00E11AC0">
        <w:rPr>
          <w:lang w:eastAsia="en-GB"/>
        </w:rPr>
        <w:t>noguldījumus un turējumā esošos klientu vērtspapīrus;</w:t>
      </w:r>
    </w:p>
    <w:p w14:paraId="2AAEE301" w14:textId="17F44DEF" w:rsidR="00B95A0D" w:rsidRDefault="00DA3487" w:rsidP="006E185B">
      <w:pPr>
        <w:pStyle w:val="NApunkts3"/>
        <w:rPr>
          <w:lang w:eastAsia="en-GB"/>
        </w:rPr>
      </w:pPr>
      <w:r>
        <w:rPr>
          <w:lang w:eastAsia="en-GB"/>
        </w:rPr>
        <w:t>ailē</w:t>
      </w:r>
      <w:r w:rsidR="00BE5998">
        <w:rPr>
          <w:lang w:eastAsia="en-GB"/>
        </w:rPr>
        <w:t xml:space="preserve"> </w:t>
      </w:r>
      <w:r w:rsidR="00B95A0D" w:rsidRPr="00E11AC0">
        <w:rPr>
          <w:lang w:eastAsia="en-GB"/>
        </w:rPr>
        <w:t>"</w:t>
      </w:r>
      <w:r w:rsidR="00B95A0D" w:rsidRPr="00B95A0D">
        <w:rPr>
          <w:lang w:eastAsia="en-GB"/>
        </w:rPr>
        <w:t xml:space="preserve">Klientiem izsniegtie kredīti, </w:t>
      </w:r>
      <w:r w:rsidR="00B95A0D" w:rsidRPr="00A3618D">
        <w:rPr>
          <w:i/>
          <w:iCs/>
          <w:lang w:eastAsia="en-GB"/>
        </w:rPr>
        <w:t>euro</w:t>
      </w:r>
      <w:r w:rsidR="00B95A0D" w:rsidRPr="00E11AC0">
        <w:rPr>
          <w:lang w:eastAsia="en-GB"/>
        </w:rPr>
        <w:t>"</w:t>
      </w:r>
      <w:r w:rsidR="00B95A0D">
        <w:rPr>
          <w:lang w:eastAsia="en-GB"/>
        </w:rPr>
        <w:t xml:space="preserve"> </w:t>
      </w:r>
      <w:r>
        <w:rPr>
          <w:lang w:eastAsia="en-GB"/>
        </w:rPr>
        <w:t>(ailes kods</w:t>
      </w:r>
      <w:r w:rsidR="00D96DA1">
        <w:rPr>
          <w:lang w:eastAsia="en-GB"/>
        </w:rPr>
        <w:t> </w:t>
      </w:r>
      <w:r>
        <w:rPr>
          <w:lang w:eastAsia="en-GB"/>
        </w:rPr>
        <w:t xml:space="preserve">060) </w:t>
      </w:r>
      <w:r w:rsidR="00B95A0D">
        <w:rPr>
          <w:lang w:eastAsia="en-GB"/>
        </w:rPr>
        <w:t xml:space="preserve">norāda datus par </w:t>
      </w:r>
      <w:r w:rsidR="00E11AC0" w:rsidRPr="00E11AC0">
        <w:rPr>
          <w:lang w:eastAsia="en-GB"/>
        </w:rPr>
        <w:t>klientiem, kas ir finanšu iestādes, izsniegto kredītu</w:t>
      </w:r>
      <w:r>
        <w:rPr>
          <w:lang w:eastAsia="en-GB"/>
        </w:rPr>
        <w:t>, izņemot</w:t>
      </w:r>
      <w:r w:rsidR="00AB4B87">
        <w:rPr>
          <w:lang w:eastAsia="en-GB"/>
        </w:rPr>
        <w:t xml:space="preserve"> </w:t>
      </w:r>
      <w:r w:rsidR="00E11AC0" w:rsidRPr="00E11AC0">
        <w:rPr>
          <w:lang w:eastAsia="en-GB"/>
        </w:rPr>
        <w:t>fiduciār</w:t>
      </w:r>
      <w:r>
        <w:rPr>
          <w:lang w:eastAsia="en-GB"/>
        </w:rPr>
        <w:t>o</w:t>
      </w:r>
      <w:r w:rsidR="007A68CE">
        <w:rPr>
          <w:lang w:eastAsia="en-GB"/>
        </w:rPr>
        <w:t>s</w:t>
      </w:r>
      <w:r w:rsidR="00E11AC0" w:rsidRPr="00E11AC0">
        <w:rPr>
          <w:lang w:eastAsia="en-GB"/>
        </w:rPr>
        <w:t xml:space="preserve"> kredīt</w:t>
      </w:r>
      <w:r>
        <w:rPr>
          <w:lang w:eastAsia="en-GB"/>
        </w:rPr>
        <w:t>u</w:t>
      </w:r>
      <w:r w:rsidR="007A68CE">
        <w:rPr>
          <w:lang w:eastAsia="en-GB"/>
        </w:rPr>
        <w:t>s</w:t>
      </w:r>
      <w:r>
        <w:rPr>
          <w:lang w:eastAsia="en-GB"/>
        </w:rPr>
        <w:t>, apmēru</w:t>
      </w:r>
      <w:r w:rsidR="00B95A0D">
        <w:rPr>
          <w:lang w:eastAsia="en-GB"/>
        </w:rPr>
        <w:t>;</w:t>
      </w:r>
    </w:p>
    <w:p w14:paraId="1B977913" w14:textId="215E0457" w:rsidR="00E11AC0" w:rsidRPr="00E11AC0" w:rsidRDefault="00DA3487" w:rsidP="006E185B">
      <w:pPr>
        <w:pStyle w:val="NApunkts3"/>
        <w:rPr>
          <w:lang w:eastAsia="en-GB"/>
        </w:rPr>
      </w:pPr>
      <w:r>
        <w:rPr>
          <w:lang w:eastAsia="en-GB"/>
        </w:rPr>
        <w:t xml:space="preserve">ailē </w:t>
      </w:r>
      <w:r w:rsidR="00B95A0D" w:rsidRPr="00E11AC0">
        <w:rPr>
          <w:lang w:eastAsia="en-GB"/>
        </w:rPr>
        <w:t>"</w:t>
      </w:r>
      <w:r w:rsidR="00B95A0D" w:rsidRPr="00B95A0D">
        <w:rPr>
          <w:lang w:eastAsia="en-GB"/>
        </w:rPr>
        <w:t xml:space="preserve">Klientiem izsniegtie fiduciārie kredīti, </w:t>
      </w:r>
      <w:r w:rsidR="00B95A0D" w:rsidRPr="00E64F6F">
        <w:rPr>
          <w:i/>
          <w:iCs/>
          <w:lang w:eastAsia="en-GB"/>
        </w:rPr>
        <w:t>euro</w:t>
      </w:r>
      <w:r w:rsidR="00B95A0D" w:rsidRPr="00E11AC0">
        <w:rPr>
          <w:lang w:eastAsia="en-GB"/>
        </w:rPr>
        <w:t>"</w:t>
      </w:r>
      <w:r>
        <w:rPr>
          <w:lang w:eastAsia="en-GB"/>
        </w:rPr>
        <w:t xml:space="preserve"> (ailes kods</w:t>
      </w:r>
      <w:r w:rsidR="00D96DA1">
        <w:rPr>
          <w:lang w:eastAsia="en-GB"/>
        </w:rPr>
        <w:t> </w:t>
      </w:r>
      <w:r>
        <w:rPr>
          <w:lang w:eastAsia="en-GB"/>
        </w:rPr>
        <w:t>070)</w:t>
      </w:r>
      <w:r w:rsidR="00B95A0D">
        <w:rPr>
          <w:lang w:eastAsia="en-GB"/>
        </w:rPr>
        <w:t xml:space="preserve"> norāda datus par </w:t>
      </w:r>
      <w:r w:rsidR="00B95A0D" w:rsidRPr="00E11AC0">
        <w:rPr>
          <w:lang w:eastAsia="en-GB"/>
        </w:rPr>
        <w:t>klientiem, kas ir finanšu iestādes, izsniegto</w:t>
      </w:r>
      <w:r w:rsidR="00B95A0D">
        <w:rPr>
          <w:lang w:eastAsia="en-GB"/>
        </w:rPr>
        <w:t xml:space="preserve"> </w:t>
      </w:r>
      <w:r w:rsidR="00E11AC0" w:rsidRPr="00E11AC0">
        <w:rPr>
          <w:lang w:eastAsia="en-GB"/>
        </w:rPr>
        <w:t>fiduciāro kredītu apmēru;</w:t>
      </w:r>
    </w:p>
    <w:p w14:paraId="1D0C825B" w14:textId="28836A41" w:rsidR="00E11AC0" w:rsidRDefault="00DA3487" w:rsidP="006E185B">
      <w:pPr>
        <w:pStyle w:val="NApunkts3"/>
        <w:rPr>
          <w:lang w:eastAsia="en-GB"/>
        </w:rPr>
      </w:pPr>
      <w:r>
        <w:rPr>
          <w:lang w:eastAsia="en-GB"/>
        </w:rPr>
        <w:t xml:space="preserve">rādītāju </w:t>
      </w:r>
      <w:r w:rsidR="00E11AC0" w:rsidRPr="00E11AC0">
        <w:rPr>
          <w:lang w:eastAsia="en-GB"/>
        </w:rPr>
        <w:t xml:space="preserve">grupā "Pārskata ceturksnī" </w:t>
      </w:r>
      <w:r>
        <w:rPr>
          <w:lang w:eastAsia="en-GB"/>
        </w:rPr>
        <w:t>(attiecīgo aiļu kodi</w:t>
      </w:r>
      <w:r w:rsidR="00D96DA1">
        <w:rPr>
          <w:lang w:eastAsia="en-GB"/>
        </w:rPr>
        <w:t> </w:t>
      </w:r>
      <w:r w:rsidRPr="00E11AC0">
        <w:rPr>
          <w:lang w:eastAsia="en-GB"/>
        </w:rPr>
        <w:t>08</w:t>
      </w:r>
      <w:r>
        <w:rPr>
          <w:lang w:eastAsia="en-GB"/>
        </w:rPr>
        <w:t xml:space="preserve">1, 082, 083, 090 un </w:t>
      </w:r>
      <w:r w:rsidRPr="00E11AC0">
        <w:rPr>
          <w:lang w:eastAsia="en-GB"/>
        </w:rPr>
        <w:t>100</w:t>
      </w:r>
      <w:r>
        <w:rPr>
          <w:lang w:eastAsia="en-GB"/>
        </w:rPr>
        <w:t xml:space="preserve">) </w:t>
      </w:r>
      <w:r w:rsidR="00E11AC0" w:rsidRPr="00E11AC0">
        <w:rPr>
          <w:lang w:eastAsia="en-GB"/>
        </w:rPr>
        <w:t>norāda datus par kopējo faktisko finanšu iestāžu klientu kredīta apgrozījumu</w:t>
      </w:r>
      <w:r>
        <w:rPr>
          <w:lang w:eastAsia="en-GB"/>
        </w:rPr>
        <w:t xml:space="preserve"> </w:t>
      </w:r>
      <w:r w:rsidR="00AB4B87">
        <w:rPr>
          <w:lang w:eastAsia="en-GB"/>
        </w:rPr>
        <w:t>bezskaidras naudas</w:t>
      </w:r>
      <w:r>
        <w:rPr>
          <w:lang w:eastAsia="en-GB"/>
        </w:rPr>
        <w:t xml:space="preserve"> norēķinu</w:t>
      </w:r>
      <w:r w:rsidR="00720EAF">
        <w:rPr>
          <w:lang w:eastAsia="en-GB"/>
        </w:rPr>
        <w:t xml:space="preserve">, </w:t>
      </w:r>
      <w:r w:rsidR="00AB4B87">
        <w:rPr>
          <w:lang w:eastAsia="en-GB"/>
        </w:rPr>
        <w:t>skaidras naudas norēķin</w:t>
      </w:r>
      <w:r>
        <w:rPr>
          <w:lang w:eastAsia="en-GB"/>
        </w:rPr>
        <w:t>u</w:t>
      </w:r>
      <w:r w:rsidR="00720EAF">
        <w:rPr>
          <w:lang w:eastAsia="en-GB"/>
        </w:rPr>
        <w:t xml:space="preserve"> un</w:t>
      </w:r>
      <w:r w:rsidR="00E11AC0" w:rsidRPr="00E11AC0">
        <w:rPr>
          <w:lang w:eastAsia="en-GB"/>
        </w:rPr>
        <w:t xml:space="preserve"> </w:t>
      </w:r>
      <w:r w:rsidR="006E59B9">
        <w:rPr>
          <w:lang w:eastAsia="en-GB"/>
        </w:rPr>
        <w:t>norēķin</w:t>
      </w:r>
      <w:r>
        <w:rPr>
          <w:lang w:eastAsia="en-GB"/>
        </w:rPr>
        <w:t>u</w:t>
      </w:r>
      <w:r w:rsidR="006E59B9">
        <w:rPr>
          <w:lang w:eastAsia="en-GB"/>
        </w:rPr>
        <w:t>, kas veidojušies inkasāciju</w:t>
      </w:r>
      <w:r w:rsidR="0089343B">
        <w:rPr>
          <w:lang w:eastAsia="en-GB"/>
        </w:rPr>
        <w:t xml:space="preserve"> rezultātā, </w:t>
      </w:r>
      <w:r>
        <w:rPr>
          <w:lang w:eastAsia="en-GB"/>
        </w:rPr>
        <w:t xml:space="preserve">dalījumā un </w:t>
      </w:r>
      <w:r w:rsidR="00E11AC0" w:rsidRPr="00E11AC0">
        <w:rPr>
          <w:lang w:eastAsia="en-GB"/>
        </w:rPr>
        <w:t>par faktiskajiem ienākumiem no pakalpojumu sniegšanas finanšu iestādēm</w:t>
      </w:r>
      <w:r>
        <w:rPr>
          <w:lang w:eastAsia="en-GB"/>
        </w:rPr>
        <w:t xml:space="preserve">, atsevišķi ailē "Komisijas, </w:t>
      </w:r>
      <w:r>
        <w:rPr>
          <w:i/>
          <w:iCs/>
          <w:lang w:eastAsia="en-GB"/>
        </w:rPr>
        <w:t>euro</w:t>
      </w:r>
      <w:r>
        <w:rPr>
          <w:lang w:eastAsia="en-GB"/>
        </w:rPr>
        <w:t>" (ailes kods</w:t>
      </w:r>
      <w:r w:rsidR="00D96DA1">
        <w:rPr>
          <w:lang w:eastAsia="en-GB"/>
        </w:rPr>
        <w:t> </w:t>
      </w:r>
      <w:r>
        <w:rPr>
          <w:lang w:eastAsia="en-GB"/>
        </w:rPr>
        <w:t>100</w:t>
      </w:r>
      <w:r w:rsidRPr="00E11AC0">
        <w:rPr>
          <w:lang w:eastAsia="en-GB"/>
        </w:rPr>
        <w:t>)</w:t>
      </w:r>
      <w:r w:rsidR="007A68CE">
        <w:rPr>
          <w:lang w:eastAsia="en-GB"/>
        </w:rPr>
        <w:t xml:space="preserve"> norādot</w:t>
      </w:r>
      <w:r w:rsidR="007A68CE" w:rsidRPr="00E11AC0">
        <w:rPr>
          <w:lang w:eastAsia="en-GB"/>
        </w:rPr>
        <w:t xml:space="preserve"> saņemtās komisijas</w:t>
      </w:r>
      <w:r w:rsidR="008727CF">
        <w:rPr>
          <w:lang w:eastAsia="en-GB"/>
        </w:rPr>
        <w:t>;</w:t>
      </w:r>
    </w:p>
    <w:p w14:paraId="7866182A" w14:textId="42761C41"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"t.</w:t>
      </w:r>
      <w:r w:rsidR="00835974" w:rsidRPr="00435118">
        <w:t> </w:t>
      </w:r>
      <w:r w:rsidRPr="00E11AC0">
        <w:rPr>
          <w:lang w:eastAsia="en-GB"/>
        </w:rPr>
        <w:t xml:space="preserve">sk. </w:t>
      </w:r>
      <w:r w:rsidR="0051441B">
        <w:rPr>
          <w:lang w:eastAsia="en-GB"/>
        </w:rPr>
        <w:t>maksājumu iestādes</w:t>
      </w:r>
      <w:r w:rsidR="00AB7A0A">
        <w:rPr>
          <w:lang w:eastAsia="en-GB"/>
        </w:rPr>
        <w:t>/</w:t>
      </w:r>
      <w:r w:rsidR="0051441B">
        <w:rPr>
          <w:lang w:eastAsia="en-GB"/>
        </w:rPr>
        <w:t>elektroniskās naudas iestādes</w:t>
      </w:r>
      <w:r w:rsidR="0051441B" w:rsidRPr="00E11AC0">
        <w:rPr>
          <w:lang w:eastAsia="en-GB"/>
        </w:rPr>
        <w:t>"</w:t>
      </w:r>
      <w:r w:rsidR="00DA3487">
        <w:rPr>
          <w:lang w:eastAsia="en-GB"/>
        </w:rPr>
        <w:t xml:space="preserve"> (rindas kods</w:t>
      </w:r>
      <w:r w:rsidR="00D96DA1">
        <w:rPr>
          <w:lang w:eastAsia="en-GB"/>
        </w:rPr>
        <w:t> </w:t>
      </w:r>
      <w:r w:rsidR="00DA3487">
        <w:rPr>
          <w:lang w:eastAsia="en-GB"/>
        </w:rPr>
        <w:t>120)</w:t>
      </w:r>
      <w:r w:rsidRPr="00E11AC0">
        <w:rPr>
          <w:lang w:eastAsia="en-GB"/>
        </w:rPr>
        <w:t>:</w:t>
      </w:r>
    </w:p>
    <w:p w14:paraId="661D1F9C" w14:textId="4C083761" w:rsidR="00E11AC0" w:rsidRPr="00E11AC0" w:rsidRDefault="00DA3487" w:rsidP="006E185B">
      <w:pPr>
        <w:pStyle w:val="NApunkts3"/>
        <w:rPr>
          <w:lang w:eastAsia="en-GB"/>
        </w:rPr>
      </w:pPr>
      <w:bookmarkStart w:id="73" w:name="p-1168030"/>
      <w:bookmarkEnd w:id="73"/>
      <w:r>
        <w:rPr>
          <w:lang w:eastAsia="en-GB"/>
        </w:rPr>
        <w:t xml:space="preserve">ailē </w:t>
      </w:r>
      <w:r w:rsidR="00E11AC0" w:rsidRPr="00E11AC0">
        <w:rPr>
          <w:lang w:eastAsia="en-GB"/>
        </w:rPr>
        <w:t xml:space="preserve">"Klientu skaits" </w:t>
      </w:r>
      <w:r>
        <w:rPr>
          <w:lang w:eastAsia="en-GB"/>
        </w:rPr>
        <w:t>(ailes kods</w:t>
      </w:r>
      <w:r w:rsidR="00D96DA1">
        <w:rPr>
          <w:lang w:eastAsia="en-GB"/>
        </w:rPr>
        <w:t> </w:t>
      </w:r>
      <w:r>
        <w:rPr>
          <w:lang w:eastAsia="en-GB"/>
        </w:rPr>
        <w:t xml:space="preserve">010) </w:t>
      </w:r>
      <w:r w:rsidR="00E11AC0" w:rsidRPr="00E11AC0">
        <w:rPr>
          <w:lang w:eastAsia="en-GB"/>
        </w:rPr>
        <w:t>norāda datus par klientu, kas ir maksājumu iestādes vai elektroniskās naudas iestādes, skaitu</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 xml:space="preserve">pa klientu rezidences (reģistrācijas) </w:t>
      </w:r>
      <w:r w:rsidRPr="00E11AC0">
        <w:rPr>
          <w:lang w:eastAsia="en-GB"/>
        </w:rPr>
        <w:t>valstīm</w:t>
      </w:r>
      <w:r w:rsidR="00A15B59">
        <w:rPr>
          <w:lang w:eastAsia="en-GB"/>
        </w:rPr>
        <w:t> </w:t>
      </w:r>
      <w:r>
        <w:rPr>
          <w:lang w:eastAsia="en-GB"/>
        </w:rPr>
        <w:t>– Latvija, citas Eiropas Savienības dalībvalstis un pārējās valstis (</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121–123</w:t>
      </w:r>
      <w:r>
        <w:rPr>
          <w:lang w:eastAsia="en-GB"/>
        </w:rPr>
        <w:t>)</w:t>
      </w:r>
      <w:r w:rsidR="00E11AC0" w:rsidRPr="00E11AC0">
        <w:rPr>
          <w:lang w:eastAsia="en-GB"/>
        </w:rPr>
        <w:t>;</w:t>
      </w:r>
    </w:p>
    <w:p w14:paraId="06529D22" w14:textId="5D6BAF6C" w:rsidR="00E11AC0" w:rsidRPr="00E11AC0" w:rsidRDefault="00313334" w:rsidP="006E185B">
      <w:pPr>
        <w:pStyle w:val="NApunkts3"/>
        <w:rPr>
          <w:lang w:eastAsia="en-GB"/>
        </w:rPr>
      </w:pPr>
      <w:r>
        <w:rPr>
          <w:lang w:eastAsia="en-GB"/>
        </w:rPr>
        <w:t>ailē</w:t>
      </w:r>
      <w:r w:rsidR="00E11AC0" w:rsidRPr="00E11AC0">
        <w:rPr>
          <w:lang w:eastAsia="en-GB"/>
        </w:rPr>
        <w:t xml:space="preserve"> "Klientu finanšu aktīvi,</w:t>
      </w:r>
      <w:r w:rsidR="00D96DA1">
        <w:rPr>
          <w:lang w:eastAsia="en-GB"/>
        </w:rPr>
        <w:t xml:space="preserve"> </w:t>
      </w:r>
      <w:r w:rsidR="00E11AC0" w:rsidRPr="00A3618D">
        <w:rPr>
          <w:i/>
          <w:iCs/>
          <w:lang w:eastAsia="en-GB"/>
        </w:rPr>
        <w:t>euro</w:t>
      </w:r>
      <w:r w:rsidR="00E11AC0" w:rsidRPr="00E11AC0">
        <w:rPr>
          <w:lang w:eastAsia="en-GB"/>
        </w:rPr>
        <w:t xml:space="preserve">" </w:t>
      </w:r>
      <w:r>
        <w:rPr>
          <w:lang w:eastAsia="en-GB"/>
        </w:rPr>
        <w:t>(ailes kods</w:t>
      </w:r>
      <w:r w:rsidR="00D96DA1">
        <w:rPr>
          <w:lang w:eastAsia="en-GB"/>
        </w:rPr>
        <w:t> </w:t>
      </w:r>
      <w:r>
        <w:rPr>
          <w:lang w:eastAsia="en-GB"/>
        </w:rPr>
        <w:t xml:space="preserve">020) </w:t>
      </w:r>
      <w:r w:rsidR="00E11AC0" w:rsidRPr="00E11AC0">
        <w:rPr>
          <w:lang w:eastAsia="en-GB"/>
        </w:rPr>
        <w:t xml:space="preserve">norāda datus par klientu, kas ir maksājumu iestādes vai elektroniskās naudas iestādes, kopējo faktisko finanšu aktīvu apmēru, </w:t>
      </w:r>
      <w:r>
        <w:rPr>
          <w:lang w:eastAsia="en-GB"/>
        </w:rPr>
        <w:t xml:space="preserve">ailē "Klientu finanšu aktīvi, </w:t>
      </w:r>
      <w:r w:rsidRPr="00DC2D71">
        <w:rPr>
          <w:i/>
          <w:iCs/>
          <w:lang w:eastAsia="en-GB"/>
        </w:rPr>
        <w:t>euro</w:t>
      </w:r>
      <w:r>
        <w:rPr>
          <w:lang w:eastAsia="en-GB"/>
        </w:rPr>
        <w:t>; Noguldījumi" (ailes kods</w:t>
      </w:r>
      <w:r w:rsidR="00D96DA1">
        <w:rPr>
          <w:lang w:eastAsia="en-GB"/>
        </w:rPr>
        <w:t> </w:t>
      </w:r>
      <w:r w:rsidRPr="00E11AC0">
        <w:rPr>
          <w:lang w:eastAsia="en-GB"/>
        </w:rPr>
        <w:t>030</w:t>
      </w:r>
      <w:r>
        <w:rPr>
          <w:lang w:eastAsia="en-GB"/>
        </w:rPr>
        <w:t xml:space="preserve">) </w:t>
      </w:r>
      <w:r w:rsidR="007A68CE">
        <w:rPr>
          <w:lang w:eastAsia="en-GB"/>
        </w:rPr>
        <w:t xml:space="preserve">atsevišķi </w:t>
      </w:r>
      <w:r w:rsidR="00E11AC0" w:rsidRPr="00E11AC0">
        <w:rPr>
          <w:lang w:eastAsia="en-GB"/>
        </w:rPr>
        <w:t xml:space="preserve">no kopējiem maksājumu iestāžu vai elektroniskās naudas iestāžu klientu finanšu aktīviem </w:t>
      </w:r>
      <w:r>
        <w:rPr>
          <w:lang w:eastAsia="en-GB"/>
        </w:rPr>
        <w:t xml:space="preserve">norādot </w:t>
      </w:r>
      <w:r w:rsidR="00E11AC0" w:rsidRPr="00E11AC0">
        <w:rPr>
          <w:lang w:eastAsia="en-GB"/>
        </w:rPr>
        <w:t>noguldījumu</w:t>
      </w:r>
      <w:r w:rsidR="00A14880">
        <w:rPr>
          <w:lang w:eastAsia="en-GB"/>
        </w:rPr>
        <w:t xml:space="preserve"> apmēru</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 (</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121–123</w:t>
      </w:r>
      <w:r>
        <w:rPr>
          <w:lang w:eastAsia="en-GB"/>
        </w:rPr>
        <w:t>)</w:t>
      </w:r>
      <w:r w:rsidR="00E11AC0" w:rsidRPr="00E11AC0">
        <w:rPr>
          <w:lang w:eastAsia="en-GB"/>
        </w:rPr>
        <w:t>;</w:t>
      </w:r>
    </w:p>
    <w:p w14:paraId="2A62E5B0" w14:textId="70225423" w:rsidR="00E11AC0" w:rsidRPr="00E11AC0" w:rsidRDefault="00313334" w:rsidP="006E185B">
      <w:pPr>
        <w:pStyle w:val="NApunkts3"/>
        <w:rPr>
          <w:lang w:eastAsia="en-GB"/>
        </w:rPr>
      </w:pPr>
      <w:bookmarkStart w:id="74" w:name="_Hlk178318486"/>
      <w:r>
        <w:rPr>
          <w:lang w:eastAsia="en-GB"/>
        </w:rPr>
        <w:lastRenderedPageBreak/>
        <w:t>ailē</w:t>
      </w:r>
      <w:r w:rsidRPr="00E11AC0">
        <w:rPr>
          <w:lang w:eastAsia="en-GB"/>
        </w:rPr>
        <w:t xml:space="preserve"> </w:t>
      </w:r>
      <w:r>
        <w:rPr>
          <w:lang w:eastAsia="en-GB"/>
        </w:rPr>
        <w:t xml:space="preserve">"Klientu kredīta apgrozījums, </w:t>
      </w:r>
      <w:r w:rsidRPr="00A3618D">
        <w:rPr>
          <w:i/>
          <w:iCs/>
          <w:lang w:eastAsia="en-GB"/>
        </w:rPr>
        <w:t>euro</w:t>
      </w:r>
      <w:r>
        <w:rPr>
          <w:lang w:eastAsia="en-GB"/>
        </w:rPr>
        <w:t>; Bezskaidras naudas norēķini</w:t>
      </w:r>
      <w:r w:rsidRPr="00E11AC0">
        <w:rPr>
          <w:lang w:eastAsia="en-GB"/>
        </w:rPr>
        <w:t xml:space="preserve">" </w:t>
      </w:r>
      <w:r>
        <w:rPr>
          <w:lang w:eastAsia="en-GB"/>
        </w:rPr>
        <w:t>(ailes kods</w:t>
      </w:r>
      <w:r w:rsidR="00A15B59">
        <w:rPr>
          <w:lang w:eastAsia="en-GB"/>
        </w:rPr>
        <w:t> </w:t>
      </w:r>
      <w:r>
        <w:rPr>
          <w:lang w:eastAsia="en-GB"/>
        </w:rPr>
        <w:t xml:space="preserve">081), ailē "Klientu kredīta apgrozījums, </w:t>
      </w:r>
      <w:r w:rsidRPr="00A3618D">
        <w:rPr>
          <w:i/>
          <w:iCs/>
          <w:lang w:eastAsia="en-GB"/>
        </w:rPr>
        <w:t>euro</w:t>
      </w:r>
      <w:r>
        <w:rPr>
          <w:lang w:eastAsia="en-GB"/>
        </w:rPr>
        <w:t>; Skaidras naudas norēķini</w:t>
      </w:r>
      <w:r w:rsidRPr="00E11AC0">
        <w:rPr>
          <w:lang w:eastAsia="en-GB"/>
        </w:rPr>
        <w:t xml:space="preserve">" </w:t>
      </w:r>
      <w:r>
        <w:rPr>
          <w:lang w:eastAsia="en-GB"/>
        </w:rPr>
        <w:t>(ailes kods</w:t>
      </w:r>
      <w:r w:rsidR="00A15B59">
        <w:rPr>
          <w:lang w:eastAsia="en-GB"/>
        </w:rPr>
        <w:t> </w:t>
      </w:r>
      <w:r>
        <w:rPr>
          <w:lang w:eastAsia="en-GB"/>
        </w:rPr>
        <w:t xml:space="preserve">082) un ailē "Klientu kredīta apgrozījums, </w:t>
      </w:r>
      <w:r w:rsidRPr="00A3618D">
        <w:rPr>
          <w:i/>
          <w:iCs/>
          <w:lang w:eastAsia="en-GB"/>
        </w:rPr>
        <w:t>euro</w:t>
      </w:r>
      <w:r>
        <w:rPr>
          <w:lang w:eastAsia="en-GB"/>
        </w:rPr>
        <w:t>; Norēķini, kas veidojušies inkasāciju rezultātā</w:t>
      </w:r>
      <w:r w:rsidRPr="00E11AC0">
        <w:rPr>
          <w:lang w:eastAsia="en-GB"/>
        </w:rPr>
        <w:t xml:space="preserve">" </w:t>
      </w:r>
      <w:r>
        <w:rPr>
          <w:lang w:eastAsia="en-GB"/>
        </w:rPr>
        <w:t>(ailes kods</w:t>
      </w:r>
      <w:r w:rsidR="00D96DA1">
        <w:rPr>
          <w:lang w:eastAsia="en-GB"/>
        </w:rPr>
        <w:t> </w:t>
      </w:r>
      <w:r>
        <w:rPr>
          <w:lang w:eastAsia="en-GB"/>
        </w:rPr>
        <w:t xml:space="preserve">083) </w:t>
      </w:r>
      <w:r w:rsidR="00E11AC0" w:rsidRPr="00E11AC0">
        <w:rPr>
          <w:lang w:eastAsia="en-GB"/>
        </w:rPr>
        <w:t>norāda datus par kopējo maksājumu iestāžu vai elektroniskās naudas iestāžu klientu kredīta apgrozījumu</w:t>
      </w:r>
      <w:r>
        <w:rPr>
          <w:lang w:eastAsia="en-GB"/>
        </w:rPr>
        <w:t xml:space="preserve"> </w:t>
      </w:r>
      <w:r w:rsidR="00A14880">
        <w:rPr>
          <w:lang w:eastAsia="en-GB"/>
        </w:rPr>
        <w:t xml:space="preserve">attiecīgi </w:t>
      </w:r>
      <w:r w:rsidR="0036474B">
        <w:rPr>
          <w:lang w:eastAsia="en-GB"/>
        </w:rPr>
        <w:t>bezskaidras naudas</w:t>
      </w:r>
      <w:r>
        <w:rPr>
          <w:lang w:eastAsia="en-GB"/>
        </w:rPr>
        <w:t xml:space="preserve"> norēķinu</w:t>
      </w:r>
      <w:r w:rsidR="00720EAF">
        <w:rPr>
          <w:lang w:eastAsia="en-GB"/>
        </w:rPr>
        <w:t>,</w:t>
      </w:r>
      <w:r w:rsidR="0036474B">
        <w:rPr>
          <w:lang w:eastAsia="en-GB"/>
        </w:rPr>
        <w:t xml:space="preserve"> skaidras naudas norēķin</w:t>
      </w:r>
      <w:r>
        <w:rPr>
          <w:lang w:eastAsia="en-GB"/>
        </w:rPr>
        <w:t>u</w:t>
      </w:r>
      <w:r w:rsidR="00720EAF">
        <w:rPr>
          <w:lang w:eastAsia="en-GB"/>
        </w:rPr>
        <w:t xml:space="preserve"> un</w:t>
      </w:r>
      <w:r w:rsidR="0089343B">
        <w:rPr>
          <w:lang w:eastAsia="en-GB"/>
        </w:rPr>
        <w:t xml:space="preserve"> norēķin</w:t>
      </w:r>
      <w:r>
        <w:rPr>
          <w:lang w:eastAsia="en-GB"/>
        </w:rPr>
        <w:t>u</w:t>
      </w:r>
      <w:r w:rsidR="0089343B">
        <w:rPr>
          <w:lang w:eastAsia="en-GB"/>
        </w:rPr>
        <w:t>, kas veidojušies inkasāciju rezultātā,</w:t>
      </w:r>
      <w:r w:rsidR="0036474B">
        <w:rPr>
          <w:lang w:eastAsia="en-GB"/>
        </w:rPr>
        <w:t xml:space="preserve"> </w:t>
      </w:r>
      <w:r w:rsidR="00A14880">
        <w:rPr>
          <w:lang w:eastAsia="en-GB"/>
        </w:rPr>
        <w:t>veidā</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Pr>
          <w:lang w:eastAsia="en-GB"/>
        </w:rPr>
        <w:t> –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121–123</w:t>
      </w:r>
      <w:r>
        <w:rPr>
          <w:lang w:eastAsia="en-GB"/>
        </w:rPr>
        <w:t>)</w:t>
      </w:r>
      <w:r w:rsidR="00E11AC0" w:rsidRPr="00E11AC0">
        <w:rPr>
          <w:lang w:eastAsia="en-GB"/>
        </w:rPr>
        <w:t>;</w:t>
      </w:r>
    </w:p>
    <w:bookmarkEnd w:id="74"/>
    <w:p w14:paraId="2F125D97" w14:textId="0A25281E" w:rsidR="00E11AC0" w:rsidRDefault="0096453A" w:rsidP="0096453A">
      <w:pPr>
        <w:pStyle w:val="NApunkts3"/>
        <w:rPr>
          <w:lang w:eastAsia="en-GB"/>
        </w:rPr>
      </w:pPr>
      <w:r>
        <w:rPr>
          <w:lang w:eastAsia="en-GB"/>
        </w:rPr>
        <w:t xml:space="preserve">rādītāju </w:t>
      </w:r>
      <w:r w:rsidR="00E11AC0" w:rsidRPr="00E11AC0">
        <w:rPr>
          <w:lang w:eastAsia="en-GB"/>
        </w:rPr>
        <w:t xml:space="preserve">grupā "Stratēģijā noteiktie robežlielumi" </w:t>
      </w:r>
      <w:r>
        <w:rPr>
          <w:lang w:eastAsia="en-GB"/>
        </w:rPr>
        <w:t>(attiecīgo aiļu kodi</w:t>
      </w:r>
      <w:r w:rsidR="00D96DA1">
        <w:rPr>
          <w:lang w:eastAsia="en-GB"/>
        </w:rPr>
        <w:t> </w:t>
      </w:r>
      <w:r>
        <w:rPr>
          <w:lang w:eastAsia="en-GB"/>
        </w:rPr>
        <w:t xml:space="preserve">110–130) </w:t>
      </w:r>
      <w:r w:rsidR="00E11AC0" w:rsidRPr="00E11AC0">
        <w:rPr>
          <w:lang w:eastAsia="en-GB"/>
        </w:rPr>
        <w:t xml:space="preserve">norāda NILLTPF riska pārvaldīšanas stratēģijā atbilstoši </w:t>
      </w:r>
      <w:r w:rsidR="00E11AC0" w:rsidRPr="008B67BA">
        <w:rPr>
          <w:lang w:eastAsia="en-GB"/>
        </w:rPr>
        <w:t>šo noteikumu 1</w:t>
      </w:r>
      <w:r w:rsidR="008B67BA" w:rsidRPr="008B67BA">
        <w:rPr>
          <w:lang w:eastAsia="en-GB"/>
        </w:rPr>
        <w:t>7</w:t>
      </w:r>
      <w:r w:rsidR="00E11AC0" w:rsidRPr="008B67BA">
        <w:rPr>
          <w:lang w:eastAsia="en-GB"/>
        </w:rPr>
        <w:t>.1.1.6.</w:t>
      </w:r>
      <w:r w:rsidR="00835974" w:rsidRPr="00435118">
        <w:t> </w:t>
      </w:r>
      <w:r w:rsidR="00E11AC0" w:rsidRPr="008B67BA">
        <w:rPr>
          <w:lang w:eastAsia="en-GB"/>
        </w:rPr>
        <w:t>apakšpunktam</w:t>
      </w:r>
      <w:r w:rsidR="00E11AC0" w:rsidRPr="00E11AC0">
        <w:rPr>
          <w:lang w:eastAsia="en-GB"/>
        </w:rPr>
        <w:t xml:space="preserve"> noteikto </w:t>
      </w:r>
      <w:r w:rsidR="0036474B" w:rsidRPr="000175D8">
        <w:rPr>
          <w:lang w:eastAsia="en-GB"/>
        </w:rPr>
        <w:t>klientu, kas ir maksājumu iestāžu vai elektroniskās naudas iestāžu klienti,</w:t>
      </w:r>
      <w:r w:rsidR="00E11AC0" w:rsidRPr="00E11AC0">
        <w:rPr>
          <w:lang w:eastAsia="en-GB"/>
        </w:rPr>
        <w:t xml:space="preserve"> finanšu aktīvu un kredīta apgrozījuma īpatsvaru klientu kopējā finanšu aktīvu un kredīta apgrozījuma apmērā</w:t>
      </w:r>
      <w:r w:rsidR="00835974">
        <w:rPr>
          <w:lang w:eastAsia="en-GB"/>
        </w:rPr>
        <w:t>;</w:t>
      </w:r>
    </w:p>
    <w:p w14:paraId="1C324E11" w14:textId="58FE5659"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"t.</w:t>
      </w:r>
      <w:r w:rsidR="00835974" w:rsidRPr="00435118">
        <w:t> </w:t>
      </w:r>
      <w:r w:rsidRPr="00E11AC0">
        <w:rPr>
          <w:lang w:eastAsia="en-GB"/>
        </w:rPr>
        <w:t xml:space="preserve">sk. </w:t>
      </w:r>
      <w:r w:rsidR="0051441B">
        <w:rPr>
          <w:lang w:eastAsia="en-GB"/>
        </w:rPr>
        <w:t>ieguldījumu brokeru sabiedrības</w:t>
      </w:r>
      <w:r w:rsidRPr="00E11AC0">
        <w:rPr>
          <w:lang w:eastAsia="en-GB"/>
        </w:rPr>
        <w:t>"</w:t>
      </w:r>
      <w:r w:rsidR="0096453A">
        <w:rPr>
          <w:lang w:eastAsia="en-GB"/>
        </w:rPr>
        <w:t xml:space="preserve"> (rindas kods</w:t>
      </w:r>
      <w:r w:rsidR="00D96DA1">
        <w:rPr>
          <w:lang w:eastAsia="en-GB"/>
        </w:rPr>
        <w:t> </w:t>
      </w:r>
      <w:r w:rsidR="0096453A">
        <w:rPr>
          <w:lang w:eastAsia="en-GB"/>
        </w:rPr>
        <w:t>130)</w:t>
      </w:r>
      <w:r w:rsidRPr="00E11AC0">
        <w:rPr>
          <w:lang w:eastAsia="en-GB"/>
        </w:rPr>
        <w:t>:</w:t>
      </w:r>
    </w:p>
    <w:p w14:paraId="212F815E" w14:textId="51391E97" w:rsidR="00E11AC0" w:rsidRPr="00E11AC0" w:rsidRDefault="0096453A" w:rsidP="006E185B">
      <w:pPr>
        <w:pStyle w:val="NApunkts3"/>
        <w:rPr>
          <w:lang w:eastAsia="en-GB"/>
        </w:rPr>
      </w:pPr>
      <w:bookmarkStart w:id="75" w:name="p-1168031"/>
      <w:bookmarkEnd w:id="75"/>
      <w:r>
        <w:rPr>
          <w:lang w:eastAsia="en-GB"/>
        </w:rPr>
        <w:t>ailē</w:t>
      </w:r>
      <w:r w:rsidR="00E11AC0" w:rsidRPr="00E11AC0">
        <w:rPr>
          <w:lang w:eastAsia="en-GB"/>
        </w:rPr>
        <w:t xml:space="preserve"> "Klientu skaits" </w:t>
      </w:r>
      <w:r>
        <w:rPr>
          <w:lang w:eastAsia="en-GB"/>
        </w:rPr>
        <w:t>(ailes kods</w:t>
      </w:r>
      <w:r w:rsidR="00D96DA1">
        <w:rPr>
          <w:lang w:eastAsia="en-GB"/>
        </w:rPr>
        <w:t> </w:t>
      </w:r>
      <w:r>
        <w:rPr>
          <w:lang w:eastAsia="en-GB"/>
        </w:rPr>
        <w:t xml:space="preserve">010) </w:t>
      </w:r>
      <w:r w:rsidR="00E11AC0" w:rsidRPr="00E11AC0">
        <w:rPr>
          <w:lang w:eastAsia="en-GB"/>
        </w:rPr>
        <w:t>norāda datus par klientu, kas ir ieguldījumu brokeru sabiedrības, skaitu</w:t>
      </w:r>
      <w:r>
        <w:rPr>
          <w:lang w:eastAsia="en-GB"/>
        </w:rPr>
        <w:t>. Šajā apakšpunktā minēto</w:t>
      </w:r>
      <w:r w:rsidR="00E11AC0" w:rsidRPr="00E11AC0">
        <w:rPr>
          <w:lang w:eastAsia="en-GB"/>
        </w:rPr>
        <w:t xml:space="preserve"> 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w:t>
      </w:r>
      <w:r w:rsidR="00A14880">
        <w:rPr>
          <w:lang w:eastAsia="en-GB"/>
        </w:rPr>
        <w:t>3</w:t>
      </w:r>
      <w:r w:rsidR="00E11AC0" w:rsidRPr="00E11AC0">
        <w:rPr>
          <w:lang w:eastAsia="en-GB"/>
        </w:rPr>
        <w:t>1–1</w:t>
      </w:r>
      <w:r w:rsidR="00A14880">
        <w:rPr>
          <w:lang w:eastAsia="en-GB"/>
        </w:rPr>
        <w:t>3</w:t>
      </w:r>
      <w:r w:rsidR="00E11AC0" w:rsidRPr="00E11AC0">
        <w:rPr>
          <w:lang w:eastAsia="en-GB"/>
        </w:rPr>
        <w:t>3</w:t>
      </w:r>
      <w:r>
        <w:rPr>
          <w:lang w:eastAsia="en-GB"/>
        </w:rPr>
        <w:t>)</w:t>
      </w:r>
      <w:r w:rsidR="00E11AC0" w:rsidRPr="00E11AC0">
        <w:rPr>
          <w:lang w:eastAsia="en-GB"/>
        </w:rPr>
        <w:t>;</w:t>
      </w:r>
    </w:p>
    <w:p w14:paraId="3682A5E0" w14:textId="16919C70" w:rsidR="00E11AC0" w:rsidRPr="00E11AC0" w:rsidRDefault="0096453A" w:rsidP="006E185B">
      <w:pPr>
        <w:pStyle w:val="NApunkts3"/>
        <w:rPr>
          <w:lang w:eastAsia="en-GB"/>
        </w:rPr>
      </w:pPr>
      <w:r>
        <w:rPr>
          <w:lang w:eastAsia="en-GB"/>
        </w:rPr>
        <w:t xml:space="preserve">ailē </w:t>
      </w:r>
      <w:r w:rsidR="00E11AC0" w:rsidRPr="00E11AC0">
        <w:rPr>
          <w:lang w:eastAsia="en-GB"/>
        </w:rPr>
        <w:t>"Klientu finanšu aktīvi,</w:t>
      </w:r>
      <w:r w:rsidR="00D96DA1">
        <w:rPr>
          <w:lang w:eastAsia="en-GB"/>
        </w:rPr>
        <w:t xml:space="preserve"> </w:t>
      </w:r>
      <w:r w:rsidR="00E11AC0" w:rsidRPr="00A3618D">
        <w:rPr>
          <w:i/>
          <w:iCs/>
          <w:lang w:eastAsia="en-GB"/>
        </w:rPr>
        <w:t>euro</w:t>
      </w:r>
      <w:r w:rsidR="00E11AC0" w:rsidRPr="00E11AC0">
        <w:rPr>
          <w:lang w:eastAsia="en-GB"/>
        </w:rPr>
        <w:t xml:space="preserve">" </w:t>
      </w:r>
      <w:r>
        <w:rPr>
          <w:lang w:eastAsia="en-GB"/>
        </w:rPr>
        <w:t>(ailes kods</w:t>
      </w:r>
      <w:r w:rsidR="00D96DA1">
        <w:rPr>
          <w:lang w:eastAsia="en-GB"/>
        </w:rPr>
        <w:t> </w:t>
      </w:r>
      <w:r>
        <w:rPr>
          <w:lang w:eastAsia="en-GB"/>
        </w:rPr>
        <w:t xml:space="preserve">020) </w:t>
      </w:r>
      <w:r w:rsidR="00E11AC0" w:rsidRPr="00E11AC0">
        <w:rPr>
          <w:lang w:eastAsia="en-GB"/>
        </w:rPr>
        <w:t xml:space="preserve">norāda datus par klientu, kas ir ieguldījumu brokeru sabiedrības, klientu kopējo faktisko finanšu aktīvu apmēru, </w:t>
      </w:r>
      <w:r>
        <w:rPr>
          <w:lang w:eastAsia="en-GB"/>
        </w:rPr>
        <w:t xml:space="preserve">ailē "Klientu finanšu aktīvi, </w:t>
      </w:r>
      <w:r w:rsidRPr="00DC2D71">
        <w:rPr>
          <w:i/>
          <w:iCs/>
          <w:lang w:eastAsia="en-GB"/>
        </w:rPr>
        <w:t>euro</w:t>
      </w:r>
      <w:r>
        <w:rPr>
          <w:lang w:eastAsia="en-GB"/>
        </w:rPr>
        <w:t>; Noguldījumi" (ailes kods</w:t>
      </w:r>
      <w:r w:rsidR="00D96DA1">
        <w:rPr>
          <w:lang w:eastAsia="en-GB"/>
        </w:rPr>
        <w:t> </w:t>
      </w:r>
      <w:r w:rsidRPr="00E11AC0">
        <w:rPr>
          <w:lang w:eastAsia="en-GB"/>
        </w:rPr>
        <w:t>030</w:t>
      </w:r>
      <w:r>
        <w:rPr>
          <w:lang w:eastAsia="en-GB"/>
        </w:rPr>
        <w:t xml:space="preserve">) un ailē "Klientu finanšu aktīvi, </w:t>
      </w:r>
      <w:r w:rsidRPr="00DC2D71">
        <w:rPr>
          <w:i/>
          <w:iCs/>
          <w:lang w:eastAsia="en-GB"/>
        </w:rPr>
        <w:t>euro</w:t>
      </w:r>
      <w:r>
        <w:rPr>
          <w:lang w:eastAsia="en-GB"/>
        </w:rPr>
        <w:t>; Turējumā esošie klientu vērtspapīri" (ailes kods</w:t>
      </w:r>
      <w:r w:rsidR="00D96DA1">
        <w:rPr>
          <w:lang w:eastAsia="en-GB"/>
        </w:rPr>
        <w:t> </w:t>
      </w:r>
      <w:r w:rsidRPr="00E11AC0">
        <w:rPr>
          <w:lang w:eastAsia="en-GB"/>
        </w:rPr>
        <w:t>050</w:t>
      </w:r>
      <w:r>
        <w:rPr>
          <w:lang w:eastAsia="en-GB"/>
        </w:rPr>
        <w:t>)</w:t>
      </w:r>
      <w:r w:rsidRPr="00E11AC0">
        <w:rPr>
          <w:lang w:eastAsia="en-GB"/>
        </w:rPr>
        <w:t xml:space="preserve"> </w:t>
      </w:r>
      <w:r w:rsidR="007A68CE">
        <w:rPr>
          <w:lang w:eastAsia="en-GB"/>
        </w:rPr>
        <w:t>atsevišķi</w:t>
      </w:r>
      <w:r w:rsidR="007A68CE" w:rsidRPr="00E11AC0" w:rsidDel="0096453A">
        <w:rPr>
          <w:lang w:eastAsia="en-GB"/>
        </w:rPr>
        <w:t xml:space="preserve"> </w:t>
      </w:r>
      <w:r w:rsidR="00E11AC0" w:rsidRPr="00E11AC0">
        <w:rPr>
          <w:lang w:eastAsia="en-GB"/>
        </w:rPr>
        <w:t xml:space="preserve">no kopējiem ieguldījumu brokeru sabiedrību klientu finanšu aktīviem </w:t>
      </w:r>
      <w:r>
        <w:rPr>
          <w:lang w:eastAsia="en-GB"/>
        </w:rPr>
        <w:t>norādot</w:t>
      </w:r>
      <w:r w:rsidRPr="00E11AC0">
        <w:rPr>
          <w:lang w:eastAsia="en-GB"/>
        </w:rPr>
        <w:t xml:space="preserve"> </w:t>
      </w:r>
      <w:r w:rsidR="00E11AC0" w:rsidRPr="00E11AC0">
        <w:rPr>
          <w:lang w:eastAsia="en-GB"/>
        </w:rPr>
        <w:t>noguldījumus</w:t>
      </w:r>
      <w:r>
        <w:rPr>
          <w:lang w:eastAsia="en-GB"/>
        </w:rPr>
        <w:t xml:space="preserve"> un </w:t>
      </w:r>
      <w:r w:rsidR="00E11AC0" w:rsidRPr="00E11AC0">
        <w:rPr>
          <w:lang w:eastAsia="en-GB"/>
        </w:rPr>
        <w:t>ieguldījumu brokeru sabiedrību turējumā esošos klientu vērtspapīrus</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D96DA1">
        <w:rPr>
          <w:lang w:eastAsia="en-GB"/>
        </w:rPr>
        <w:t> </w:t>
      </w:r>
      <w:r>
        <w:rPr>
          <w:lang w:eastAsia="en-GB"/>
        </w:rPr>
        <w:t>–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131–133</w:t>
      </w:r>
      <w:r>
        <w:rPr>
          <w:lang w:eastAsia="en-GB"/>
        </w:rPr>
        <w:t>)</w:t>
      </w:r>
      <w:r w:rsidR="00E11AC0" w:rsidRPr="00E11AC0">
        <w:rPr>
          <w:lang w:eastAsia="en-GB"/>
        </w:rPr>
        <w:t>;</w:t>
      </w:r>
    </w:p>
    <w:p w14:paraId="4D225B17" w14:textId="36296EA5" w:rsidR="00E11AC0" w:rsidRDefault="0096453A" w:rsidP="006E185B">
      <w:pPr>
        <w:pStyle w:val="NApunkts3"/>
        <w:rPr>
          <w:lang w:eastAsia="en-GB"/>
        </w:rPr>
      </w:pPr>
      <w:r>
        <w:rPr>
          <w:lang w:eastAsia="en-GB"/>
        </w:rPr>
        <w:t>ailē</w:t>
      </w:r>
      <w:r w:rsidRPr="00E11AC0">
        <w:rPr>
          <w:lang w:eastAsia="en-GB"/>
        </w:rPr>
        <w:t xml:space="preserve"> </w:t>
      </w:r>
      <w:r>
        <w:rPr>
          <w:lang w:eastAsia="en-GB"/>
        </w:rPr>
        <w:t xml:space="preserve">"Klientu kredīta apgrozījums, </w:t>
      </w:r>
      <w:r w:rsidRPr="00A3618D">
        <w:rPr>
          <w:i/>
          <w:iCs/>
          <w:lang w:eastAsia="en-GB"/>
        </w:rPr>
        <w:t>euro</w:t>
      </w:r>
      <w:r>
        <w:rPr>
          <w:lang w:eastAsia="en-GB"/>
        </w:rPr>
        <w:t>; Bezskaidras naudas norēķini</w:t>
      </w:r>
      <w:r w:rsidRPr="00E11AC0">
        <w:rPr>
          <w:lang w:eastAsia="en-GB"/>
        </w:rPr>
        <w:t xml:space="preserve">" </w:t>
      </w:r>
      <w:r>
        <w:rPr>
          <w:lang w:eastAsia="en-GB"/>
        </w:rPr>
        <w:t>(ailes kods</w:t>
      </w:r>
      <w:r w:rsidR="00D96DA1">
        <w:rPr>
          <w:lang w:eastAsia="en-GB"/>
        </w:rPr>
        <w:t> </w:t>
      </w:r>
      <w:r>
        <w:rPr>
          <w:lang w:eastAsia="en-GB"/>
        </w:rPr>
        <w:t xml:space="preserve">081), ailē "Klientu kredīta apgrozījums, </w:t>
      </w:r>
      <w:r w:rsidRPr="00A3618D">
        <w:rPr>
          <w:i/>
          <w:iCs/>
          <w:lang w:eastAsia="en-GB"/>
        </w:rPr>
        <w:t>euro</w:t>
      </w:r>
      <w:r>
        <w:rPr>
          <w:lang w:eastAsia="en-GB"/>
        </w:rPr>
        <w:t>; Skaidras naudas norēķini</w:t>
      </w:r>
      <w:r w:rsidRPr="00E11AC0">
        <w:rPr>
          <w:lang w:eastAsia="en-GB"/>
        </w:rPr>
        <w:t xml:space="preserve">" </w:t>
      </w:r>
      <w:r>
        <w:rPr>
          <w:lang w:eastAsia="en-GB"/>
        </w:rPr>
        <w:t>(ailes kods</w:t>
      </w:r>
      <w:r w:rsidR="00D96DA1">
        <w:rPr>
          <w:lang w:eastAsia="en-GB"/>
        </w:rPr>
        <w:t> </w:t>
      </w:r>
      <w:r>
        <w:rPr>
          <w:lang w:eastAsia="en-GB"/>
        </w:rPr>
        <w:t xml:space="preserve">082) un ailē "Klientu kredīta apgrozījums, </w:t>
      </w:r>
      <w:r w:rsidRPr="00A3618D">
        <w:rPr>
          <w:i/>
          <w:iCs/>
          <w:lang w:eastAsia="en-GB"/>
        </w:rPr>
        <w:t>euro</w:t>
      </w:r>
      <w:r>
        <w:rPr>
          <w:lang w:eastAsia="en-GB"/>
        </w:rPr>
        <w:t>; Norēķini, kas veidojušies inkasāciju rezultātā</w:t>
      </w:r>
      <w:r w:rsidRPr="00E11AC0">
        <w:rPr>
          <w:lang w:eastAsia="en-GB"/>
        </w:rPr>
        <w:t xml:space="preserve">" </w:t>
      </w:r>
      <w:r>
        <w:rPr>
          <w:lang w:eastAsia="en-GB"/>
        </w:rPr>
        <w:t>(ailes kods</w:t>
      </w:r>
      <w:r w:rsidR="00D96DA1">
        <w:rPr>
          <w:lang w:eastAsia="en-GB"/>
        </w:rPr>
        <w:t> </w:t>
      </w:r>
      <w:r>
        <w:rPr>
          <w:lang w:eastAsia="en-GB"/>
        </w:rPr>
        <w:t xml:space="preserve">083) </w:t>
      </w:r>
      <w:r w:rsidR="00E11AC0" w:rsidRPr="00E11AC0">
        <w:rPr>
          <w:lang w:eastAsia="en-GB"/>
        </w:rPr>
        <w:t>norāda datus par kopējo faktisko ieguldījumu brokeru sabiedrību klientu kredīta apgrozījumu</w:t>
      </w:r>
      <w:r>
        <w:rPr>
          <w:lang w:eastAsia="en-GB"/>
        </w:rPr>
        <w:t xml:space="preserve"> </w:t>
      </w:r>
      <w:r w:rsidR="00A14880">
        <w:rPr>
          <w:lang w:eastAsia="en-GB"/>
        </w:rPr>
        <w:t xml:space="preserve">attiecīgi </w:t>
      </w:r>
      <w:r w:rsidR="00CC65CB">
        <w:rPr>
          <w:lang w:eastAsia="en-GB"/>
        </w:rPr>
        <w:t>bezskaidras naudas</w:t>
      </w:r>
      <w:r>
        <w:rPr>
          <w:lang w:eastAsia="en-GB"/>
        </w:rPr>
        <w:t xml:space="preserve"> norēķinu</w:t>
      </w:r>
      <w:r w:rsidR="0089343B">
        <w:rPr>
          <w:lang w:eastAsia="en-GB"/>
        </w:rPr>
        <w:t xml:space="preserve">, </w:t>
      </w:r>
      <w:r w:rsidR="00CC65CB">
        <w:rPr>
          <w:lang w:eastAsia="en-GB"/>
        </w:rPr>
        <w:t>skaidras naudas norēķin</w:t>
      </w:r>
      <w:r>
        <w:rPr>
          <w:lang w:eastAsia="en-GB"/>
        </w:rPr>
        <w:t>u</w:t>
      </w:r>
      <w:r w:rsidR="0089343B">
        <w:rPr>
          <w:lang w:eastAsia="en-GB"/>
        </w:rPr>
        <w:t xml:space="preserve"> un norēķin</w:t>
      </w:r>
      <w:r>
        <w:rPr>
          <w:lang w:eastAsia="en-GB"/>
        </w:rPr>
        <w:t>u</w:t>
      </w:r>
      <w:r w:rsidR="0089343B">
        <w:rPr>
          <w:lang w:eastAsia="en-GB"/>
        </w:rPr>
        <w:t xml:space="preserve">, kas veidojušies inkasāciju rezultātā, </w:t>
      </w:r>
      <w:r w:rsidR="00A14880">
        <w:rPr>
          <w:lang w:eastAsia="en-GB"/>
        </w:rPr>
        <w:t>veidā</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Pr>
          <w:lang w:eastAsia="en-GB"/>
        </w:rPr>
        <w:t> –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131–133</w:t>
      </w:r>
      <w:r>
        <w:rPr>
          <w:lang w:eastAsia="en-GB"/>
        </w:rPr>
        <w:t>)</w:t>
      </w:r>
      <w:r w:rsidR="008727CF">
        <w:rPr>
          <w:lang w:eastAsia="en-GB"/>
        </w:rPr>
        <w:t>;</w:t>
      </w:r>
    </w:p>
    <w:p w14:paraId="2BC2FD7B" w14:textId="49880C21" w:rsidR="00E11AC0" w:rsidRPr="00E11AC0" w:rsidRDefault="000313E8" w:rsidP="006E185B">
      <w:pPr>
        <w:pStyle w:val="NApunkts2"/>
        <w:rPr>
          <w:lang w:eastAsia="en-GB"/>
        </w:rPr>
      </w:pPr>
      <w:r w:rsidRPr="00E11AC0">
        <w:rPr>
          <w:lang w:eastAsia="en-GB"/>
        </w:rPr>
        <w:t>rind</w:t>
      </w:r>
      <w:r>
        <w:rPr>
          <w:lang w:eastAsia="en-GB"/>
        </w:rPr>
        <w:t>ā</w:t>
      </w:r>
      <w:r w:rsidRPr="00E11AC0">
        <w:rPr>
          <w:lang w:eastAsia="en-GB"/>
        </w:rPr>
        <w:t xml:space="preserve"> "t.</w:t>
      </w:r>
      <w:r w:rsidR="00835974" w:rsidRPr="00435118">
        <w:t> </w:t>
      </w:r>
      <w:r w:rsidRPr="00E11AC0">
        <w:rPr>
          <w:lang w:eastAsia="en-GB"/>
        </w:rPr>
        <w:t xml:space="preserve">sk. </w:t>
      </w:r>
      <w:proofErr w:type="spellStart"/>
      <w:r w:rsidR="0051441B">
        <w:rPr>
          <w:lang w:eastAsia="en-GB"/>
        </w:rPr>
        <w:t>kriptoaktīvu</w:t>
      </w:r>
      <w:proofErr w:type="spellEnd"/>
      <w:r w:rsidR="0051441B">
        <w:rPr>
          <w:lang w:eastAsia="en-GB"/>
        </w:rPr>
        <w:t xml:space="preserve"> pakalpojumi sniedzēji</w:t>
      </w:r>
      <w:r w:rsidRPr="00E11AC0">
        <w:rPr>
          <w:lang w:eastAsia="en-GB"/>
        </w:rPr>
        <w:t>"</w:t>
      </w:r>
      <w:r w:rsidR="0096453A">
        <w:rPr>
          <w:lang w:eastAsia="en-GB"/>
        </w:rPr>
        <w:t xml:space="preserve"> (rindas kods</w:t>
      </w:r>
      <w:r w:rsidR="00D96DA1">
        <w:rPr>
          <w:lang w:eastAsia="en-GB"/>
        </w:rPr>
        <w:t> </w:t>
      </w:r>
      <w:r w:rsidR="0096453A">
        <w:rPr>
          <w:lang w:eastAsia="en-GB"/>
        </w:rPr>
        <w:t>150)</w:t>
      </w:r>
      <w:r w:rsidRPr="00E11AC0">
        <w:rPr>
          <w:lang w:eastAsia="en-GB"/>
        </w:rPr>
        <w:t>:</w:t>
      </w:r>
    </w:p>
    <w:p w14:paraId="2DCC5AB3" w14:textId="087DE78A" w:rsidR="00E11AC0" w:rsidRPr="00E11AC0" w:rsidRDefault="0096453A" w:rsidP="006E185B">
      <w:pPr>
        <w:pStyle w:val="NApunkts3"/>
        <w:rPr>
          <w:lang w:eastAsia="en-GB"/>
        </w:rPr>
      </w:pPr>
      <w:bookmarkStart w:id="76" w:name="p-1168032"/>
      <w:bookmarkEnd w:id="76"/>
      <w:r>
        <w:rPr>
          <w:lang w:eastAsia="en-GB"/>
        </w:rPr>
        <w:t>ailē</w:t>
      </w:r>
      <w:r w:rsidR="00E11AC0" w:rsidRPr="00E11AC0">
        <w:rPr>
          <w:lang w:eastAsia="en-GB"/>
        </w:rPr>
        <w:t xml:space="preserve"> "Klientu skaits" </w:t>
      </w:r>
      <w:r>
        <w:rPr>
          <w:lang w:eastAsia="en-GB"/>
        </w:rPr>
        <w:t>(ailes kods</w:t>
      </w:r>
      <w:r w:rsidR="00D96DA1">
        <w:rPr>
          <w:lang w:eastAsia="en-GB"/>
        </w:rPr>
        <w:t> </w:t>
      </w:r>
      <w:r>
        <w:rPr>
          <w:lang w:eastAsia="en-GB"/>
        </w:rPr>
        <w:t xml:space="preserve">010) </w:t>
      </w:r>
      <w:r w:rsidR="00E11AC0" w:rsidRPr="00E11AC0">
        <w:rPr>
          <w:lang w:eastAsia="en-GB"/>
        </w:rPr>
        <w:t>norāda datus par klientu, kas ir</w:t>
      </w:r>
      <w:r w:rsidR="00BE5998">
        <w:rPr>
          <w:lang w:eastAsia="en-GB"/>
        </w:rPr>
        <w:t xml:space="preserve"> </w:t>
      </w:r>
      <w:proofErr w:type="spellStart"/>
      <w:r w:rsidR="00CC65CB">
        <w:rPr>
          <w:lang w:eastAsia="en-GB"/>
        </w:rPr>
        <w:t>kriptoaktīvu</w:t>
      </w:r>
      <w:proofErr w:type="spellEnd"/>
      <w:r w:rsidR="00BE5998">
        <w:rPr>
          <w:lang w:eastAsia="en-GB"/>
        </w:rPr>
        <w:t xml:space="preserve"> </w:t>
      </w:r>
      <w:r w:rsidR="00556064">
        <w:rPr>
          <w:lang w:eastAsia="en-GB"/>
        </w:rPr>
        <w:t>pakalpojumu sniedzēji</w:t>
      </w:r>
      <w:r w:rsidR="00E11AC0" w:rsidRPr="00E11AC0">
        <w:rPr>
          <w:lang w:eastAsia="en-GB"/>
        </w:rPr>
        <w:t>, skaitu</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w:t>
      </w:r>
      <w:r w:rsidR="005A4747">
        <w:rPr>
          <w:lang w:eastAsia="en-GB"/>
        </w:rPr>
        <w:t>5</w:t>
      </w:r>
      <w:r w:rsidR="00E11AC0" w:rsidRPr="00E11AC0">
        <w:rPr>
          <w:lang w:eastAsia="en-GB"/>
        </w:rPr>
        <w:t>1–1</w:t>
      </w:r>
      <w:r w:rsidR="005A4747">
        <w:rPr>
          <w:lang w:eastAsia="en-GB"/>
        </w:rPr>
        <w:t>5</w:t>
      </w:r>
      <w:r w:rsidR="00E11AC0" w:rsidRPr="00E11AC0">
        <w:rPr>
          <w:lang w:eastAsia="en-GB"/>
        </w:rPr>
        <w:t>3</w:t>
      </w:r>
      <w:r>
        <w:rPr>
          <w:lang w:eastAsia="en-GB"/>
        </w:rPr>
        <w:t>)</w:t>
      </w:r>
      <w:r w:rsidR="00E11AC0" w:rsidRPr="00E11AC0">
        <w:rPr>
          <w:lang w:eastAsia="en-GB"/>
        </w:rPr>
        <w:t>;</w:t>
      </w:r>
    </w:p>
    <w:p w14:paraId="13C04DA3" w14:textId="546C3542" w:rsidR="00E11AC0" w:rsidRPr="00E11AC0" w:rsidRDefault="0096453A" w:rsidP="006E185B">
      <w:pPr>
        <w:pStyle w:val="NApunkts3"/>
        <w:rPr>
          <w:lang w:eastAsia="en-GB"/>
        </w:rPr>
      </w:pPr>
      <w:r>
        <w:rPr>
          <w:lang w:eastAsia="en-GB"/>
        </w:rPr>
        <w:t>ailē</w:t>
      </w:r>
      <w:r w:rsidR="00E11AC0" w:rsidRPr="00E11AC0">
        <w:rPr>
          <w:lang w:eastAsia="en-GB"/>
        </w:rPr>
        <w:t xml:space="preserve"> "Klientu finanšu aktīvi, </w:t>
      </w:r>
      <w:r w:rsidR="00E11AC0" w:rsidRPr="00A3618D">
        <w:rPr>
          <w:i/>
          <w:iCs/>
          <w:lang w:eastAsia="en-GB"/>
        </w:rPr>
        <w:t>euro</w:t>
      </w:r>
      <w:r w:rsidR="00E11AC0" w:rsidRPr="00E11AC0">
        <w:rPr>
          <w:lang w:eastAsia="en-GB"/>
        </w:rPr>
        <w:t xml:space="preserve">" </w:t>
      </w:r>
      <w:r>
        <w:rPr>
          <w:lang w:eastAsia="en-GB"/>
        </w:rPr>
        <w:t>(ailes kods</w:t>
      </w:r>
      <w:r w:rsidR="00D96DA1">
        <w:rPr>
          <w:lang w:eastAsia="en-GB"/>
        </w:rPr>
        <w:t> </w:t>
      </w:r>
      <w:r>
        <w:rPr>
          <w:lang w:eastAsia="en-GB"/>
        </w:rPr>
        <w:t xml:space="preserve">020) </w:t>
      </w:r>
      <w:r w:rsidR="00E11AC0" w:rsidRPr="00E11AC0">
        <w:rPr>
          <w:lang w:eastAsia="en-GB"/>
        </w:rPr>
        <w:t>norāda datus par klientu, kas ir</w:t>
      </w:r>
      <w:r w:rsidR="00BE5998">
        <w:rPr>
          <w:lang w:eastAsia="en-GB"/>
        </w:rPr>
        <w:t xml:space="preserve"> </w:t>
      </w:r>
      <w:proofErr w:type="spellStart"/>
      <w:r w:rsidR="00CC65CB">
        <w:rPr>
          <w:lang w:eastAsia="en-GB"/>
        </w:rPr>
        <w:t>kriptoaktīvu</w:t>
      </w:r>
      <w:proofErr w:type="spellEnd"/>
      <w:r w:rsidR="00556064">
        <w:rPr>
          <w:lang w:eastAsia="en-GB"/>
        </w:rPr>
        <w:t xml:space="preserve"> pakalpojumu sniedzēji</w:t>
      </w:r>
      <w:r w:rsidR="00E11AC0" w:rsidRPr="00E11AC0">
        <w:rPr>
          <w:lang w:eastAsia="en-GB"/>
        </w:rPr>
        <w:t xml:space="preserve">, klientu kopējo finanšu aktīvu apmēru, </w:t>
      </w:r>
      <w:r>
        <w:rPr>
          <w:lang w:eastAsia="en-GB"/>
        </w:rPr>
        <w:t xml:space="preserve">ailē "Klientu finanšu aktīvi, </w:t>
      </w:r>
      <w:r w:rsidRPr="00DC2D71">
        <w:rPr>
          <w:i/>
          <w:iCs/>
          <w:lang w:eastAsia="en-GB"/>
        </w:rPr>
        <w:t>euro</w:t>
      </w:r>
      <w:r>
        <w:rPr>
          <w:lang w:eastAsia="en-GB"/>
        </w:rPr>
        <w:t>; Noguldījumi" (ailes kods</w:t>
      </w:r>
      <w:r w:rsidR="00D96DA1">
        <w:rPr>
          <w:lang w:eastAsia="en-GB"/>
        </w:rPr>
        <w:t> </w:t>
      </w:r>
      <w:r w:rsidRPr="00E11AC0">
        <w:rPr>
          <w:lang w:eastAsia="en-GB"/>
        </w:rPr>
        <w:t>030</w:t>
      </w:r>
      <w:r>
        <w:rPr>
          <w:lang w:eastAsia="en-GB"/>
        </w:rPr>
        <w:t>)</w:t>
      </w:r>
      <w:r w:rsidR="00E11AC0" w:rsidRPr="00E11AC0">
        <w:rPr>
          <w:lang w:eastAsia="en-GB"/>
        </w:rPr>
        <w:t xml:space="preserve"> </w:t>
      </w:r>
      <w:r w:rsidR="007A68CE">
        <w:rPr>
          <w:lang w:eastAsia="en-GB"/>
        </w:rPr>
        <w:t>atsevišķi</w:t>
      </w:r>
      <w:r w:rsidR="007A68CE" w:rsidRPr="00E11AC0">
        <w:rPr>
          <w:lang w:eastAsia="en-GB"/>
        </w:rPr>
        <w:t xml:space="preserve"> </w:t>
      </w:r>
      <w:r w:rsidR="00E11AC0" w:rsidRPr="00E11AC0">
        <w:rPr>
          <w:lang w:eastAsia="en-GB"/>
        </w:rPr>
        <w:t>no kopējiem</w:t>
      </w:r>
      <w:r w:rsidR="00BE5998">
        <w:rPr>
          <w:lang w:eastAsia="en-GB"/>
        </w:rPr>
        <w:t xml:space="preserve"> </w:t>
      </w:r>
      <w:proofErr w:type="spellStart"/>
      <w:r w:rsidR="00CC65CB">
        <w:rPr>
          <w:lang w:eastAsia="en-GB"/>
        </w:rPr>
        <w:t>kriptoaktīvu</w:t>
      </w:r>
      <w:proofErr w:type="spellEnd"/>
      <w:r w:rsidR="00BE5998">
        <w:rPr>
          <w:lang w:eastAsia="en-GB"/>
        </w:rPr>
        <w:t xml:space="preserve"> </w:t>
      </w:r>
      <w:r w:rsidR="00556064">
        <w:rPr>
          <w:lang w:eastAsia="en-GB"/>
        </w:rPr>
        <w:t>pakalpojumu sniedzēju</w:t>
      </w:r>
      <w:r w:rsidR="00E11AC0" w:rsidRPr="00E11AC0">
        <w:rPr>
          <w:lang w:eastAsia="en-GB"/>
        </w:rPr>
        <w:t xml:space="preserve"> klientu finanšu aktīviem</w:t>
      </w:r>
      <w:r>
        <w:rPr>
          <w:lang w:eastAsia="en-GB"/>
        </w:rPr>
        <w:t xml:space="preserve"> norādot </w:t>
      </w:r>
      <w:r w:rsidR="00E11AC0" w:rsidRPr="00E11AC0">
        <w:rPr>
          <w:lang w:eastAsia="en-GB"/>
        </w:rPr>
        <w:t>noguldījumus</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pa klientu rezidences (reģistrācijas) valstīm</w:t>
      </w:r>
      <w:r w:rsidR="00A15B59">
        <w:rPr>
          <w:lang w:eastAsia="en-GB"/>
        </w:rPr>
        <w:t> </w:t>
      </w:r>
      <w:r>
        <w:rPr>
          <w:lang w:eastAsia="en-GB"/>
        </w:rPr>
        <w:t>–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E11AC0" w:rsidRPr="00E11AC0">
        <w:rPr>
          <w:lang w:eastAsia="en-GB"/>
        </w:rPr>
        <w:t>1</w:t>
      </w:r>
      <w:r w:rsidR="005A4747">
        <w:rPr>
          <w:lang w:eastAsia="en-GB"/>
        </w:rPr>
        <w:t>5</w:t>
      </w:r>
      <w:r w:rsidR="00E11AC0" w:rsidRPr="00E11AC0">
        <w:rPr>
          <w:lang w:eastAsia="en-GB"/>
        </w:rPr>
        <w:t>1–1</w:t>
      </w:r>
      <w:r w:rsidR="005A4747">
        <w:rPr>
          <w:lang w:eastAsia="en-GB"/>
        </w:rPr>
        <w:t>5</w:t>
      </w:r>
      <w:r w:rsidR="00E11AC0" w:rsidRPr="00E11AC0">
        <w:rPr>
          <w:lang w:eastAsia="en-GB"/>
        </w:rPr>
        <w:t>3</w:t>
      </w:r>
      <w:r>
        <w:rPr>
          <w:lang w:eastAsia="en-GB"/>
        </w:rPr>
        <w:t>)</w:t>
      </w:r>
      <w:r w:rsidR="00E11AC0" w:rsidRPr="00E11AC0">
        <w:rPr>
          <w:lang w:eastAsia="en-GB"/>
        </w:rPr>
        <w:t>;</w:t>
      </w:r>
    </w:p>
    <w:p w14:paraId="536F1A10" w14:textId="74118728" w:rsidR="00E11AC0" w:rsidRDefault="0096453A" w:rsidP="006E185B">
      <w:pPr>
        <w:pStyle w:val="NApunkts3"/>
        <w:rPr>
          <w:lang w:eastAsia="en-GB"/>
        </w:rPr>
      </w:pPr>
      <w:r>
        <w:rPr>
          <w:lang w:eastAsia="en-GB"/>
        </w:rPr>
        <w:lastRenderedPageBreak/>
        <w:t>ailē</w:t>
      </w:r>
      <w:r w:rsidRPr="00E11AC0">
        <w:rPr>
          <w:lang w:eastAsia="en-GB"/>
        </w:rPr>
        <w:t xml:space="preserve"> </w:t>
      </w:r>
      <w:r>
        <w:rPr>
          <w:lang w:eastAsia="en-GB"/>
        </w:rPr>
        <w:t xml:space="preserve">"Klientu kredīta apgrozījums, </w:t>
      </w:r>
      <w:r w:rsidRPr="00A3618D">
        <w:rPr>
          <w:i/>
          <w:iCs/>
          <w:lang w:eastAsia="en-GB"/>
        </w:rPr>
        <w:t>euro</w:t>
      </w:r>
      <w:r>
        <w:rPr>
          <w:lang w:eastAsia="en-GB"/>
        </w:rPr>
        <w:t>; Bezskaidras naudas norēķini</w:t>
      </w:r>
      <w:r w:rsidRPr="00E11AC0">
        <w:rPr>
          <w:lang w:eastAsia="en-GB"/>
        </w:rPr>
        <w:t xml:space="preserve">" </w:t>
      </w:r>
      <w:r>
        <w:rPr>
          <w:lang w:eastAsia="en-GB"/>
        </w:rPr>
        <w:t>(ailes kods</w:t>
      </w:r>
      <w:r w:rsidR="00D96DA1">
        <w:rPr>
          <w:lang w:eastAsia="en-GB"/>
        </w:rPr>
        <w:t> </w:t>
      </w:r>
      <w:r>
        <w:rPr>
          <w:lang w:eastAsia="en-GB"/>
        </w:rPr>
        <w:t xml:space="preserve">081), ailē "Klientu kredīta apgrozījums, </w:t>
      </w:r>
      <w:r w:rsidRPr="00A3618D">
        <w:rPr>
          <w:i/>
          <w:iCs/>
          <w:lang w:eastAsia="en-GB"/>
        </w:rPr>
        <w:t>euro</w:t>
      </w:r>
      <w:r>
        <w:rPr>
          <w:lang w:eastAsia="en-GB"/>
        </w:rPr>
        <w:t>; Skaidras naudas norēķini</w:t>
      </w:r>
      <w:r w:rsidRPr="00E11AC0">
        <w:rPr>
          <w:lang w:eastAsia="en-GB"/>
        </w:rPr>
        <w:t xml:space="preserve">" </w:t>
      </w:r>
      <w:r>
        <w:rPr>
          <w:lang w:eastAsia="en-GB"/>
        </w:rPr>
        <w:t>(ailes kods</w:t>
      </w:r>
      <w:r w:rsidR="00D96DA1">
        <w:rPr>
          <w:lang w:eastAsia="en-GB"/>
        </w:rPr>
        <w:t> </w:t>
      </w:r>
      <w:r>
        <w:rPr>
          <w:lang w:eastAsia="en-GB"/>
        </w:rPr>
        <w:t xml:space="preserve">082) un ailē "Klientu kredīta apgrozījums, </w:t>
      </w:r>
      <w:r w:rsidRPr="00A3618D">
        <w:rPr>
          <w:i/>
          <w:iCs/>
          <w:lang w:eastAsia="en-GB"/>
        </w:rPr>
        <w:t>euro</w:t>
      </w:r>
      <w:r>
        <w:rPr>
          <w:lang w:eastAsia="en-GB"/>
        </w:rPr>
        <w:t>; Norēķini, kas veidojušies inkasāciju rezultātā</w:t>
      </w:r>
      <w:r w:rsidRPr="00E11AC0">
        <w:rPr>
          <w:lang w:eastAsia="en-GB"/>
        </w:rPr>
        <w:t xml:space="preserve">" </w:t>
      </w:r>
      <w:r>
        <w:rPr>
          <w:lang w:eastAsia="en-GB"/>
        </w:rPr>
        <w:t>(ailes kods</w:t>
      </w:r>
      <w:r w:rsidR="00D96DA1">
        <w:rPr>
          <w:lang w:eastAsia="en-GB"/>
        </w:rPr>
        <w:t> </w:t>
      </w:r>
      <w:r>
        <w:rPr>
          <w:lang w:eastAsia="en-GB"/>
        </w:rPr>
        <w:t xml:space="preserve">083) </w:t>
      </w:r>
      <w:r w:rsidR="00E11AC0" w:rsidRPr="00E11AC0">
        <w:rPr>
          <w:lang w:eastAsia="en-GB"/>
        </w:rPr>
        <w:t xml:space="preserve">norāda datus par kopējo faktisko </w:t>
      </w:r>
      <w:proofErr w:type="spellStart"/>
      <w:r w:rsidR="00CC65CB">
        <w:rPr>
          <w:lang w:eastAsia="en-GB"/>
        </w:rPr>
        <w:t>kriptoaktīvu</w:t>
      </w:r>
      <w:proofErr w:type="spellEnd"/>
      <w:r w:rsidR="00556064">
        <w:rPr>
          <w:lang w:eastAsia="en-GB"/>
        </w:rPr>
        <w:t xml:space="preserve"> pakalpojumu sniedzēju </w:t>
      </w:r>
      <w:r w:rsidR="00E11AC0" w:rsidRPr="00E11AC0">
        <w:rPr>
          <w:lang w:eastAsia="en-GB"/>
        </w:rPr>
        <w:t>klientu kredīta apgrozījumu</w:t>
      </w:r>
      <w:r w:rsidR="00CC65CB">
        <w:rPr>
          <w:lang w:eastAsia="en-GB"/>
        </w:rPr>
        <w:t xml:space="preserve"> </w:t>
      </w:r>
      <w:r w:rsidR="00D7160E">
        <w:rPr>
          <w:lang w:eastAsia="en-GB"/>
        </w:rPr>
        <w:t xml:space="preserve">attiecīgi </w:t>
      </w:r>
      <w:r w:rsidR="00CC65CB">
        <w:rPr>
          <w:lang w:eastAsia="en-GB"/>
        </w:rPr>
        <w:t>bezskaidras naudas</w:t>
      </w:r>
      <w:r>
        <w:rPr>
          <w:lang w:eastAsia="en-GB"/>
        </w:rPr>
        <w:t xml:space="preserve"> norēķinu</w:t>
      </w:r>
      <w:r w:rsidR="0089343B">
        <w:rPr>
          <w:lang w:eastAsia="en-GB"/>
        </w:rPr>
        <w:t xml:space="preserve">, </w:t>
      </w:r>
      <w:r w:rsidR="00CC65CB">
        <w:rPr>
          <w:lang w:eastAsia="en-GB"/>
        </w:rPr>
        <w:t>skaidras naudas norēķin</w:t>
      </w:r>
      <w:r>
        <w:rPr>
          <w:lang w:eastAsia="en-GB"/>
        </w:rPr>
        <w:t>u</w:t>
      </w:r>
      <w:r w:rsidR="0089343B">
        <w:rPr>
          <w:lang w:eastAsia="en-GB"/>
        </w:rPr>
        <w:t xml:space="preserve"> un norēķin</w:t>
      </w:r>
      <w:r>
        <w:rPr>
          <w:lang w:eastAsia="en-GB"/>
        </w:rPr>
        <w:t>u</w:t>
      </w:r>
      <w:r w:rsidR="0089343B">
        <w:rPr>
          <w:lang w:eastAsia="en-GB"/>
        </w:rPr>
        <w:t xml:space="preserve">, kas veidojušies inkasāciju rezultātā, </w:t>
      </w:r>
      <w:r w:rsidR="00D7160E">
        <w:rPr>
          <w:lang w:eastAsia="en-GB"/>
        </w:rPr>
        <w:t>veidā</w:t>
      </w:r>
      <w:r>
        <w:rPr>
          <w:lang w:eastAsia="en-GB"/>
        </w:rPr>
        <w:t xml:space="preserve">. Šajā apakšpunktā minēto </w:t>
      </w:r>
      <w:r w:rsidR="00E11AC0" w:rsidRPr="00E11AC0">
        <w:rPr>
          <w:lang w:eastAsia="en-GB"/>
        </w:rPr>
        <w:t xml:space="preserve">informāciju </w:t>
      </w:r>
      <w:r>
        <w:rPr>
          <w:lang w:eastAsia="en-GB"/>
        </w:rPr>
        <w:t xml:space="preserve">norāda dalījumā </w:t>
      </w:r>
      <w:r w:rsidR="00E11AC0" w:rsidRPr="00E11AC0">
        <w:rPr>
          <w:lang w:eastAsia="en-GB"/>
        </w:rPr>
        <w:t xml:space="preserve">pa klientu rezidences (reģistrācijas) </w:t>
      </w:r>
      <w:r w:rsidRPr="00E11AC0">
        <w:rPr>
          <w:lang w:eastAsia="en-GB"/>
        </w:rPr>
        <w:t>valstīm</w:t>
      </w:r>
      <w:r>
        <w:rPr>
          <w:lang w:eastAsia="en-GB"/>
        </w:rPr>
        <w:t> – Latvija, citas Eiropas Savienības dalībvalstis un pārējās valstis</w:t>
      </w:r>
      <w:r w:rsidRPr="00E11AC0">
        <w:rPr>
          <w:lang w:eastAsia="en-GB"/>
        </w:rPr>
        <w:t xml:space="preserve"> </w:t>
      </w:r>
      <w:r>
        <w:rPr>
          <w:lang w:eastAsia="en-GB"/>
        </w:rPr>
        <w:t>(</w:t>
      </w:r>
      <w:r w:rsidR="00E11AC0" w:rsidRPr="00E11AC0">
        <w:rPr>
          <w:lang w:eastAsia="en-GB"/>
        </w:rPr>
        <w:t>atbilstoši</w:t>
      </w:r>
      <w:r>
        <w:rPr>
          <w:lang w:eastAsia="en-GB"/>
        </w:rPr>
        <w:t>e</w:t>
      </w:r>
      <w:r w:rsidR="00E11AC0" w:rsidRPr="00E11AC0">
        <w:rPr>
          <w:lang w:eastAsia="en-GB"/>
        </w:rPr>
        <w:t xml:space="preserve"> rind</w:t>
      </w:r>
      <w:r>
        <w:rPr>
          <w:lang w:eastAsia="en-GB"/>
        </w:rPr>
        <w:t>u kodi</w:t>
      </w:r>
      <w:r w:rsidR="00D96DA1">
        <w:rPr>
          <w:lang w:eastAsia="en-GB"/>
        </w:rPr>
        <w:t> </w:t>
      </w:r>
      <w:r w:rsidR="005A4747" w:rsidRPr="00E11AC0">
        <w:rPr>
          <w:lang w:eastAsia="en-GB"/>
        </w:rPr>
        <w:t>1</w:t>
      </w:r>
      <w:r w:rsidR="005A4747">
        <w:rPr>
          <w:lang w:eastAsia="en-GB"/>
        </w:rPr>
        <w:t>5</w:t>
      </w:r>
      <w:r w:rsidR="005A4747" w:rsidRPr="00E11AC0">
        <w:rPr>
          <w:lang w:eastAsia="en-GB"/>
        </w:rPr>
        <w:t>1</w:t>
      </w:r>
      <w:r w:rsidR="00E11AC0" w:rsidRPr="00E11AC0">
        <w:rPr>
          <w:lang w:eastAsia="en-GB"/>
        </w:rPr>
        <w:t>–1</w:t>
      </w:r>
      <w:r w:rsidR="005A4747">
        <w:rPr>
          <w:lang w:eastAsia="en-GB"/>
        </w:rPr>
        <w:t>5</w:t>
      </w:r>
      <w:r w:rsidR="00E11AC0" w:rsidRPr="00E11AC0">
        <w:rPr>
          <w:lang w:eastAsia="en-GB"/>
        </w:rPr>
        <w:t>3</w:t>
      </w:r>
      <w:r>
        <w:rPr>
          <w:lang w:eastAsia="en-GB"/>
        </w:rPr>
        <w:t>)</w:t>
      </w:r>
      <w:r w:rsidR="00E11AC0" w:rsidRPr="00E11AC0">
        <w:rPr>
          <w:lang w:eastAsia="en-GB"/>
        </w:rPr>
        <w:t>.</w:t>
      </w:r>
    </w:p>
    <w:p w14:paraId="6847CC53" w14:textId="0A546F89" w:rsidR="00E11AC0" w:rsidRPr="0052058B" w:rsidRDefault="006F3F44" w:rsidP="0052058B">
      <w:pPr>
        <w:pStyle w:val="NAapaksnodala"/>
        <w:numPr>
          <w:ilvl w:val="0"/>
          <w:numId w:val="0"/>
        </w:numPr>
        <w:rPr>
          <w:bCs/>
        </w:rPr>
      </w:pPr>
      <w:bookmarkStart w:id="77" w:name="p2"/>
      <w:bookmarkStart w:id="78" w:name="p-1168033"/>
      <w:bookmarkEnd w:id="77"/>
      <w:bookmarkEnd w:id="78"/>
      <w:r>
        <w:rPr>
          <w:bCs/>
        </w:rPr>
        <w:t>4</w:t>
      </w:r>
      <w:r w:rsidR="0052058B" w:rsidRPr="0052058B">
        <w:rPr>
          <w:bCs/>
        </w:rPr>
        <w:t>.</w:t>
      </w:r>
      <w:r w:rsidR="00DB6F4D">
        <w:rPr>
          <w:bCs/>
        </w:rPr>
        <w:t>2</w:t>
      </w:r>
      <w:r w:rsidR="0052058B" w:rsidRPr="001A61CD">
        <w:rPr>
          <w:bCs/>
        </w:rPr>
        <w:t>.</w:t>
      </w:r>
      <w:r w:rsidR="001F322C">
        <w:rPr>
          <w:bCs/>
        </w:rPr>
        <w:t>3</w:t>
      </w:r>
      <w:r w:rsidR="00650596">
        <w:rPr>
          <w:bCs/>
        </w:rPr>
        <w:t>.</w:t>
      </w:r>
      <w:r w:rsidR="0052058B" w:rsidRPr="001A61CD">
        <w:rPr>
          <w:bCs/>
        </w:rPr>
        <w:t xml:space="preserve"> </w:t>
      </w:r>
      <w:r w:rsidR="008372A7">
        <w:rPr>
          <w:bCs/>
        </w:rPr>
        <w:t>P</w:t>
      </w:r>
      <w:r w:rsidR="00D94D58">
        <w:rPr>
          <w:bCs/>
        </w:rPr>
        <w:t>ārskata</w:t>
      </w:r>
      <w:r w:rsidR="00D94D58" w:rsidRPr="00D15C46">
        <w:rPr>
          <w:bCs/>
        </w:rPr>
        <w:t xml:space="preserve"> </w:t>
      </w:r>
      <w:r w:rsidR="008372A7">
        <w:rPr>
          <w:bCs/>
        </w:rPr>
        <w:t>2</w:t>
      </w:r>
      <w:r w:rsidR="005A4747">
        <w:rPr>
          <w:bCs/>
        </w:rPr>
        <w:t>.</w:t>
      </w:r>
      <w:r w:rsidR="003B0E03">
        <w:rPr>
          <w:bCs/>
        </w:rPr>
        <w:t> </w:t>
      </w:r>
      <w:r w:rsidR="005A4747">
        <w:rPr>
          <w:bCs/>
        </w:rPr>
        <w:t xml:space="preserve">daļas </w:t>
      </w:r>
      <w:r w:rsidR="0061303A">
        <w:rPr>
          <w:bCs/>
        </w:rPr>
        <w:t>sagatavošanas</w:t>
      </w:r>
      <w:r w:rsidR="0061303A" w:rsidRPr="00650596">
        <w:rPr>
          <w:bCs/>
        </w:rPr>
        <w:t xml:space="preserve"> </w:t>
      </w:r>
      <w:r w:rsidR="001A61CD" w:rsidRPr="00650596">
        <w:rPr>
          <w:bCs/>
        </w:rPr>
        <w:t>kārtība</w:t>
      </w:r>
    </w:p>
    <w:p w14:paraId="7AEA3732" w14:textId="3468F79B" w:rsidR="0061303A" w:rsidRDefault="00E11AC0" w:rsidP="006E185B">
      <w:pPr>
        <w:pStyle w:val="NApunkts1"/>
        <w:shd w:val="clear" w:color="auto" w:fill="FFFFFF"/>
        <w:tabs>
          <w:tab w:val="left" w:pos="284"/>
          <w:tab w:val="left" w:pos="426"/>
        </w:tabs>
        <w:ind w:left="0" w:firstLine="0"/>
        <w:rPr>
          <w:lang w:eastAsia="en-GB"/>
        </w:rPr>
      </w:pPr>
      <w:bookmarkStart w:id="79" w:name="p-1168034"/>
      <w:bookmarkEnd w:id="79"/>
      <w:r w:rsidRPr="00E11AC0">
        <w:rPr>
          <w:lang w:eastAsia="en-GB"/>
        </w:rPr>
        <w:t xml:space="preserve">Ja </w:t>
      </w:r>
      <w:r w:rsidRPr="00E11AC0">
        <w:t>kredītiestāde</w:t>
      </w:r>
      <w:r w:rsidRPr="00E11AC0">
        <w:rPr>
          <w:lang w:eastAsia="en-GB"/>
        </w:rPr>
        <w:t xml:space="preserve"> individuāli ir definējusi rādītājus, kas nav norādīti šo </w:t>
      </w:r>
      <w:r w:rsidRPr="00256028">
        <w:rPr>
          <w:lang w:eastAsia="en-GB"/>
        </w:rPr>
        <w:t>noteikumu</w:t>
      </w:r>
      <w:r w:rsidR="00835974">
        <w:rPr>
          <w:lang w:eastAsia="en-GB"/>
        </w:rPr>
        <w:t xml:space="preserve"> </w:t>
      </w:r>
      <w:hyperlink r:id="rId19" w:anchor="p10" w:history="1">
        <w:r w:rsidRPr="00256028">
          <w:rPr>
            <w:lang w:eastAsia="en-GB"/>
          </w:rPr>
          <w:t>1</w:t>
        </w:r>
        <w:r w:rsidR="00256028" w:rsidRPr="00A3618D">
          <w:rPr>
            <w:lang w:eastAsia="en-GB"/>
          </w:rPr>
          <w:t>7</w:t>
        </w:r>
        <w:r w:rsidRPr="00256028">
          <w:rPr>
            <w:lang w:eastAsia="en-GB"/>
          </w:rPr>
          <w:t>.</w:t>
        </w:r>
        <w:r w:rsidR="00DB6F4D" w:rsidRPr="00A3618D">
          <w:rPr>
            <w:lang w:eastAsia="en-GB"/>
          </w:rPr>
          <w:t> </w:t>
        </w:r>
        <w:r w:rsidRPr="00256028">
          <w:rPr>
            <w:lang w:eastAsia="en-GB"/>
          </w:rPr>
          <w:t>punktā</w:t>
        </w:r>
      </w:hyperlink>
      <w:r w:rsidRPr="00256028">
        <w:rPr>
          <w:lang w:eastAsia="en-GB"/>
        </w:rPr>
        <w:t>,</w:t>
      </w:r>
      <w:r w:rsidRPr="00E11AC0">
        <w:rPr>
          <w:lang w:eastAsia="en-GB"/>
        </w:rPr>
        <w:t xml:space="preserve"> tā</w:t>
      </w:r>
      <w:r w:rsidR="00BE5998">
        <w:rPr>
          <w:lang w:eastAsia="en-GB"/>
        </w:rPr>
        <w:t xml:space="preserve"> </w:t>
      </w:r>
      <w:r w:rsidR="008372A7">
        <w:rPr>
          <w:lang w:eastAsia="en-GB"/>
        </w:rPr>
        <w:t xml:space="preserve">sagatavo </w:t>
      </w:r>
      <w:r w:rsidR="00314B2B">
        <w:rPr>
          <w:lang w:eastAsia="en-GB"/>
        </w:rPr>
        <w:t>Pārskata 2.</w:t>
      </w:r>
      <w:r w:rsidR="00835974" w:rsidRPr="00435118">
        <w:t> </w:t>
      </w:r>
      <w:r w:rsidR="00314B2B">
        <w:rPr>
          <w:lang w:eastAsia="en-GB"/>
        </w:rPr>
        <w:t>daļu</w:t>
      </w:r>
      <w:r w:rsidR="008372A7">
        <w:rPr>
          <w:lang w:eastAsia="en-GB"/>
        </w:rPr>
        <w:t>,</w:t>
      </w:r>
      <w:r w:rsidRPr="00E11AC0">
        <w:rPr>
          <w:lang w:eastAsia="en-GB"/>
        </w:rPr>
        <w:t xml:space="preserve"> </w:t>
      </w:r>
      <w:r w:rsidR="0061303A">
        <w:rPr>
          <w:lang w:eastAsia="en-GB"/>
        </w:rPr>
        <w:t>ievērojot šādas prasības:</w:t>
      </w:r>
    </w:p>
    <w:p w14:paraId="2576774D" w14:textId="47936342" w:rsidR="00E11AC0" w:rsidRPr="00E11AC0" w:rsidRDefault="0061303A" w:rsidP="00E64F6F">
      <w:pPr>
        <w:pStyle w:val="NApunkts2"/>
        <w:rPr>
          <w:lang w:eastAsia="en-GB"/>
        </w:rPr>
      </w:pPr>
      <w:r>
        <w:rPr>
          <w:lang w:eastAsia="en-GB"/>
        </w:rPr>
        <w:t xml:space="preserve">kredītiestāde katru rādītāju norāda atsevišķā rindā, piešķirot tam </w:t>
      </w:r>
      <w:r w:rsidR="00E11AC0" w:rsidRPr="00E11AC0">
        <w:rPr>
          <w:lang w:eastAsia="en-GB"/>
        </w:rPr>
        <w:t xml:space="preserve">kārtas </w:t>
      </w:r>
      <w:r>
        <w:rPr>
          <w:lang w:eastAsia="en-GB"/>
        </w:rPr>
        <w:t>numuru, ko norāda ailē "Nr.</w:t>
      </w:r>
      <w:r w:rsidR="003B0E03">
        <w:rPr>
          <w:lang w:eastAsia="en-GB"/>
        </w:rPr>
        <w:t> </w:t>
      </w:r>
      <w:r>
        <w:rPr>
          <w:lang w:eastAsia="en-GB"/>
        </w:rPr>
        <w:t>p.</w:t>
      </w:r>
      <w:r w:rsidR="003B0E03">
        <w:rPr>
          <w:lang w:eastAsia="en-GB"/>
        </w:rPr>
        <w:t> </w:t>
      </w:r>
      <w:r>
        <w:rPr>
          <w:lang w:eastAsia="en-GB"/>
        </w:rPr>
        <w:t>k." (ailes kods</w:t>
      </w:r>
      <w:r w:rsidR="00D96DA1">
        <w:rPr>
          <w:lang w:eastAsia="en-GB"/>
        </w:rPr>
        <w:t> </w:t>
      </w:r>
      <w:r>
        <w:rPr>
          <w:lang w:eastAsia="en-GB"/>
        </w:rPr>
        <w:t>A);</w:t>
      </w:r>
    </w:p>
    <w:p w14:paraId="4CCB9512" w14:textId="7C958B04" w:rsidR="00E11AC0" w:rsidRPr="00E11AC0" w:rsidRDefault="0061303A" w:rsidP="006E185B">
      <w:pPr>
        <w:pStyle w:val="NApunkts2"/>
        <w:rPr>
          <w:lang w:eastAsia="en-GB"/>
        </w:rPr>
      </w:pPr>
      <w:r>
        <w:rPr>
          <w:lang w:eastAsia="en-GB"/>
        </w:rPr>
        <w:t xml:space="preserve">ailē </w:t>
      </w:r>
      <w:r w:rsidR="001A61CD" w:rsidRPr="00E11AC0">
        <w:rPr>
          <w:lang w:eastAsia="en-GB"/>
        </w:rPr>
        <w:t>"</w:t>
      </w:r>
      <w:r>
        <w:rPr>
          <w:lang w:eastAsia="en-GB"/>
        </w:rPr>
        <w:t xml:space="preserve">Rādītāja </w:t>
      </w:r>
      <w:r w:rsidR="001A61CD" w:rsidRPr="00E11AC0">
        <w:rPr>
          <w:lang w:eastAsia="en-GB"/>
        </w:rPr>
        <w:t>nosaukums/kritērijs"</w:t>
      </w:r>
      <w:r w:rsidR="001A61CD">
        <w:rPr>
          <w:lang w:eastAsia="en-GB"/>
        </w:rPr>
        <w:t xml:space="preserve"> </w:t>
      </w:r>
      <w:r>
        <w:rPr>
          <w:lang w:eastAsia="en-GB"/>
        </w:rPr>
        <w:t>(ailes kods</w:t>
      </w:r>
      <w:r w:rsidR="00D96DA1">
        <w:rPr>
          <w:lang w:eastAsia="en-GB"/>
        </w:rPr>
        <w:t> </w:t>
      </w:r>
      <w:r>
        <w:rPr>
          <w:lang w:eastAsia="en-GB"/>
        </w:rPr>
        <w:t xml:space="preserve">010) </w:t>
      </w:r>
      <w:r w:rsidR="00E11AC0" w:rsidRPr="00E11AC0">
        <w:rPr>
          <w:lang w:eastAsia="en-GB"/>
        </w:rPr>
        <w:t xml:space="preserve">norāda </w:t>
      </w:r>
      <w:r>
        <w:rPr>
          <w:lang w:eastAsia="en-GB"/>
        </w:rPr>
        <w:t xml:space="preserve">rādītāja </w:t>
      </w:r>
      <w:r w:rsidR="00E11AC0" w:rsidRPr="00E11AC0">
        <w:rPr>
          <w:lang w:eastAsia="en-GB"/>
        </w:rPr>
        <w:t>nosaukumu vai kritēriju</w:t>
      </w:r>
      <w:r w:rsidR="008372A7">
        <w:rPr>
          <w:lang w:eastAsia="en-GB"/>
        </w:rPr>
        <w:t>;</w:t>
      </w:r>
    </w:p>
    <w:p w14:paraId="3922B40C" w14:textId="6E4950AE" w:rsidR="00E11AC0" w:rsidRPr="00E11AC0" w:rsidRDefault="00CA4E87" w:rsidP="006E185B">
      <w:pPr>
        <w:pStyle w:val="NApunkts2"/>
        <w:rPr>
          <w:lang w:eastAsia="en-GB"/>
        </w:rPr>
      </w:pPr>
      <w:r>
        <w:rPr>
          <w:lang w:eastAsia="en-GB"/>
        </w:rPr>
        <w:t xml:space="preserve">ailē "Pārskata ceturkšņa beigās; </w:t>
      </w:r>
      <w:r w:rsidR="00AB7A0A">
        <w:rPr>
          <w:lang w:eastAsia="en-GB"/>
        </w:rPr>
        <w:t>S</w:t>
      </w:r>
      <w:r>
        <w:rPr>
          <w:lang w:eastAsia="en-GB"/>
        </w:rPr>
        <w:t>kaits" (ailes kods</w:t>
      </w:r>
      <w:r w:rsidR="00D96DA1">
        <w:rPr>
          <w:lang w:eastAsia="en-GB"/>
        </w:rPr>
        <w:t> </w:t>
      </w:r>
      <w:r w:rsidR="001A61CD" w:rsidRPr="00E11AC0">
        <w:rPr>
          <w:lang w:eastAsia="en-GB"/>
        </w:rPr>
        <w:t>020</w:t>
      </w:r>
      <w:r>
        <w:rPr>
          <w:lang w:eastAsia="en-GB"/>
        </w:rPr>
        <w:t>)</w:t>
      </w:r>
      <w:r w:rsidR="001A61CD" w:rsidRPr="00E11AC0">
        <w:rPr>
          <w:lang w:eastAsia="en-GB"/>
        </w:rPr>
        <w:t>,</w:t>
      </w:r>
      <w:r>
        <w:rPr>
          <w:lang w:eastAsia="en-GB"/>
        </w:rPr>
        <w:t xml:space="preserve"> ailē "Pārskata ceturkšņa beigās; </w:t>
      </w:r>
      <w:r w:rsidR="00AB7A0A">
        <w:rPr>
          <w:lang w:eastAsia="en-GB"/>
        </w:rPr>
        <w:t>A</w:t>
      </w:r>
      <w:r>
        <w:rPr>
          <w:lang w:eastAsia="en-GB"/>
        </w:rPr>
        <w:t>pmērs</w:t>
      </w:r>
      <w:r w:rsidR="003B0E03">
        <w:rPr>
          <w:lang w:eastAsia="en-GB"/>
        </w:rPr>
        <w:t>,</w:t>
      </w:r>
      <w:r>
        <w:rPr>
          <w:lang w:eastAsia="en-GB"/>
        </w:rPr>
        <w:t xml:space="preserve"> </w:t>
      </w:r>
      <w:r>
        <w:rPr>
          <w:i/>
          <w:iCs/>
          <w:lang w:eastAsia="en-GB"/>
        </w:rPr>
        <w:t>euro</w:t>
      </w:r>
      <w:r>
        <w:rPr>
          <w:lang w:eastAsia="en-GB"/>
        </w:rPr>
        <w:t>" (ailes kods</w:t>
      </w:r>
      <w:r w:rsidR="00D96DA1">
        <w:rPr>
          <w:lang w:eastAsia="en-GB"/>
        </w:rPr>
        <w:t> </w:t>
      </w:r>
      <w:r w:rsidRPr="00E11AC0">
        <w:rPr>
          <w:lang w:eastAsia="en-GB"/>
        </w:rPr>
        <w:t>0</w:t>
      </w:r>
      <w:r>
        <w:rPr>
          <w:lang w:eastAsia="en-GB"/>
        </w:rPr>
        <w:t>3</w:t>
      </w:r>
      <w:r w:rsidRPr="00E11AC0">
        <w:rPr>
          <w:lang w:eastAsia="en-GB"/>
        </w:rPr>
        <w:t>0</w:t>
      </w:r>
      <w:r>
        <w:rPr>
          <w:lang w:eastAsia="en-GB"/>
        </w:rPr>
        <w:t>)</w:t>
      </w:r>
      <w:r w:rsidR="001A61CD" w:rsidRPr="00E11AC0">
        <w:rPr>
          <w:lang w:eastAsia="en-GB"/>
        </w:rPr>
        <w:t xml:space="preserve"> un </w:t>
      </w:r>
      <w:r>
        <w:rPr>
          <w:lang w:eastAsia="en-GB"/>
        </w:rPr>
        <w:t xml:space="preserve">ailē "Pārskata ceturkšņa beigās; </w:t>
      </w:r>
      <w:r w:rsidR="00AB7A0A">
        <w:rPr>
          <w:lang w:eastAsia="en-GB"/>
        </w:rPr>
        <w:t>Ī</w:t>
      </w:r>
      <w:r>
        <w:rPr>
          <w:lang w:eastAsia="en-GB"/>
        </w:rPr>
        <w:t>patsvars</w:t>
      </w:r>
      <w:r w:rsidR="003B0E03">
        <w:rPr>
          <w:lang w:eastAsia="en-GB"/>
        </w:rPr>
        <w:t>,</w:t>
      </w:r>
      <w:r w:rsidR="00D96DA1">
        <w:rPr>
          <w:lang w:eastAsia="en-GB"/>
        </w:rPr>
        <w:t> </w:t>
      </w:r>
      <w:r>
        <w:rPr>
          <w:lang w:eastAsia="en-GB"/>
        </w:rPr>
        <w:t>%" (ailes kods</w:t>
      </w:r>
      <w:r w:rsidR="00D96DA1">
        <w:rPr>
          <w:lang w:eastAsia="en-GB"/>
        </w:rPr>
        <w:t> </w:t>
      </w:r>
      <w:r w:rsidR="001A61CD" w:rsidRPr="00E11AC0">
        <w:rPr>
          <w:lang w:eastAsia="en-GB"/>
        </w:rPr>
        <w:t>040</w:t>
      </w:r>
      <w:r>
        <w:rPr>
          <w:lang w:eastAsia="en-GB"/>
        </w:rPr>
        <w:t>)</w:t>
      </w:r>
      <w:r w:rsidR="001A61CD" w:rsidRPr="00E11AC0">
        <w:rPr>
          <w:lang w:eastAsia="en-GB"/>
        </w:rPr>
        <w:t xml:space="preserve"> </w:t>
      </w:r>
      <w:r w:rsidR="00E11AC0" w:rsidRPr="00E11AC0">
        <w:rPr>
          <w:lang w:eastAsia="en-GB"/>
        </w:rPr>
        <w:t xml:space="preserve">atkarībā no definētā </w:t>
      </w:r>
      <w:r>
        <w:rPr>
          <w:lang w:eastAsia="en-GB"/>
        </w:rPr>
        <w:t xml:space="preserve">rādītāja </w:t>
      </w:r>
      <w:r w:rsidR="00E11AC0" w:rsidRPr="00E11AC0">
        <w:rPr>
          <w:lang w:eastAsia="en-GB"/>
        </w:rPr>
        <w:t xml:space="preserve">nosaukuma vai kritērija norāda </w:t>
      </w:r>
      <w:r>
        <w:rPr>
          <w:lang w:eastAsia="en-GB"/>
        </w:rPr>
        <w:t xml:space="preserve">attiecīgi </w:t>
      </w:r>
      <w:r w:rsidR="00E11AC0" w:rsidRPr="00E11AC0">
        <w:rPr>
          <w:lang w:eastAsia="en-GB"/>
        </w:rPr>
        <w:t xml:space="preserve">skaitu, apmēru </w:t>
      </w:r>
      <w:r w:rsidR="008372A7">
        <w:rPr>
          <w:lang w:eastAsia="en-GB"/>
        </w:rPr>
        <w:t>naudas izteiksmē</w:t>
      </w:r>
      <w:r w:rsidR="00E11AC0" w:rsidRPr="00E11AC0">
        <w:rPr>
          <w:lang w:eastAsia="en-GB"/>
        </w:rPr>
        <w:t xml:space="preserve"> un procentuālo īpatsvaru pārskata ceturkšņa </w:t>
      </w:r>
      <w:r w:rsidR="00DB6F4D">
        <w:rPr>
          <w:lang w:eastAsia="en-GB"/>
        </w:rPr>
        <w:t xml:space="preserve">pēdējās dienas </w:t>
      </w:r>
      <w:r w:rsidR="00E11AC0" w:rsidRPr="00E11AC0">
        <w:rPr>
          <w:lang w:eastAsia="en-GB"/>
        </w:rPr>
        <w:t>beigās</w:t>
      </w:r>
      <w:r w:rsidR="008372A7">
        <w:rPr>
          <w:lang w:eastAsia="en-GB"/>
        </w:rPr>
        <w:t>;</w:t>
      </w:r>
    </w:p>
    <w:p w14:paraId="03620867" w14:textId="7B7A85CE" w:rsidR="00E11AC0" w:rsidRPr="00E11AC0" w:rsidRDefault="00CA4E87" w:rsidP="006E185B">
      <w:pPr>
        <w:pStyle w:val="NApunkts2"/>
        <w:rPr>
          <w:lang w:eastAsia="en-GB"/>
        </w:rPr>
      </w:pPr>
      <w:r>
        <w:rPr>
          <w:lang w:eastAsia="en-GB"/>
        </w:rPr>
        <w:t xml:space="preserve">ailē "Pārskata ceturksnī; </w:t>
      </w:r>
      <w:r w:rsidR="00AB7A0A">
        <w:rPr>
          <w:lang w:eastAsia="en-GB"/>
        </w:rPr>
        <w:t>A</w:t>
      </w:r>
      <w:r>
        <w:rPr>
          <w:lang w:eastAsia="en-GB"/>
        </w:rPr>
        <w:t>pmērs</w:t>
      </w:r>
      <w:r w:rsidR="003B0E03">
        <w:rPr>
          <w:lang w:eastAsia="en-GB"/>
        </w:rPr>
        <w:t>,</w:t>
      </w:r>
      <w:r>
        <w:rPr>
          <w:lang w:eastAsia="en-GB"/>
        </w:rPr>
        <w:t xml:space="preserve"> </w:t>
      </w:r>
      <w:r>
        <w:rPr>
          <w:i/>
          <w:iCs/>
          <w:lang w:eastAsia="en-GB"/>
        </w:rPr>
        <w:t>euro</w:t>
      </w:r>
      <w:r>
        <w:rPr>
          <w:lang w:eastAsia="en-GB"/>
        </w:rPr>
        <w:t>" (ailes kods</w:t>
      </w:r>
      <w:r w:rsidR="00D96DA1">
        <w:rPr>
          <w:lang w:eastAsia="en-GB"/>
        </w:rPr>
        <w:t> </w:t>
      </w:r>
      <w:r w:rsidRPr="00E11AC0">
        <w:rPr>
          <w:lang w:eastAsia="en-GB"/>
        </w:rPr>
        <w:t>0</w:t>
      </w:r>
      <w:r>
        <w:rPr>
          <w:lang w:eastAsia="en-GB"/>
        </w:rPr>
        <w:t>5</w:t>
      </w:r>
      <w:r w:rsidRPr="00E11AC0">
        <w:rPr>
          <w:lang w:eastAsia="en-GB"/>
        </w:rPr>
        <w:t>0</w:t>
      </w:r>
      <w:r>
        <w:rPr>
          <w:lang w:eastAsia="en-GB"/>
        </w:rPr>
        <w:t xml:space="preserve">) un ailē "Pārskata ceturksnī; </w:t>
      </w:r>
      <w:r w:rsidR="00AB7A0A">
        <w:rPr>
          <w:lang w:eastAsia="en-GB"/>
        </w:rPr>
        <w:t>Ī</w:t>
      </w:r>
      <w:r>
        <w:rPr>
          <w:lang w:eastAsia="en-GB"/>
        </w:rPr>
        <w:t>patsvars</w:t>
      </w:r>
      <w:r w:rsidR="003B0E03">
        <w:rPr>
          <w:lang w:eastAsia="en-GB"/>
        </w:rPr>
        <w:t>,</w:t>
      </w:r>
      <w:r w:rsidR="00D96DA1">
        <w:rPr>
          <w:lang w:eastAsia="en-GB"/>
        </w:rPr>
        <w:t> </w:t>
      </w:r>
      <w:r>
        <w:rPr>
          <w:lang w:eastAsia="en-GB"/>
        </w:rPr>
        <w:t>%" (ailes kods</w:t>
      </w:r>
      <w:r w:rsidR="00D96DA1">
        <w:rPr>
          <w:lang w:eastAsia="en-GB"/>
        </w:rPr>
        <w:t> </w:t>
      </w:r>
      <w:r w:rsidR="001A61CD" w:rsidRPr="00E11AC0">
        <w:rPr>
          <w:lang w:eastAsia="en-GB"/>
        </w:rPr>
        <w:t>060</w:t>
      </w:r>
      <w:r>
        <w:rPr>
          <w:lang w:eastAsia="en-GB"/>
        </w:rPr>
        <w:t>)</w:t>
      </w:r>
      <w:r w:rsidR="001A61CD" w:rsidRPr="00E11AC0">
        <w:rPr>
          <w:lang w:eastAsia="en-GB"/>
        </w:rPr>
        <w:t xml:space="preserve"> </w:t>
      </w:r>
      <w:r w:rsidR="00E11AC0" w:rsidRPr="00E11AC0">
        <w:rPr>
          <w:lang w:eastAsia="en-GB"/>
        </w:rPr>
        <w:t xml:space="preserve">atkarībā no definētā </w:t>
      </w:r>
      <w:r>
        <w:rPr>
          <w:lang w:eastAsia="en-GB"/>
        </w:rPr>
        <w:t xml:space="preserve">rādītāja </w:t>
      </w:r>
      <w:r w:rsidR="00E11AC0" w:rsidRPr="00E11AC0">
        <w:rPr>
          <w:lang w:eastAsia="en-GB"/>
        </w:rPr>
        <w:t xml:space="preserve">nosaukuma vai kritērija norāda </w:t>
      </w:r>
      <w:r>
        <w:rPr>
          <w:lang w:eastAsia="en-GB"/>
        </w:rPr>
        <w:t xml:space="preserve">attiecīgi </w:t>
      </w:r>
      <w:r w:rsidR="00E11AC0" w:rsidRPr="00E11AC0">
        <w:rPr>
          <w:lang w:eastAsia="en-GB"/>
        </w:rPr>
        <w:t xml:space="preserve">apmēru </w:t>
      </w:r>
      <w:r w:rsidR="008372A7">
        <w:rPr>
          <w:lang w:eastAsia="en-GB"/>
        </w:rPr>
        <w:t>naudas izteiksmē</w:t>
      </w:r>
      <w:r w:rsidR="00E11AC0" w:rsidRPr="00E11AC0">
        <w:rPr>
          <w:lang w:eastAsia="en-GB"/>
        </w:rPr>
        <w:t xml:space="preserve"> un procentuālo īpatsvaru pārskata ceturksnī</w:t>
      </w:r>
      <w:r w:rsidR="008372A7">
        <w:rPr>
          <w:lang w:eastAsia="en-GB"/>
        </w:rPr>
        <w:t>;</w:t>
      </w:r>
    </w:p>
    <w:p w14:paraId="62E91B4D" w14:textId="745D5987" w:rsidR="00E11AC0" w:rsidRDefault="00CA4E87" w:rsidP="006E185B">
      <w:pPr>
        <w:pStyle w:val="NApunkts2"/>
        <w:rPr>
          <w:lang w:eastAsia="en-GB"/>
        </w:rPr>
      </w:pPr>
      <w:r>
        <w:rPr>
          <w:lang w:eastAsia="en-GB"/>
        </w:rPr>
        <w:t>ailē "</w:t>
      </w:r>
      <w:r w:rsidRPr="00CA4E87">
        <w:rPr>
          <w:lang w:eastAsia="en-GB"/>
        </w:rPr>
        <w:t>Stratēģijā noteiktie robežlielumi</w:t>
      </w:r>
      <w:r>
        <w:rPr>
          <w:lang w:eastAsia="en-GB"/>
        </w:rPr>
        <w:t xml:space="preserve">; </w:t>
      </w:r>
      <w:r w:rsidR="00AB7A0A">
        <w:rPr>
          <w:lang w:eastAsia="en-GB"/>
        </w:rPr>
        <w:t>S</w:t>
      </w:r>
      <w:r>
        <w:rPr>
          <w:lang w:eastAsia="en-GB"/>
        </w:rPr>
        <w:t>kaits" (ailes kods</w:t>
      </w:r>
      <w:r w:rsidR="00D96DA1">
        <w:rPr>
          <w:lang w:eastAsia="en-GB"/>
        </w:rPr>
        <w:t> </w:t>
      </w:r>
      <w:r w:rsidRPr="00E11AC0">
        <w:rPr>
          <w:lang w:eastAsia="en-GB"/>
        </w:rPr>
        <w:t>0</w:t>
      </w:r>
      <w:r>
        <w:rPr>
          <w:lang w:eastAsia="en-GB"/>
        </w:rPr>
        <w:t>7</w:t>
      </w:r>
      <w:r w:rsidRPr="00E11AC0">
        <w:rPr>
          <w:lang w:eastAsia="en-GB"/>
        </w:rPr>
        <w:t>0</w:t>
      </w:r>
      <w:r>
        <w:rPr>
          <w:lang w:eastAsia="en-GB"/>
        </w:rPr>
        <w:t>)</w:t>
      </w:r>
      <w:r w:rsidRPr="00E11AC0">
        <w:rPr>
          <w:lang w:eastAsia="en-GB"/>
        </w:rPr>
        <w:t>,</w:t>
      </w:r>
      <w:r>
        <w:rPr>
          <w:lang w:eastAsia="en-GB"/>
        </w:rPr>
        <w:t xml:space="preserve"> ailē "</w:t>
      </w:r>
      <w:r w:rsidRPr="00CA4E87">
        <w:rPr>
          <w:lang w:eastAsia="en-GB"/>
        </w:rPr>
        <w:t>Stratēģijā noteiktie robežlielumi</w:t>
      </w:r>
      <w:r>
        <w:rPr>
          <w:lang w:eastAsia="en-GB"/>
        </w:rPr>
        <w:t xml:space="preserve">; </w:t>
      </w:r>
      <w:r w:rsidR="00AB7A0A">
        <w:rPr>
          <w:lang w:eastAsia="en-GB"/>
        </w:rPr>
        <w:t>A</w:t>
      </w:r>
      <w:r>
        <w:rPr>
          <w:lang w:eastAsia="en-GB"/>
        </w:rPr>
        <w:t>pmērs</w:t>
      </w:r>
      <w:r w:rsidR="003B0E03">
        <w:rPr>
          <w:lang w:eastAsia="en-GB"/>
        </w:rPr>
        <w:t>,</w:t>
      </w:r>
      <w:r>
        <w:rPr>
          <w:lang w:eastAsia="en-GB"/>
        </w:rPr>
        <w:t xml:space="preserve"> </w:t>
      </w:r>
      <w:r>
        <w:rPr>
          <w:i/>
          <w:iCs/>
          <w:lang w:eastAsia="en-GB"/>
        </w:rPr>
        <w:t>euro</w:t>
      </w:r>
      <w:r>
        <w:rPr>
          <w:lang w:eastAsia="en-GB"/>
        </w:rPr>
        <w:t>" (ailes kods</w:t>
      </w:r>
      <w:r w:rsidR="00D96DA1">
        <w:rPr>
          <w:lang w:eastAsia="en-GB"/>
        </w:rPr>
        <w:t> </w:t>
      </w:r>
      <w:r w:rsidRPr="00E11AC0">
        <w:rPr>
          <w:lang w:eastAsia="en-GB"/>
        </w:rPr>
        <w:t>0</w:t>
      </w:r>
      <w:r>
        <w:rPr>
          <w:lang w:eastAsia="en-GB"/>
        </w:rPr>
        <w:t>8</w:t>
      </w:r>
      <w:r w:rsidRPr="00E11AC0">
        <w:rPr>
          <w:lang w:eastAsia="en-GB"/>
        </w:rPr>
        <w:t>0</w:t>
      </w:r>
      <w:r>
        <w:rPr>
          <w:lang w:eastAsia="en-GB"/>
        </w:rPr>
        <w:t>)</w:t>
      </w:r>
      <w:r w:rsidRPr="00E11AC0">
        <w:rPr>
          <w:lang w:eastAsia="en-GB"/>
        </w:rPr>
        <w:t xml:space="preserve"> un </w:t>
      </w:r>
      <w:r>
        <w:rPr>
          <w:lang w:eastAsia="en-GB"/>
        </w:rPr>
        <w:t>ailē "</w:t>
      </w:r>
      <w:r w:rsidRPr="00CA4E87">
        <w:rPr>
          <w:lang w:eastAsia="en-GB"/>
        </w:rPr>
        <w:t>Stratēģijā noteiktie robežlielumi</w:t>
      </w:r>
      <w:r>
        <w:rPr>
          <w:lang w:eastAsia="en-GB"/>
        </w:rPr>
        <w:t xml:space="preserve">; </w:t>
      </w:r>
      <w:r w:rsidR="00AB7A0A">
        <w:rPr>
          <w:lang w:eastAsia="en-GB"/>
        </w:rPr>
        <w:t>Ī</w:t>
      </w:r>
      <w:r>
        <w:rPr>
          <w:lang w:eastAsia="en-GB"/>
        </w:rPr>
        <w:t>patsvars</w:t>
      </w:r>
      <w:r w:rsidR="003B0E03">
        <w:rPr>
          <w:lang w:eastAsia="en-GB"/>
        </w:rPr>
        <w:t>,</w:t>
      </w:r>
      <w:r w:rsidR="00D96DA1">
        <w:rPr>
          <w:lang w:eastAsia="en-GB"/>
        </w:rPr>
        <w:t> </w:t>
      </w:r>
      <w:r>
        <w:rPr>
          <w:lang w:eastAsia="en-GB"/>
        </w:rPr>
        <w:t>%" (ailes kods</w:t>
      </w:r>
      <w:r w:rsidR="00D96DA1">
        <w:rPr>
          <w:lang w:eastAsia="en-GB"/>
        </w:rPr>
        <w:t> </w:t>
      </w:r>
      <w:r w:rsidRPr="00E11AC0">
        <w:rPr>
          <w:lang w:eastAsia="en-GB"/>
        </w:rPr>
        <w:t>0</w:t>
      </w:r>
      <w:r>
        <w:rPr>
          <w:lang w:eastAsia="en-GB"/>
        </w:rPr>
        <w:t>9</w:t>
      </w:r>
      <w:r w:rsidRPr="00E11AC0">
        <w:rPr>
          <w:lang w:eastAsia="en-GB"/>
        </w:rPr>
        <w:t>0</w:t>
      </w:r>
      <w:r>
        <w:rPr>
          <w:lang w:eastAsia="en-GB"/>
        </w:rPr>
        <w:t>)</w:t>
      </w:r>
      <w:r w:rsidRPr="00E11AC0">
        <w:rPr>
          <w:lang w:eastAsia="en-GB"/>
        </w:rPr>
        <w:t xml:space="preserve"> </w:t>
      </w:r>
      <w:r w:rsidR="00E11AC0" w:rsidRPr="00E11AC0">
        <w:rPr>
          <w:lang w:eastAsia="en-GB"/>
        </w:rPr>
        <w:t xml:space="preserve">norāda kredītiestādes NILLTPF riska pārvaldīšanas stratēģijā individuāli noteiktās maksimālās pieļaujamās robežvērtības atkarībā no definētā </w:t>
      </w:r>
      <w:r>
        <w:rPr>
          <w:lang w:eastAsia="en-GB"/>
        </w:rPr>
        <w:t>rādītāja</w:t>
      </w:r>
      <w:r w:rsidRPr="00E11AC0">
        <w:rPr>
          <w:lang w:eastAsia="en-GB"/>
        </w:rPr>
        <w:t xml:space="preserve"> </w:t>
      </w:r>
      <w:r w:rsidR="00E11AC0" w:rsidRPr="00E11AC0">
        <w:rPr>
          <w:lang w:eastAsia="en-GB"/>
        </w:rPr>
        <w:t>nosaukuma vai kritērija, t</w:t>
      </w:r>
      <w:r w:rsidR="007A68CE">
        <w:rPr>
          <w:lang w:eastAsia="en-GB"/>
        </w:rPr>
        <w:t>as</w:t>
      </w:r>
      <w:r w:rsidR="00861600" w:rsidRPr="00435118">
        <w:t> </w:t>
      </w:r>
      <w:r w:rsidR="00E11AC0" w:rsidRPr="00E11AC0">
        <w:rPr>
          <w:lang w:eastAsia="en-GB"/>
        </w:rPr>
        <w:t>i</w:t>
      </w:r>
      <w:r w:rsidR="007A68CE">
        <w:rPr>
          <w:lang w:eastAsia="en-GB"/>
        </w:rPr>
        <w:t>r</w:t>
      </w:r>
      <w:r w:rsidR="00E11AC0" w:rsidRPr="00E11AC0">
        <w:rPr>
          <w:lang w:eastAsia="en-GB"/>
        </w:rPr>
        <w:t xml:space="preserve">, to skaitu, apmēru </w:t>
      </w:r>
      <w:r w:rsidR="008372A7">
        <w:rPr>
          <w:lang w:eastAsia="en-GB"/>
        </w:rPr>
        <w:t>naudas izteiksmē</w:t>
      </w:r>
      <w:r w:rsidR="00E11AC0" w:rsidRPr="00E11AC0">
        <w:rPr>
          <w:lang w:eastAsia="en-GB"/>
        </w:rPr>
        <w:t xml:space="preserve"> un procentuālo </w:t>
      </w:r>
      <w:r w:rsidR="00E11AC0" w:rsidRPr="00256028">
        <w:rPr>
          <w:lang w:eastAsia="en-GB"/>
        </w:rPr>
        <w:t>īpatsvaru</w:t>
      </w:r>
      <w:r w:rsidR="00203300" w:rsidRPr="00256028">
        <w:rPr>
          <w:lang w:eastAsia="en-GB"/>
        </w:rPr>
        <w:t xml:space="preserve"> pārskata </w:t>
      </w:r>
      <w:r w:rsidR="00B86158" w:rsidRPr="00184230">
        <w:rPr>
          <w:lang w:eastAsia="en-GB"/>
        </w:rPr>
        <w:t xml:space="preserve">ceturksnī </w:t>
      </w:r>
      <w:r w:rsidR="00C01DA2" w:rsidRPr="00184230">
        <w:rPr>
          <w:lang w:eastAsia="en-GB"/>
        </w:rPr>
        <w:t>vai</w:t>
      </w:r>
      <w:r w:rsidR="00C01DA2">
        <w:rPr>
          <w:lang w:eastAsia="en-GB"/>
        </w:rPr>
        <w:t xml:space="preserve"> pārskata </w:t>
      </w:r>
      <w:r w:rsidR="002C5C1D">
        <w:rPr>
          <w:lang w:eastAsia="en-GB"/>
        </w:rPr>
        <w:t>ceturkšņa</w:t>
      </w:r>
      <w:r w:rsidR="00C01DA2">
        <w:rPr>
          <w:lang w:eastAsia="en-GB"/>
        </w:rPr>
        <w:t xml:space="preserve"> pēdējās dienas beigā</w:t>
      </w:r>
      <w:r w:rsidR="002C5C1D">
        <w:rPr>
          <w:lang w:eastAsia="en-GB"/>
        </w:rPr>
        <w:t>s</w:t>
      </w:r>
      <w:r w:rsidR="008372A7" w:rsidRPr="00256028">
        <w:rPr>
          <w:lang w:eastAsia="en-GB"/>
        </w:rPr>
        <w:t>.</w:t>
      </w:r>
    </w:p>
    <w:p w14:paraId="36631E50" w14:textId="662DDB1D" w:rsidR="0052058B" w:rsidRPr="005C3D74" w:rsidRDefault="006F3F44" w:rsidP="005C3D74">
      <w:pPr>
        <w:pStyle w:val="NAapaksnodala"/>
        <w:numPr>
          <w:ilvl w:val="0"/>
          <w:numId w:val="0"/>
        </w:numPr>
        <w:rPr>
          <w:bCs/>
        </w:rPr>
      </w:pPr>
      <w:r>
        <w:rPr>
          <w:bCs/>
        </w:rPr>
        <w:t>4</w:t>
      </w:r>
      <w:r w:rsidR="0052058B" w:rsidRPr="005C3D74">
        <w:rPr>
          <w:bCs/>
        </w:rPr>
        <w:t>.</w:t>
      </w:r>
      <w:r w:rsidR="00DB6F4D">
        <w:rPr>
          <w:bCs/>
        </w:rPr>
        <w:t>2</w:t>
      </w:r>
      <w:r w:rsidR="00650596">
        <w:rPr>
          <w:bCs/>
        </w:rPr>
        <w:t>.</w:t>
      </w:r>
      <w:r w:rsidR="001F322C">
        <w:rPr>
          <w:bCs/>
        </w:rPr>
        <w:t>4</w:t>
      </w:r>
      <w:r w:rsidR="00650596">
        <w:rPr>
          <w:bCs/>
        </w:rPr>
        <w:t>.</w:t>
      </w:r>
      <w:r w:rsidR="0052058B" w:rsidRPr="005C3D74">
        <w:rPr>
          <w:bCs/>
        </w:rPr>
        <w:t xml:space="preserve"> </w:t>
      </w:r>
      <w:r w:rsidR="009F5FC8">
        <w:rPr>
          <w:bCs/>
        </w:rPr>
        <w:t>P</w:t>
      </w:r>
      <w:r w:rsidR="00D94D58">
        <w:rPr>
          <w:bCs/>
        </w:rPr>
        <w:t>ārskata</w:t>
      </w:r>
      <w:r w:rsidR="00314B2B">
        <w:rPr>
          <w:bCs/>
        </w:rPr>
        <w:t xml:space="preserve"> 3.</w:t>
      </w:r>
      <w:r w:rsidR="003B0E03">
        <w:rPr>
          <w:bCs/>
        </w:rPr>
        <w:t> </w:t>
      </w:r>
      <w:r w:rsidR="00314B2B">
        <w:rPr>
          <w:bCs/>
        </w:rPr>
        <w:t xml:space="preserve">daļas </w:t>
      </w:r>
      <w:r w:rsidR="0061303A">
        <w:rPr>
          <w:bCs/>
        </w:rPr>
        <w:t>sagatavošanas</w:t>
      </w:r>
      <w:r w:rsidR="0061303A">
        <w:t xml:space="preserve"> </w:t>
      </w:r>
      <w:r w:rsidR="00650596">
        <w:t>kārtība</w:t>
      </w:r>
    </w:p>
    <w:p w14:paraId="289AF0DE" w14:textId="33CE3E14" w:rsidR="004A1A81" w:rsidRDefault="00E11AC0" w:rsidP="006E185B">
      <w:pPr>
        <w:pStyle w:val="NApunkts1"/>
        <w:shd w:val="clear" w:color="auto" w:fill="FFFFFF"/>
        <w:tabs>
          <w:tab w:val="left" w:pos="284"/>
          <w:tab w:val="left" w:pos="426"/>
        </w:tabs>
        <w:ind w:left="0" w:firstLine="0"/>
        <w:rPr>
          <w:lang w:eastAsia="en-GB"/>
        </w:rPr>
      </w:pPr>
      <w:bookmarkStart w:id="80" w:name="p3"/>
      <w:bookmarkStart w:id="81" w:name="p-1168035"/>
      <w:bookmarkStart w:id="82" w:name="p-1168036"/>
      <w:bookmarkEnd w:id="80"/>
      <w:bookmarkEnd w:id="81"/>
      <w:bookmarkEnd w:id="82"/>
      <w:r w:rsidRPr="00E11AC0">
        <w:t>Kredītiestāde</w:t>
      </w:r>
      <w:r w:rsidRPr="00E11AC0">
        <w:rPr>
          <w:lang w:eastAsia="en-GB"/>
        </w:rPr>
        <w:t xml:space="preserve"> </w:t>
      </w:r>
      <w:r w:rsidR="00F52FF1">
        <w:rPr>
          <w:lang w:eastAsia="en-GB"/>
        </w:rPr>
        <w:t xml:space="preserve">sagatavo </w:t>
      </w:r>
      <w:r w:rsidR="00314B2B">
        <w:rPr>
          <w:lang w:eastAsia="en-GB"/>
        </w:rPr>
        <w:t>Pārskata 3.</w:t>
      </w:r>
      <w:r w:rsidR="003B0E03">
        <w:rPr>
          <w:lang w:eastAsia="en-GB"/>
        </w:rPr>
        <w:t> </w:t>
      </w:r>
      <w:r w:rsidR="00314B2B">
        <w:rPr>
          <w:lang w:eastAsia="en-GB"/>
        </w:rPr>
        <w:t>daļ</w:t>
      </w:r>
      <w:r w:rsidR="00F52FF1">
        <w:rPr>
          <w:lang w:eastAsia="en-GB"/>
        </w:rPr>
        <w:t>u, kurā</w:t>
      </w:r>
      <w:r w:rsidR="004A1A81">
        <w:rPr>
          <w:lang w:eastAsia="en-GB"/>
        </w:rPr>
        <w:t xml:space="preserve"> </w:t>
      </w:r>
      <w:r w:rsidRPr="00E11AC0">
        <w:rPr>
          <w:lang w:eastAsia="en-GB"/>
        </w:rPr>
        <w:t>norād</w:t>
      </w:r>
      <w:r w:rsidR="004A1A81">
        <w:rPr>
          <w:lang w:eastAsia="en-GB"/>
        </w:rPr>
        <w:t>a</w:t>
      </w:r>
      <w:r w:rsidRPr="00E11AC0">
        <w:rPr>
          <w:lang w:eastAsia="en-GB"/>
        </w:rPr>
        <w:t xml:space="preserve"> faktiskos rādītājus par pārskata </w:t>
      </w:r>
      <w:r w:rsidR="0004103F">
        <w:rPr>
          <w:lang w:eastAsia="en-GB"/>
        </w:rPr>
        <w:t>ceturksni</w:t>
      </w:r>
      <w:r w:rsidR="0004103F" w:rsidRPr="00E11AC0">
        <w:rPr>
          <w:lang w:eastAsia="en-GB"/>
        </w:rPr>
        <w:t xml:space="preserve"> </w:t>
      </w:r>
      <w:r w:rsidRPr="00AB7A0A">
        <w:rPr>
          <w:lang w:eastAsia="en-GB"/>
        </w:rPr>
        <w:t xml:space="preserve">attiecībā uz katras </w:t>
      </w:r>
      <w:r w:rsidR="00A65CD5" w:rsidRPr="00AB7A0A">
        <w:rPr>
          <w:lang w:eastAsia="en-GB"/>
        </w:rPr>
        <w:t>korespondentbankas</w:t>
      </w:r>
      <w:r w:rsidRPr="00AB7A0A">
        <w:rPr>
          <w:lang w:eastAsia="en-GB"/>
        </w:rPr>
        <w:t>, kurā kredītiestādei atvērts nostro konts (</w:t>
      </w:r>
      <w:r w:rsidR="00A65CD5" w:rsidRPr="00AB7A0A">
        <w:rPr>
          <w:lang w:eastAsia="en-GB"/>
        </w:rPr>
        <w:t>korespondentkonts</w:t>
      </w:r>
      <w:r w:rsidRPr="00AB7A0A">
        <w:rPr>
          <w:lang w:eastAsia="en-GB"/>
        </w:rPr>
        <w:t>), un starpniekbank</w:t>
      </w:r>
      <w:r w:rsidR="007A68CE" w:rsidRPr="00AB7A0A">
        <w:rPr>
          <w:lang w:eastAsia="en-GB"/>
        </w:rPr>
        <w:t>as</w:t>
      </w:r>
      <w:r w:rsidRPr="00AB7A0A">
        <w:rPr>
          <w:lang w:eastAsia="en-GB"/>
        </w:rPr>
        <w:t xml:space="preserve"> iesniegto pieprasījumu, kas attiecas uz </w:t>
      </w:r>
      <w:r w:rsidR="005E2085" w:rsidRPr="00AB7A0A">
        <w:rPr>
          <w:lang w:eastAsia="en-GB"/>
        </w:rPr>
        <w:t>noziedzīgi iegūtu līdzekļu legalizācijas un</w:t>
      </w:r>
      <w:r w:rsidR="005E2085" w:rsidRPr="00D051BC">
        <w:rPr>
          <w:lang w:eastAsia="en-GB"/>
        </w:rPr>
        <w:t xml:space="preserve"> terorisma un proliferācijas finansēšanas</w:t>
      </w:r>
      <w:r w:rsidR="005E2085">
        <w:rPr>
          <w:lang w:eastAsia="en-GB"/>
        </w:rPr>
        <w:t xml:space="preserve"> </w:t>
      </w:r>
      <w:r w:rsidRPr="00E11AC0">
        <w:rPr>
          <w:lang w:eastAsia="en-GB"/>
        </w:rPr>
        <w:t>novēršanas un sankciju jomu, skaitu un pieprasījumu ietvaros minēto darījumu apmēru</w:t>
      </w:r>
      <w:r w:rsidR="003A2C80">
        <w:rPr>
          <w:lang w:eastAsia="en-GB"/>
        </w:rPr>
        <w:t xml:space="preserve"> naudas izteiksmē</w:t>
      </w:r>
      <w:r w:rsidR="004A1A81">
        <w:rPr>
          <w:lang w:eastAsia="en-GB"/>
        </w:rPr>
        <w:t>. Kredītiestāde sagatavo Pārskata 3.</w:t>
      </w:r>
      <w:r w:rsidR="003B0E03">
        <w:rPr>
          <w:lang w:eastAsia="en-GB"/>
        </w:rPr>
        <w:t> </w:t>
      </w:r>
      <w:r w:rsidR="004A1A81">
        <w:rPr>
          <w:lang w:eastAsia="en-GB"/>
        </w:rPr>
        <w:t>daļu, ievērojot šādas prasības:</w:t>
      </w:r>
    </w:p>
    <w:p w14:paraId="7BF0C1BA" w14:textId="7D4D1A03" w:rsidR="00E11AC0" w:rsidRPr="00E11AC0" w:rsidRDefault="00E11AC0" w:rsidP="00E64F6F">
      <w:pPr>
        <w:pStyle w:val="NApunkts2"/>
        <w:rPr>
          <w:lang w:eastAsia="en-GB"/>
        </w:rPr>
      </w:pPr>
      <w:r w:rsidRPr="00E11AC0">
        <w:rPr>
          <w:lang w:eastAsia="en-GB"/>
        </w:rPr>
        <w:t xml:space="preserve"> </w:t>
      </w:r>
      <w:r w:rsidR="004A1A81">
        <w:rPr>
          <w:lang w:eastAsia="en-GB"/>
        </w:rPr>
        <w:t xml:space="preserve">kredītiestāde katru rādītāju norāda atsevišķā rindā, piešķirot tam </w:t>
      </w:r>
      <w:r w:rsidR="004A1A81" w:rsidRPr="00E11AC0">
        <w:rPr>
          <w:lang w:eastAsia="en-GB"/>
        </w:rPr>
        <w:t xml:space="preserve">kārtas </w:t>
      </w:r>
      <w:r w:rsidR="004A1A81">
        <w:rPr>
          <w:lang w:eastAsia="en-GB"/>
        </w:rPr>
        <w:t>numuru, ko norāda ailē "Nr.</w:t>
      </w:r>
      <w:r w:rsidR="003B0E03">
        <w:rPr>
          <w:lang w:eastAsia="en-GB"/>
        </w:rPr>
        <w:t> </w:t>
      </w:r>
      <w:r w:rsidR="004A1A81">
        <w:rPr>
          <w:lang w:eastAsia="en-GB"/>
        </w:rPr>
        <w:t>p.</w:t>
      </w:r>
      <w:r w:rsidR="003B0E03">
        <w:rPr>
          <w:lang w:eastAsia="en-GB"/>
        </w:rPr>
        <w:t> </w:t>
      </w:r>
      <w:r w:rsidR="004A1A81">
        <w:rPr>
          <w:lang w:eastAsia="en-GB"/>
        </w:rPr>
        <w:t>k." (ailes kods</w:t>
      </w:r>
      <w:r w:rsidR="00D96DA1">
        <w:rPr>
          <w:lang w:eastAsia="en-GB"/>
        </w:rPr>
        <w:t> </w:t>
      </w:r>
      <w:r w:rsidR="004A1A81">
        <w:rPr>
          <w:lang w:eastAsia="en-GB"/>
        </w:rPr>
        <w:t>A);</w:t>
      </w:r>
    </w:p>
    <w:p w14:paraId="5E44F67A" w14:textId="005F31EC" w:rsidR="00E11AC0" w:rsidRPr="00E11AC0" w:rsidRDefault="004A1A81" w:rsidP="006E185B">
      <w:pPr>
        <w:pStyle w:val="NApunkts2"/>
        <w:rPr>
          <w:lang w:eastAsia="en-GB"/>
        </w:rPr>
      </w:pPr>
      <w:r>
        <w:rPr>
          <w:lang w:eastAsia="en-GB"/>
        </w:rPr>
        <w:t>ailē</w:t>
      </w:r>
      <w:r w:rsidR="003D136C" w:rsidRPr="00E11AC0">
        <w:rPr>
          <w:lang w:eastAsia="en-GB"/>
        </w:rPr>
        <w:t xml:space="preserve"> "Korespondenta (respondenta) BIC</w:t>
      </w:r>
      <w:r w:rsidR="00D96DA1">
        <w:rPr>
          <w:lang w:eastAsia="en-GB"/>
        </w:rPr>
        <w:t> </w:t>
      </w:r>
      <w:r w:rsidR="003D136C" w:rsidRPr="00E11AC0">
        <w:rPr>
          <w:lang w:eastAsia="en-GB"/>
        </w:rPr>
        <w:t>kods"</w:t>
      </w:r>
      <w:r w:rsidR="00BE5998">
        <w:rPr>
          <w:lang w:eastAsia="en-GB"/>
        </w:rPr>
        <w:t xml:space="preserve"> </w:t>
      </w:r>
      <w:r>
        <w:rPr>
          <w:lang w:eastAsia="en-GB"/>
        </w:rPr>
        <w:t>(ailes kods</w:t>
      </w:r>
      <w:r w:rsidR="00D96DA1">
        <w:rPr>
          <w:lang w:eastAsia="en-GB"/>
        </w:rPr>
        <w:t> </w:t>
      </w:r>
      <w:r>
        <w:rPr>
          <w:lang w:eastAsia="en-GB"/>
        </w:rPr>
        <w:t xml:space="preserve">010) kredītiestāde </w:t>
      </w:r>
      <w:r w:rsidR="003D136C">
        <w:rPr>
          <w:lang w:eastAsia="en-GB"/>
        </w:rPr>
        <w:t xml:space="preserve">norāda </w:t>
      </w:r>
      <w:r w:rsidR="00E11AC0" w:rsidRPr="00E11AC0">
        <w:rPr>
          <w:lang w:eastAsia="en-GB"/>
        </w:rPr>
        <w:t>attiecīgā korespondenta</w:t>
      </w:r>
      <w:r w:rsidR="003D136C">
        <w:rPr>
          <w:lang w:eastAsia="en-GB"/>
        </w:rPr>
        <w:t xml:space="preserve"> astoņu vai 11</w:t>
      </w:r>
      <w:r w:rsidR="003B0E03">
        <w:rPr>
          <w:lang w:eastAsia="en-GB"/>
        </w:rPr>
        <w:t> </w:t>
      </w:r>
      <w:r w:rsidR="003D136C">
        <w:rPr>
          <w:lang w:eastAsia="en-GB"/>
        </w:rPr>
        <w:t xml:space="preserve">simbolu </w:t>
      </w:r>
      <w:r>
        <w:rPr>
          <w:lang w:eastAsia="en-GB"/>
        </w:rPr>
        <w:t>BIC</w:t>
      </w:r>
      <w:r w:rsidR="003B0E03">
        <w:rPr>
          <w:lang w:eastAsia="en-GB"/>
        </w:rPr>
        <w:t> </w:t>
      </w:r>
      <w:r w:rsidR="00E11AC0" w:rsidRPr="00E11AC0">
        <w:rPr>
          <w:lang w:eastAsia="en-GB"/>
        </w:rPr>
        <w:t xml:space="preserve">kodu </w:t>
      </w:r>
      <w:r w:rsidR="003D136C" w:rsidRPr="003D136C">
        <w:rPr>
          <w:lang w:eastAsia="en-GB"/>
        </w:rPr>
        <w:t xml:space="preserve">saskaņā ar starptautisko </w:t>
      </w:r>
      <w:r w:rsidR="003D136C" w:rsidRPr="00AB7A0A">
        <w:rPr>
          <w:lang w:eastAsia="en-GB"/>
        </w:rPr>
        <w:t>standartu ISO 9362</w:t>
      </w:r>
      <w:r w:rsidR="003D136C" w:rsidRPr="003D136C">
        <w:rPr>
          <w:lang w:eastAsia="en-GB"/>
        </w:rPr>
        <w:t xml:space="preserve"> (</w:t>
      </w:r>
      <w:r w:rsidR="003D136C" w:rsidRPr="00AB7A0A">
        <w:rPr>
          <w:lang w:eastAsia="en-GB"/>
        </w:rPr>
        <w:t>izmanto jaunāko aktuālo standartu</w:t>
      </w:r>
      <w:r w:rsidR="003D136C" w:rsidRPr="003D136C">
        <w:rPr>
          <w:lang w:eastAsia="en-GB"/>
        </w:rPr>
        <w:t>)</w:t>
      </w:r>
      <w:r w:rsidR="00E11AC0" w:rsidRPr="00E11AC0">
        <w:rPr>
          <w:lang w:eastAsia="en-GB"/>
        </w:rPr>
        <w:t>;</w:t>
      </w:r>
    </w:p>
    <w:p w14:paraId="16B0948B" w14:textId="5987871E" w:rsidR="00E11AC0" w:rsidRPr="00E11AC0" w:rsidRDefault="004A1A81" w:rsidP="006E185B">
      <w:pPr>
        <w:pStyle w:val="NApunkts2"/>
        <w:rPr>
          <w:lang w:eastAsia="en-GB"/>
        </w:rPr>
      </w:pPr>
      <w:r>
        <w:rPr>
          <w:lang w:eastAsia="en-GB"/>
        </w:rPr>
        <w:t>ailē</w:t>
      </w:r>
      <w:r w:rsidR="003D136C" w:rsidRPr="00E11AC0">
        <w:rPr>
          <w:lang w:eastAsia="en-GB"/>
        </w:rPr>
        <w:t xml:space="preserve"> "Pieprasījumu skaits</w:t>
      </w:r>
      <w:r w:rsidR="00B641E4" w:rsidRPr="00E11AC0">
        <w:rPr>
          <w:lang w:eastAsia="en-GB"/>
        </w:rPr>
        <w:t>"</w:t>
      </w:r>
      <w:r w:rsidR="00BE5998">
        <w:rPr>
          <w:lang w:eastAsia="en-GB"/>
        </w:rPr>
        <w:t xml:space="preserve"> </w:t>
      </w:r>
      <w:r>
        <w:rPr>
          <w:lang w:eastAsia="en-GB"/>
        </w:rPr>
        <w:t>(ailes kods</w:t>
      </w:r>
      <w:r w:rsidR="00D96DA1">
        <w:rPr>
          <w:lang w:eastAsia="en-GB"/>
        </w:rPr>
        <w:t> </w:t>
      </w:r>
      <w:r>
        <w:rPr>
          <w:lang w:eastAsia="en-GB"/>
        </w:rPr>
        <w:t xml:space="preserve">020) </w:t>
      </w:r>
      <w:r w:rsidR="003D136C">
        <w:rPr>
          <w:lang w:eastAsia="en-GB"/>
        </w:rPr>
        <w:t>norāda</w:t>
      </w:r>
      <w:r w:rsidR="00BE5998">
        <w:rPr>
          <w:lang w:eastAsia="en-GB"/>
        </w:rPr>
        <w:t xml:space="preserve"> </w:t>
      </w:r>
      <w:r w:rsidR="00E11AC0" w:rsidRPr="00E11AC0">
        <w:rPr>
          <w:lang w:eastAsia="en-GB"/>
        </w:rPr>
        <w:t>no korespondenta pārskata ceturksnī saņemto pieprasījumu skaitu;</w:t>
      </w:r>
    </w:p>
    <w:p w14:paraId="012FC999" w14:textId="6F8A88CF" w:rsidR="005E2085" w:rsidRPr="00E11AC0" w:rsidRDefault="004A1A81" w:rsidP="006E185B">
      <w:pPr>
        <w:pStyle w:val="NApunkts2"/>
        <w:rPr>
          <w:lang w:eastAsia="en-GB"/>
        </w:rPr>
      </w:pPr>
      <w:r>
        <w:rPr>
          <w:lang w:eastAsia="en-GB"/>
        </w:rPr>
        <w:t xml:space="preserve">ailē </w:t>
      </w:r>
      <w:r w:rsidR="003D136C" w:rsidRPr="00E11AC0">
        <w:rPr>
          <w:lang w:eastAsia="en-GB"/>
        </w:rPr>
        <w:t>"Apmērs,</w:t>
      </w:r>
      <w:r w:rsidR="003B0E03">
        <w:rPr>
          <w:lang w:eastAsia="en-GB"/>
        </w:rPr>
        <w:t xml:space="preserve"> </w:t>
      </w:r>
      <w:r w:rsidR="003D136C" w:rsidRPr="00A3618D">
        <w:rPr>
          <w:i/>
          <w:iCs/>
          <w:lang w:eastAsia="en-GB"/>
        </w:rPr>
        <w:t>euro</w:t>
      </w:r>
      <w:r w:rsidR="003D136C" w:rsidRPr="00E11AC0">
        <w:rPr>
          <w:lang w:eastAsia="en-GB"/>
        </w:rPr>
        <w:t>"</w:t>
      </w:r>
      <w:r w:rsidR="003D136C">
        <w:rPr>
          <w:lang w:eastAsia="en-GB"/>
        </w:rPr>
        <w:t xml:space="preserve"> </w:t>
      </w:r>
      <w:r>
        <w:rPr>
          <w:lang w:eastAsia="en-GB"/>
        </w:rPr>
        <w:t>(ailes kods</w:t>
      </w:r>
      <w:r w:rsidR="00D96DA1">
        <w:rPr>
          <w:lang w:eastAsia="en-GB"/>
        </w:rPr>
        <w:t> </w:t>
      </w:r>
      <w:r>
        <w:rPr>
          <w:lang w:eastAsia="en-GB"/>
        </w:rPr>
        <w:t xml:space="preserve">030) </w:t>
      </w:r>
      <w:r w:rsidR="003D136C">
        <w:rPr>
          <w:lang w:eastAsia="en-GB"/>
        </w:rPr>
        <w:t>norāda</w:t>
      </w:r>
      <w:r w:rsidR="00A65CD5">
        <w:rPr>
          <w:lang w:eastAsia="en-GB"/>
        </w:rPr>
        <w:t xml:space="preserve"> </w:t>
      </w:r>
      <w:r w:rsidR="00E11AC0" w:rsidRPr="00E11AC0">
        <w:rPr>
          <w:lang w:eastAsia="en-GB"/>
        </w:rPr>
        <w:t>pieprasījumu ietvaros minēt</w:t>
      </w:r>
      <w:r w:rsidR="003A2C80">
        <w:rPr>
          <w:lang w:eastAsia="en-GB"/>
        </w:rPr>
        <w:t>o</w:t>
      </w:r>
      <w:r w:rsidR="00E11AC0" w:rsidRPr="00E11AC0">
        <w:rPr>
          <w:lang w:eastAsia="en-GB"/>
        </w:rPr>
        <w:t xml:space="preserve"> darījum</w:t>
      </w:r>
      <w:r w:rsidR="003A2C80">
        <w:rPr>
          <w:lang w:eastAsia="en-GB"/>
        </w:rPr>
        <w:t>u</w:t>
      </w:r>
      <w:r w:rsidR="003A2C80" w:rsidRPr="003A2C80">
        <w:rPr>
          <w:lang w:eastAsia="en-GB"/>
        </w:rPr>
        <w:t xml:space="preserve"> </w:t>
      </w:r>
      <w:r w:rsidR="003A2C80" w:rsidRPr="00E11AC0">
        <w:rPr>
          <w:lang w:eastAsia="en-GB"/>
        </w:rPr>
        <w:t xml:space="preserve">apmēru </w:t>
      </w:r>
      <w:r w:rsidR="003A2C80">
        <w:rPr>
          <w:lang w:eastAsia="en-GB"/>
        </w:rPr>
        <w:t>naudas izteiksmē</w:t>
      </w:r>
      <w:r w:rsidR="005E2085">
        <w:rPr>
          <w:lang w:eastAsia="en-GB"/>
        </w:rPr>
        <w:t>.</w:t>
      </w:r>
    </w:p>
    <w:p w14:paraId="5F325BAD" w14:textId="525B98E4" w:rsidR="0052058B" w:rsidRPr="00681AAF" w:rsidRDefault="006F3F44" w:rsidP="00E64F6F">
      <w:pPr>
        <w:pStyle w:val="NAapaksnodala"/>
        <w:keepNext/>
        <w:numPr>
          <w:ilvl w:val="0"/>
          <w:numId w:val="0"/>
        </w:numPr>
        <w:rPr>
          <w:bCs/>
        </w:rPr>
      </w:pPr>
      <w:bookmarkStart w:id="83" w:name="p-1168037"/>
      <w:bookmarkEnd w:id="83"/>
      <w:r>
        <w:rPr>
          <w:bCs/>
        </w:rPr>
        <w:lastRenderedPageBreak/>
        <w:t>4</w:t>
      </w:r>
      <w:r w:rsidR="0052058B" w:rsidRPr="005C3D74">
        <w:rPr>
          <w:bCs/>
        </w:rPr>
        <w:t>.</w:t>
      </w:r>
      <w:r w:rsidR="00DB6F4D">
        <w:rPr>
          <w:bCs/>
        </w:rPr>
        <w:t>2</w:t>
      </w:r>
      <w:r w:rsidR="00A65CD5">
        <w:rPr>
          <w:bCs/>
        </w:rPr>
        <w:t>.</w:t>
      </w:r>
      <w:r w:rsidR="001F322C">
        <w:rPr>
          <w:bCs/>
        </w:rPr>
        <w:t>5</w:t>
      </w:r>
      <w:r w:rsidR="00A65CD5">
        <w:rPr>
          <w:bCs/>
        </w:rPr>
        <w:t>.</w:t>
      </w:r>
      <w:r w:rsidR="0052058B" w:rsidRPr="00681AAF">
        <w:rPr>
          <w:bCs/>
        </w:rPr>
        <w:t xml:space="preserve"> </w:t>
      </w:r>
      <w:r w:rsidR="005E2085">
        <w:rPr>
          <w:bCs/>
        </w:rPr>
        <w:t>P</w:t>
      </w:r>
      <w:r w:rsidR="00D94D58">
        <w:rPr>
          <w:bCs/>
        </w:rPr>
        <w:t>ārskata</w:t>
      </w:r>
      <w:r w:rsidR="00314B2B">
        <w:rPr>
          <w:bCs/>
        </w:rPr>
        <w:t xml:space="preserve"> 4.</w:t>
      </w:r>
      <w:r w:rsidR="003B0E03">
        <w:rPr>
          <w:bCs/>
        </w:rPr>
        <w:t> </w:t>
      </w:r>
      <w:r w:rsidR="00314B2B">
        <w:rPr>
          <w:bCs/>
        </w:rPr>
        <w:t>daļas</w:t>
      </w:r>
      <w:r w:rsidR="00A65CD5">
        <w:rPr>
          <w:bCs/>
        </w:rPr>
        <w:t xml:space="preserve"> </w:t>
      </w:r>
      <w:r w:rsidR="0061303A">
        <w:rPr>
          <w:bCs/>
        </w:rPr>
        <w:t xml:space="preserve">sagatavošanas </w:t>
      </w:r>
      <w:r w:rsidR="00A65CD5">
        <w:rPr>
          <w:bCs/>
        </w:rPr>
        <w:t>kārtība</w:t>
      </w:r>
    </w:p>
    <w:p w14:paraId="7545CC54" w14:textId="4AA946C3" w:rsidR="009D1A9E" w:rsidRDefault="00E11AC0" w:rsidP="006E185B">
      <w:pPr>
        <w:pStyle w:val="NApunkts1"/>
        <w:shd w:val="clear" w:color="auto" w:fill="FFFFFF"/>
        <w:tabs>
          <w:tab w:val="left" w:pos="284"/>
          <w:tab w:val="left" w:pos="426"/>
        </w:tabs>
        <w:ind w:left="0" w:firstLine="0"/>
        <w:rPr>
          <w:lang w:eastAsia="en-GB"/>
        </w:rPr>
      </w:pPr>
      <w:bookmarkStart w:id="84" w:name="p-1168038"/>
      <w:bookmarkStart w:id="85" w:name="p-1168039"/>
      <w:bookmarkEnd w:id="84"/>
      <w:bookmarkEnd w:id="85"/>
      <w:r w:rsidRPr="00E11AC0">
        <w:t>Kredītiestāde</w:t>
      </w:r>
      <w:r w:rsidR="00634976">
        <w:rPr>
          <w:lang w:eastAsia="en-GB"/>
        </w:rPr>
        <w:t xml:space="preserve"> </w:t>
      </w:r>
      <w:r w:rsidR="00634976" w:rsidRPr="00AB7A0A">
        <w:rPr>
          <w:lang w:eastAsia="en-GB"/>
        </w:rPr>
        <w:t xml:space="preserve">un </w:t>
      </w:r>
      <w:r w:rsidR="00D81EF9" w:rsidRPr="00AB7A0A">
        <w:rPr>
          <w:lang w:eastAsia="en-GB"/>
        </w:rPr>
        <w:t xml:space="preserve">citas </w:t>
      </w:r>
      <w:r w:rsidR="00634976" w:rsidRPr="00AB7A0A">
        <w:rPr>
          <w:lang w:eastAsia="en-GB"/>
        </w:rPr>
        <w:t>dalībvalsts</w:t>
      </w:r>
      <w:r w:rsidR="00634976" w:rsidRPr="00E11AC0">
        <w:rPr>
          <w:lang w:eastAsia="en-GB"/>
        </w:rPr>
        <w:t xml:space="preserve"> vai trešās valsts kredītiestādes filiāle Latvijas Republikā</w:t>
      </w:r>
      <w:r w:rsidRPr="00E11AC0">
        <w:rPr>
          <w:lang w:eastAsia="en-GB"/>
        </w:rPr>
        <w:t xml:space="preserve"> </w:t>
      </w:r>
      <w:r w:rsidR="005E2085">
        <w:rPr>
          <w:lang w:eastAsia="en-GB"/>
        </w:rPr>
        <w:t xml:space="preserve">sagatavo </w:t>
      </w:r>
      <w:r w:rsidR="00314B2B">
        <w:rPr>
          <w:lang w:eastAsia="en-GB"/>
        </w:rPr>
        <w:t>Pārskata 4.</w:t>
      </w:r>
      <w:r w:rsidR="00835974" w:rsidRPr="00435118">
        <w:t> </w:t>
      </w:r>
      <w:r w:rsidR="00314B2B">
        <w:rPr>
          <w:lang w:eastAsia="en-GB"/>
        </w:rPr>
        <w:t>daļu</w:t>
      </w:r>
      <w:r w:rsidR="005E2085">
        <w:rPr>
          <w:lang w:eastAsia="en-GB"/>
        </w:rPr>
        <w:t>,</w:t>
      </w:r>
      <w:r w:rsidR="00314B2B">
        <w:rPr>
          <w:lang w:eastAsia="en-GB"/>
        </w:rPr>
        <w:t xml:space="preserve"> </w:t>
      </w:r>
      <w:r w:rsidRPr="00E11AC0">
        <w:rPr>
          <w:lang w:eastAsia="en-GB"/>
        </w:rPr>
        <w:t xml:space="preserve">kurā norāda visu </w:t>
      </w:r>
      <w:r w:rsidR="00634976">
        <w:rPr>
          <w:lang w:eastAsia="en-GB"/>
        </w:rPr>
        <w:t>tās</w:t>
      </w:r>
      <w:r w:rsidR="00634976" w:rsidRPr="00E11AC0">
        <w:rPr>
          <w:lang w:eastAsia="en-GB"/>
        </w:rPr>
        <w:t xml:space="preserve"> </w:t>
      </w:r>
      <w:r w:rsidRPr="00E11AC0">
        <w:rPr>
          <w:lang w:eastAsia="en-GB"/>
        </w:rPr>
        <w:t xml:space="preserve">klientu, augsta riska klientu, </w:t>
      </w:r>
      <w:r w:rsidR="003A2C80">
        <w:rPr>
          <w:lang w:eastAsia="en-GB"/>
        </w:rPr>
        <w:t xml:space="preserve">klientu, kas pakļauti </w:t>
      </w:r>
      <w:r w:rsidRPr="00E11AC0">
        <w:rPr>
          <w:lang w:eastAsia="en-GB"/>
        </w:rPr>
        <w:t>padziļināt</w:t>
      </w:r>
      <w:r w:rsidR="003A2C80">
        <w:rPr>
          <w:lang w:eastAsia="en-GB"/>
        </w:rPr>
        <w:t>ai</w:t>
      </w:r>
      <w:r w:rsidRPr="00E11AC0">
        <w:rPr>
          <w:lang w:eastAsia="en-GB"/>
        </w:rPr>
        <w:t xml:space="preserve"> izpēte</w:t>
      </w:r>
      <w:r w:rsidR="003A2C80">
        <w:rPr>
          <w:lang w:eastAsia="en-GB"/>
        </w:rPr>
        <w:t>i</w:t>
      </w:r>
      <w:r w:rsidRPr="00E11AC0">
        <w:rPr>
          <w:lang w:eastAsia="en-GB"/>
        </w:rPr>
        <w:t>, klient</w:t>
      </w:r>
      <w:r w:rsidR="003A2C80">
        <w:rPr>
          <w:lang w:eastAsia="en-GB"/>
        </w:rPr>
        <w:t>u</w:t>
      </w:r>
      <w:r w:rsidR="00B24772">
        <w:rPr>
          <w:lang w:eastAsia="en-GB"/>
        </w:rPr>
        <w:t>, kas ir</w:t>
      </w:r>
      <w:r w:rsidRPr="00E11AC0">
        <w:rPr>
          <w:lang w:eastAsia="en-GB"/>
        </w:rPr>
        <w:t xml:space="preserve"> čaulas veidojum</w:t>
      </w:r>
      <w:r w:rsidR="00B24772">
        <w:rPr>
          <w:lang w:eastAsia="en-GB"/>
        </w:rPr>
        <w:t>i</w:t>
      </w:r>
      <w:r w:rsidRPr="00E11AC0">
        <w:rPr>
          <w:lang w:eastAsia="en-GB"/>
        </w:rPr>
        <w:t>, klientu</w:t>
      </w:r>
      <w:r w:rsidR="00255B68">
        <w:rPr>
          <w:lang w:eastAsia="en-GB"/>
        </w:rPr>
        <w:t>, kas ir</w:t>
      </w:r>
      <w:r w:rsidR="00BE5998">
        <w:rPr>
          <w:lang w:eastAsia="en-GB"/>
        </w:rPr>
        <w:t xml:space="preserve"> </w:t>
      </w:r>
      <w:r w:rsidRPr="00E11AC0">
        <w:rPr>
          <w:lang w:eastAsia="en-GB"/>
        </w:rPr>
        <w:t xml:space="preserve">politiski </w:t>
      </w:r>
      <w:r w:rsidR="00ED13D2" w:rsidRPr="00E11AC0">
        <w:rPr>
          <w:lang w:eastAsia="en-GB"/>
        </w:rPr>
        <w:t>nozīmīg</w:t>
      </w:r>
      <w:r w:rsidR="00ED13D2">
        <w:rPr>
          <w:lang w:eastAsia="en-GB"/>
        </w:rPr>
        <w:t>a</w:t>
      </w:r>
      <w:r w:rsidR="00F52FF1">
        <w:rPr>
          <w:lang w:eastAsia="en-GB"/>
        </w:rPr>
        <w:t>s</w:t>
      </w:r>
      <w:r w:rsidR="00ED13D2" w:rsidRPr="00E11AC0">
        <w:rPr>
          <w:lang w:eastAsia="en-GB"/>
        </w:rPr>
        <w:t xml:space="preserve"> person</w:t>
      </w:r>
      <w:r w:rsidR="00ED13D2">
        <w:rPr>
          <w:lang w:eastAsia="en-GB"/>
        </w:rPr>
        <w:t>a</w:t>
      </w:r>
      <w:r w:rsidR="00F0564B">
        <w:rPr>
          <w:lang w:eastAsia="en-GB"/>
        </w:rPr>
        <w:t>s</w:t>
      </w:r>
      <w:r w:rsidR="00255B68">
        <w:rPr>
          <w:lang w:eastAsia="en-GB"/>
        </w:rPr>
        <w:t>, klientu, kas ir ar politiski nozīmīgu personu cieši saistīta</w:t>
      </w:r>
      <w:r w:rsidR="00F0564B">
        <w:rPr>
          <w:lang w:eastAsia="en-GB"/>
        </w:rPr>
        <w:t>s</w:t>
      </w:r>
      <w:r w:rsidR="00255B68">
        <w:rPr>
          <w:lang w:eastAsia="en-GB"/>
        </w:rPr>
        <w:t xml:space="preserve"> persona</w:t>
      </w:r>
      <w:r w:rsidR="00F0564B">
        <w:rPr>
          <w:lang w:eastAsia="en-GB"/>
        </w:rPr>
        <w:t>s</w:t>
      </w:r>
      <w:r w:rsidR="00255B68">
        <w:rPr>
          <w:lang w:eastAsia="en-GB"/>
        </w:rPr>
        <w:t xml:space="preserve"> vai t</w:t>
      </w:r>
      <w:r w:rsidR="00F0564B">
        <w:rPr>
          <w:lang w:eastAsia="en-GB"/>
        </w:rPr>
        <w:t>o</w:t>
      </w:r>
      <w:r w:rsidR="00255B68">
        <w:rPr>
          <w:lang w:eastAsia="en-GB"/>
        </w:rPr>
        <w:t xml:space="preserve"> ģimenes locek</w:t>
      </w:r>
      <w:r w:rsidR="00F0564B">
        <w:rPr>
          <w:lang w:eastAsia="en-GB"/>
        </w:rPr>
        <w:t>ļi,</w:t>
      </w:r>
      <w:r w:rsidR="003B0E03">
        <w:rPr>
          <w:lang w:eastAsia="en-GB"/>
        </w:rPr>
        <w:t xml:space="preserve"> </w:t>
      </w:r>
      <w:r w:rsidRPr="00E11AC0">
        <w:rPr>
          <w:lang w:eastAsia="en-GB"/>
        </w:rPr>
        <w:t xml:space="preserve">un klientu pēc </w:t>
      </w:r>
      <w:r w:rsidR="00A65CD5">
        <w:rPr>
          <w:lang w:eastAsia="en-GB"/>
        </w:rPr>
        <w:t>klienta patiesā labuma guvēja</w:t>
      </w:r>
      <w:r w:rsidR="00A65CD5" w:rsidRPr="00E11AC0">
        <w:rPr>
          <w:lang w:eastAsia="en-GB"/>
        </w:rPr>
        <w:t xml:space="preserve"> </w:t>
      </w:r>
      <w:r w:rsidR="001A3412">
        <w:rPr>
          <w:lang w:eastAsia="en-GB"/>
        </w:rPr>
        <w:t xml:space="preserve">rezidences </w:t>
      </w:r>
      <w:r w:rsidRPr="00E11AC0">
        <w:rPr>
          <w:lang w:eastAsia="en-GB"/>
        </w:rPr>
        <w:t>valsts darījumu raksturojumu pa valstīm</w:t>
      </w:r>
      <w:r w:rsidR="009D1A9E">
        <w:rPr>
          <w:lang w:eastAsia="en-GB"/>
        </w:rPr>
        <w:t xml:space="preserve">. </w:t>
      </w:r>
      <w:r w:rsidR="009D1A9E" w:rsidRPr="00E11AC0">
        <w:t>Kredītiestāde</w:t>
      </w:r>
      <w:r w:rsidR="009D1A9E">
        <w:rPr>
          <w:lang w:eastAsia="en-GB"/>
        </w:rPr>
        <w:t xml:space="preserve"> un</w:t>
      </w:r>
      <w:r w:rsidR="00D81EF9">
        <w:rPr>
          <w:lang w:eastAsia="en-GB"/>
        </w:rPr>
        <w:t xml:space="preserve"> citas</w:t>
      </w:r>
      <w:r w:rsidR="009D1A9E">
        <w:rPr>
          <w:lang w:eastAsia="en-GB"/>
        </w:rPr>
        <w:t xml:space="preserve"> d</w:t>
      </w:r>
      <w:r w:rsidR="009D1A9E" w:rsidRPr="00E11AC0">
        <w:rPr>
          <w:lang w:eastAsia="en-GB"/>
        </w:rPr>
        <w:t xml:space="preserve">alībvalsts vai trešās valsts kredītiestādes filiāle Latvijas Republikā </w:t>
      </w:r>
      <w:r w:rsidR="009D1A9E">
        <w:rPr>
          <w:lang w:eastAsia="en-GB"/>
        </w:rPr>
        <w:t>sagatavo Pārskata 4.</w:t>
      </w:r>
      <w:r w:rsidR="003B0E03">
        <w:rPr>
          <w:lang w:eastAsia="en-GB"/>
        </w:rPr>
        <w:t> </w:t>
      </w:r>
      <w:r w:rsidR="009D1A9E">
        <w:rPr>
          <w:lang w:eastAsia="en-GB"/>
        </w:rPr>
        <w:t>daļu, ievērojot šādas prasības:</w:t>
      </w:r>
    </w:p>
    <w:p w14:paraId="3EF3CE22" w14:textId="0B4F5243" w:rsidR="009D1A9E" w:rsidRPr="00E11AC0" w:rsidRDefault="009D1A9E" w:rsidP="009D1A9E">
      <w:pPr>
        <w:pStyle w:val="NApunkts2"/>
        <w:rPr>
          <w:lang w:eastAsia="en-GB"/>
        </w:rPr>
      </w:pPr>
      <w:r>
        <w:rPr>
          <w:lang w:eastAsia="en-GB"/>
        </w:rPr>
        <w:t>katru klienta kategorijas vērtību norāda atsevišķā rindā, piešķirot ta</w:t>
      </w:r>
      <w:r w:rsidR="00B24772">
        <w:rPr>
          <w:lang w:eastAsia="en-GB"/>
        </w:rPr>
        <w:t>i</w:t>
      </w:r>
      <w:r>
        <w:rPr>
          <w:lang w:eastAsia="en-GB"/>
        </w:rPr>
        <w:t xml:space="preserve"> </w:t>
      </w:r>
      <w:r w:rsidRPr="00E11AC0">
        <w:rPr>
          <w:lang w:eastAsia="en-GB"/>
        </w:rPr>
        <w:t xml:space="preserve">kārtas </w:t>
      </w:r>
      <w:r>
        <w:rPr>
          <w:lang w:eastAsia="en-GB"/>
        </w:rPr>
        <w:t>numuru, ko norāda ailē "Nr.</w:t>
      </w:r>
      <w:r w:rsidR="003B0E03">
        <w:rPr>
          <w:lang w:eastAsia="en-GB"/>
        </w:rPr>
        <w:t> </w:t>
      </w:r>
      <w:r>
        <w:rPr>
          <w:lang w:eastAsia="en-GB"/>
        </w:rPr>
        <w:t>p.</w:t>
      </w:r>
      <w:r w:rsidR="003B0E03">
        <w:rPr>
          <w:lang w:eastAsia="en-GB"/>
        </w:rPr>
        <w:t> </w:t>
      </w:r>
      <w:r>
        <w:rPr>
          <w:lang w:eastAsia="en-GB"/>
        </w:rPr>
        <w:t>k." (ailes kods</w:t>
      </w:r>
      <w:r w:rsidR="00D96DA1">
        <w:rPr>
          <w:lang w:eastAsia="en-GB"/>
        </w:rPr>
        <w:t> </w:t>
      </w:r>
      <w:r>
        <w:rPr>
          <w:lang w:eastAsia="en-GB"/>
        </w:rPr>
        <w:t>A);</w:t>
      </w:r>
    </w:p>
    <w:p w14:paraId="6E65CD83" w14:textId="4D69FA02" w:rsidR="00E11AC0" w:rsidRPr="00E11AC0" w:rsidRDefault="009D1A9E" w:rsidP="006E185B">
      <w:pPr>
        <w:pStyle w:val="NApunkts2"/>
        <w:rPr>
          <w:lang w:eastAsia="en-GB"/>
        </w:rPr>
      </w:pPr>
      <w:r>
        <w:rPr>
          <w:lang w:eastAsia="en-GB"/>
        </w:rPr>
        <w:t>ailē</w:t>
      </w:r>
      <w:r w:rsidR="00E11AC0" w:rsidRPr="00E11AC0">
        <w:rPr>
          <w:lang w:eastAsia="en-GB"/>
        </w:rPr>
        <w:t xml:space="preserve"> "Klient</w:t>
      </w:r>
      <w:r w:rsidR="00766A33">
        <w:rPr>
          <w:lang w:eastAsia="en-GB"/>
        </w:rPr>
        <w:t>u</w:t>
      </w:r>
      <w:r w:rsidR="00E11AC0" w:rsidRPr="00E11AC0">
        <w:rPr>
          <w:lang w:eastAsia="en-GB"/>
        </w:rPr>
        <w:t xml:space="preserve"> kategorija" </w:t>
      </w:r>
      <w:r>
        <w:rPr>
          <w:lang w:eastAsia="en-GB"/>
        </w:rPr>
        <w:t>(ailes kods</w:t>
      </w:r>
      <w:r w:rsidR="00D96DA1">
        <w:rPr>
          <w:lang w:eastAsia="en-GB"/>
        </w:rPr>
        <w:t> </w:t>
      </w:r>
      <w:r>
        <w:rPr>
          <w:lang w:eastAsia="en-GB"/>
        </w:rPr>
        <w:t xml:space="preserve">010) </w:t>
      </w:r>
      <w:r w:rsidR="00E11AC0" w:rsidRPr="00E11AC0">
        <w:rPr>
          <w:lang w:eastAsia="en-GB"/>
        </w:rPr>
        <w:t>norāda attiecīgo klient</w:t>
      </w:r>
      <w:r w:rsidR="00766A33">
        <w:rPr>
          <w:lang w:eastAsia="en-GB"/>
        </w:rPr>
        <w:t>u</w:t>
      </w:r>
      <w:r w:rsidR="00E11AC0" w:rsidRPr="00E11AC0">
        <w:rPr>
          <w:lang w:eastAsia="en-GB"/>
        </w:rPr>
        <w:t xml:space="preserve"> kategorij</w:t>
      </w:r>
      <w:r>
        <w:rPr>
          <w:lang w:eastAsia="en-GB"/>
        </w:rPr>
        <w:t>as vērtību</w:t>
      </w:r>
      <w:r w:rsidR="00E11AC0" w:rsidRPr="00E11AC0">
        <w:rPr>
          <w:lang w:eastAsia="en-GB"/>
        </w:rPr>
        <w:t>:</w:t>
      </w:r>
    </w:p>
    <w:p w14:paraId="528A0643" w14:textId="47EC7129" w:rsidR="00E11AC0" w:rsidRPr="00E11AC0" w:rsidRDefault="00B24772" w:rsidP="006E185B">
      <w:pPr>
        <w:pStyle w:val="NApunkts3"/>
        <w:rPr>
          <w:lang w:eastAsia="en-GB"/>
        </w:rPr>
      </w:pPr>
      <w:r>
        <w:rPr>
          <w:lang w:eastAsia="en-GB"/>
        </w:rPr>
        <w:t xml:space="preserve">vērtību </w:t>
      </w:r>
      <w:r w:rsidR="00E11AC0" w:rsidRPr="00E11AC0">
        <w:rPr>
          <w:lang w:eastAsia="en-GB"/>
        </w:rPr>
        <w:t>"Visi klienti"</w:t>
      </w:r>
      <w:r w:rsidR="003B0E03">
        <w:rPr>
          <w:lang w:eastAsia="en-GB"/>
        </w:rPr>
        <w:t> </w:t>
      </w:r>
      <w:r w:rsidR="00E11AC0" w:rsidRPr="00E11AC0">
        <w:rPr>
          <w:lang w:eastAsia="en-GB"/>
        </w:rPr>
        <w:t xml:space="preserve">– par visiem klientiem atbilstoši </w:t>
      </w:r>
      <w:r w:rsidR="00E11AC0" w:rsidRPr="00256028">
        <w:rPr>
          <w:lang w:eastAsia="en-GB"/>
        </w:rPr>
        <w:t xml:space="preserve">šo noteikumu </w:t>
      </w:r>
      <w:r w:rsidR="00256028" w:rsidRPr="00A3618D">
        <w:rPr>
          <w:lang w:eastAsia="en-GB"/>
        </w:rPr>
        <w:t>2</w:t>
      </w:r>
      <w:r w:rsidR="00E11AC0" w:rsidRPr="00256028">
        <w:rPr>
          <w:lang w:eastAsia="en-GB"/>
        </w:rPr>
        <w:t>.4.</w:t>
      </w:r>
      <w:r w:rsidR="00DB6F4D" w:rsidRPr="00A3618D">
        <w:rPr>
          <w:lang w:eastAsia="en-GB"/>
        </w:rPr>
        <w:t> </w:t>
      </w:r>
      <w:r w:rsidR="00E11AC0" w:rsidRPr="00256028">
        <w:rPr>
          <w:lang w:eastAsia="en-GB"/>
        </w:rPr>
        <w:t>apakšpunktā</w:t>
      </w:r>
      <w:r w:rsidR="00E11AC0" w:rsidRPr="00E11AC0">
        <w:rPr>
          <w:lang w:eastAsia="en-GB"/>
        </w:rPr>
        <w:t xml:space="preserve"> norādītajam;</w:t>
      </w:r>
    </w:p>
    <w:p w14:paraId="141F12EE" w14:textId="27F2922E" w:rsidR="00E11AC0" w:rsidRPr="00E11AC0" w:rsidRDefault="00B24772" w:rsidP="006E185B">
      <w:pPr>
        <w:pStyle w:val="NApunkts3"/>
        <w:rPr>
          <w:lang w:eastAsia="en-GB"/>
        </w:rPr>
      </w:pPr>
      <w:r>
        <w:rPr>
          <w:lang w:eastAsia="en-GB"/>
        </w:rPr>
        <w:t>vērtību</w:t>
      </w:r>
      <w:r w:rsidDel="00363D86">
        <w:rPr>
          <w:lang w:eastAsia="en-GB"/>
        </w:rPr>
        <w:t xml:space="preserve"> </w:t>
      </w:r>
      <w:r w:rsidR="00E11AC0" w:rsidRPr="00E11AC0">
        <w:rPr>
          <w:lang w:eastAsia="en-GB"/>
        </w:rPr>
        <w:t>"A</w:t>
      </w:r>
      <w:r w:rsidR="00255B68">
        <w:rPr>
          <w:lang w:eastAsia="en-GB"/>
        </w:rPr>
        <w:t>ugsta riska</w:t>
      </w:r>
      <w:r w:rsidR="00E11AC0" w:rsidRPr="00E11AC0">
        <w:rPr>
          <w:lang w:eastAsia="en-GB"/>
        </w:rPr>
        <w:t xml:space="preserve"> klienti"</w:t>
      </w:r>
      <w:r w:rsidR="003B0E03">
        <w:rPr>
          <w:lang w:eastAsia="en-GB"/>
        </w:rPr>
        <w:t> </w:t>
      </w:r>
      <w:r w:rsidR="00E11AC0" w:rsidRPr="00E11AC0">
        <w:rPr>
          <w:lang w:eastAsia="en-GB"/>
        </w:rPr>
        <w:t xml:space="preserve">– par augsta riska klientiem atbilstoši šo </w:t>
      </w:r>
      <w:r w:rsidR="00E11AC0" w:rsidRPr="00256028">
        <w:rPr>
          <w:lang w:eastAsia="en-GB"/>
        </w:rPr>
        <w:t>noteikumu 1</w:t>
      </w:r>
      <w:r w:rsidR="00256028" w:rsidRPr="00A3618D">
        <w:rPr>
          <w:lang w:eastAsia="en-GB"/>
        </w:rPr>
        <w:t>7</w:t>
      </w:r>
      <w:r w:rsidR="00E11AC0" w:rsidRPr="00256028">
        <w:rPr>
          <w:lang w:eastAsia="en-GB"/>
        </w:rPr>
        <w:t>.1.1.1.</w:t>
      </w:r>
      <w:r w:rsidR="00835974" w:rsidRPr="00435118">
        <w:t> </w:t>
      </w:r>
      <w:r w:rsidR="00E11AC0" w:rsidRPr="00256028">
        <w:rPr>
          <w:lang w:eastAsia="en-GB"/>
        </w:rPr>
        <w:t>apakšpunktā norādītajam</w:t>
      </w:r>
      <w:r w:rsidR="00E11AC0" w:rsidRPr="00E11AC0">
        <w:rPr>
          <w:lang w:eastAsia="en-GB"/>
        </w:rPr>
        <w:t>;</w:t>
      </w:r>
    </w:p>
    <w:p w14:paraId="0725FF18" w14:textId="42D88BEC" w:rsidR="00E11AC0" w:rsidRPr="00E11AC0" w:rsidRDefault="00B24772" w:rsidP="006E185B">
      <w:pPr>
        <w:pStyle w:val="NApunkts3"/>
        <w:rPr>
          <w:lang w:eastAsia="en-GB"/>
        </w:rPr>
      </w:pPr>
      <w:r>
        <w:rPr>
          <w:lang w:eastAsia="en-GB"/>
        </w:rPr>
        <w:t>vērtību</w:t>
      </w:r>
      <w:r w:rsidDel="00363D86">
        <w:rPr>
          <w:lang w:eastAsia="en-GB"/>
        </w:rPr>
        <w:t xml:space="preserve"> </w:t>
      </w:r>
      <w:r w:rsidR="00E11AC0" w:rsidRPr="00E11AC0">
        <w:rPr>
          <w:lang w:eastAsia="en-GB"/>
        </w:rPr>
        <w:t>"P</w:t>
      </w:r>
      <w:r w:rsidR="00255B68">
        <w:rPr>
          <w:lang w:eastAsia="en-GB"/>
        </w:rPr>
        <w:t>adziļinātās izpētes</w:t>
      </w:r>
      <w:r w:rsidR="00E11AC0" w:rsidRPr="00E11AC0">
        <w:rPr>
          <w:lang w:eastAsia="en-GB"/>
        </w:rPr>
        <w:t xml:space="preserve"> klienti"</w:t>
      </w:r>
      <w:r w:rsidR="003B0E03">
        <w:rPr>
          <w:lang w:eastAsia="en-GB"/>
        </w:rPr>
        <w:t> </w:t>
      </w:r>
      <w:r w:rsidR="00E11AC0" w:rsidRPr="00E11AC0">
        <w:rPr>
          <w:lang w:eastAsia="en-GB"/>
        </w:rPr>
        <w:t>– par klientiem, kas pakļauti padziļinātai izpētei;</w:t>
      </w:r>
    </w:p>
    <w:p w14:paraId="57B7EBE6" w14:textId="53468A5E" w:rsidR="00E11AC0" w:rsidRPr="00E11AC0" w:rsidRDefault="00B24772" w:rsidP="006E185B">
      <w:pPr>
        <w:pStyle w:val="NApunkts3"/>
        <w:rPr>
          <w:lang w:eastAsia="en-GB"/>
        </w:rPr>
      </w:pPr>
      <w:r>
        <w:rPr>
          <w:lang w:eastAsia="en-GB"/>
        </w:rPr>
        <w:t>vērtību</w:t>
      </w:r>
      <w:r w:rsidDel="00363D86">
        <w:rPr>
          <w:lang w:eastAsia="en-GB"/>
        </w:rPr>
        <w:t xml:space="preserve"> </w:t>
      </w:r>
      <w:r w:rsidR="00E11AC0" w:rsidRPr="00E11AC0">
        <w:rPr>
          <w:lang w:eastAsia="en-GB"/>
        </w:rPr>
        <w:t>"</w:t>
      </w:r>
      <w:r w:rsidR="00DD1DFA">
        <w:rPr>
          <w:lang w:eastAsia="en-GB"/>
        </w:rPr>
        <w:t>K</w:t>
      </w:r>
      <w:r w:rsidR="00255B68">
        <w:rPr>
          <w:lang w:eastAsia="en-GB"/>
        </w:rPr>
        <w:t>lienti</w:t>
      </w:r>
      <w:r w:rsidR="003B0E03">
        <w:rPr>
          <w:lang w:eastAsia="en-GB"/>
        </w:rPr>
        <w:t> </w:t>
      </w:r>
      <w:r w:rsidR="00F0564B">
        <w:rPr>
          <w:lang w:eastAsia="en-GB"/>
        </w:rPr>
        <w:t xml:space="preserve">– </w:t>
      </w:r>
      <w:r w:rsidR="00255B68">
        <w:rPr>
          <w:lang w:eastAsia="en-GB"/>
        </w:rPr>
        <w:t>čaulas veidojumi</w:t>
      </w:r>
      <w:r w:rsidR="00E11AC0" w:rsidRPr="00E11AC0">
        <w:rPr>
          <w:lang w:eastAsia="en-GB"/>
        </w:rPr>
        <w:t>"</w:t>
      </w:r>
      <w:r w:rsidR="003B0E03">
        <w:rPr>
          <w:lang w:eastAsia="en-GB"/>
        </w:rPr>
        <w:t> </w:t>
      </w:r>
      <w:r w:rsidR="00E11AC0" w:rsidRPr="00E11AC0">
        <w:rPr>
          <w:lang w:eastAsia="en-GB"/>
        </w:rPr>
        <w:t>– par klientiem</w:t>
      </w:r>
      <w:r w:rsidR="009D1A9E">
        <w:rPr>
          <w:lang w:eastAsia="en-GB"/>
        </w:rPr>
        <w:t>, kuri ir</w:t>
      </w:r>
      <w:r w:rsidR="00E11AC0" w:rsidRPr="00E11AC0">
        <w:rPr>
          <w:lang w:eastAsia="en-GB"/>
        </w:rPr>
        <w:t xml:space="preserve"> juridisk</w:t>
      </w:r>
      <w:r w:rsidR="009D1A9E">
        <w:rPr>
          <w:lang w:eastAsia="en-GB"/>
        </w:rPr>
        <w:t>ās</w:t>
      </w:r>
      <w:r w:rsidR="00E11AC0" w:rsidRPr="00E11AC0">
        <w:rPr>
          <w:lang w:eastAsia="en-GB"/>
        </w:rPr>
        <w:t xml:space="preserve"> person</w:t>
      </w:r>
      <w:r>
        <w:rPr>
          <w:lang w:eastAsia="en-GB"/>
        </w:rPr>
        <w:t>a</w:t>
      </w:r>
      <w:r w:rsidR="009D1A9E">
        <w:rPr>
          <w:lang w:eastAsia="en-GB"/>
        </w:rPr>
        <w:t>s un</w:t>
      </w:r>
      <w:r w:rsidR="00E11AC0" w:rsidRPr="00E11AC0">
        <w:rPr>
          <w:lang w:eastAsia="en-GB"/>
        </w:rPr>
        <w:t xml:space="preserve"> k</w:t>
      </w:r>
      <w:r w:rsidR="009D1A9E">
        <w:rPr>
          <w:lang w:eastAsia="en-GB"/>
        </w:rPr>
        <w:t>uri</w:t>
      </w:r>
      <w:r w:rsidR="00E11AC0" w:rsidRPr="00E11AC0">
        <w:rPr>
          <w:lang w:eastAsia="en-GB"/>
        </w:rPr>
        <w:t xml:space="preserve"> atbilst kādai čaulas veidojuma pazīmei;</w:t>
      </w:r>
    </w:p>
    <w:p w14:paraId="45E1A887" w14:textId="7C11A22E" w:rsidR="00E11AC0" w:rsidRPr="00E11AC0" w:rsidRDefault="00B24772" w:rsidP="006E185B">
      <w:pPr>
        <w:pStyle w:val="NApunkts3"/>
        <w:rPr>
          <w:lang w:eastAsia="en-GB"/>
        </w:rPr>
      </w:pPr>
      <w:r>
        <w:rPr>
          <w:lang w:eastAsia="en-GB"/>
        </w:rPr>
        <w:t>vērtību</w:t>
      </w:r>
      <w:r w:rsidDel="00363D86">
        <w:rPr>
          <w:lang w:eastAsia="en-GB"/>
        </w:rPr>
        <w:t xml:space="preserve"> </w:t>
      </w:r>
      <w:r w:rsidR="00E11AC0" w:rsidRPr="00E11AC0">
        <w:rPr>
          <w:lang w:eastAsia="en-GB"/>
        </w:rPr>
        <w:t>"</w:t>
      </w:r>
      <w:r w:rsidR="00B42CF2">
        <w:rPr>
          <w:lang w:eastAsia="en-GB"/>
        </w:rPr>
        <w:t>Klienti</w:t>
      </w:r>
      <w:r w:rsidR="003B0E03">
        <w:rPr>
          <w:lang w:eastAsia="en-GB"/>
        </w:rPr>
        <w:t> </w:t>
      </w:r>
      <w:r w:rsidR="00F0564B">
        <w:rPr>
          <w:lang w:eastAsia="en-GB"/>
        </w:rPr>
        <w:t>–</w:t>
      </w:r>
      <w:r w:rsidR="00B42CF2">
        <w:rPr>
          <w:lang w:eastAsia="en-GB"/>
        </w:rPr>
        <w:t xml:space="preserve"> p</w:t>
      </w:r>
      <w:r w:rsidR="00255B68">
        <w:rPr>
          <w:lang w:eastAsia="en-GB"/>
        </w:rPr>
        <w:t>olitiski nozīmīga</w:t>
      </w:r>
      <w:r w:rsidR="00A65CD5">
        <w:rPr>
          <w:lang w:eastAsia="en-GB"/>
        </w:rPr>
        <w:t>s</w:t>
      </w:r>
      <w:r w:rsidR="00255B68">
        <w:rPr>
          <w:lang w:eastAsia="en-GB"/>
        </w:rPr>
        <w:t xml:space="preserve"> persona</w:t>
      </w:r>
      <w:r w:rsidR="00A65CD5">
        <w:rPr>
          <w:lang w:eastAsia="en-GB"/>
        </w:rPr>
        <w:t>s</w:t>
      </w:r>
      <w:r w:rsidR="00E11AC0" w:rsidRPr="00E11AC0">
        <w:rPr>
          <w:lang w:eastAsia="en-GB"/>
        </w:rPr>
        <w:t>"</w:t>
      </w:r>
      <w:r w:rsidR="003B0E03">
        <w:rPr>
          <w:lang w:eastAsia="en-GB"/>
        </w:rPr>
        <w:t> </w:t>
      </w:r>
      <w:r w:rsidR="00E11AC0" w:rsidRPr="00E11AC0">
        <w:rPr>
          <w:lang w:eastAsia="en-GB"/>
        </w:rPr>
        <w:t>– par klientiem</w:t>
      </w:r>
      <w:r w:rsidR="009D1A9E">
        <w:rPr>
          <w:lang w:eastAsia="en-GB"/>
        </w:rPr>
        <w:t>, kuri ir</w:t>
      </w:r>
      <w:r w:rsidR="00E11AC0" w:rsidRPr="00E11AC0">
        <w:rPr>
          <w:lang w:eastAsia="en-GB"/>
        </w:rPr>
        <w:t xml:space="preserve"> </w:t>
      </w:r>
      <w:r>
        <w:rPr>
          <w:lang w:eastAsia="en-GB"/>
        </w:rPr>
        <w:t xml:space="preserve">tādas </w:t>
      </w:r>
      <w:r w:rsidR="00E11AC0" w:rsidRPr="00E11AC0">
        <w:rPr>
          <w:lang w:eastAsia="en-GB"/>
        </w:rPr>
        <w:t>fiziskā</w:t>
      </w:r>
      <w:r w:rsidR="009D1A9E">
        <w:rPr>
          <w:lang w:eastAsia="en-GB"/>
        </w:rPr>
        <w:t>s</w:t>
      </w:r>
      <w:r w:rsidR="00E11AC0" w:rsidRPr="00E11AC0">
        <w:rPr>
          <w:lang w:eastAsia="en-GB"/>
        </w:rPr>
        <w:t xml:space="preserve"> person</w:t>
      </w:r>
      <w:r w:rsidR="009D1A9E">
        <w:rPr>
          <w:lang w:eastAsia="en-GB"/>
        </w:rPr>
        <w:t>as</w:t>
      </w:r>
      <w:r w:rsidR="00E11AC0" w:rsidRPr="00E11AC0">
        <w:rPr>
          <w:lang w:eastAsia="en-GB"/>
        </w:rPr>
        <w:t>, k</w:t>
      </w:r>
      <w:r w:rsidR="009D1A9E">
        <w:rPr>
          <w:lang w:eastAsia="en-GB"/>
        </w:rPr>
        <w:t>as</w:t>
      </w:r>
      <w:r w:rsidR="00E11AC0" w:rsidRPr="00E11AC0">
        <w:rPr>
          <w:lang w:eastAsia="en-GB"/>
        </w:rPr>
        <w:t xml:space="preserve"> ir politiski nozīmīgas personas, un </w:t>
      </w:r>
      <w:r w:rsidR="009D1A9E">
        <w:rPr>
          <w:lang w:eastAsia="en-GB"/>
        </w:rPr>
        <w:t xml:space="preserve">par </w:t>
      </w:r>
      <w:r w:rsidR="00E11AC0" w:rsidRPr="00E11AC0">
        <w:rPr>
          <w:lang w:eastAsia="en-GB"/>
        </w:rPr>
        <w:t>klientiem</w:t>
      </w:r>
      <w:r w:rsidR="009D1A9E">
        <w:rPr>
          <w:lang w:eastAsia="en-GB"/>
        </w:rPr>
        <w:t>, k</w:t>
      </w:r>
      <w:r>
        <w:rPr>
          <w:lang w:eastAsia="en-GB"/>
        </w:rPr>
        <w:t>as</w:t>
      </w:r>
      <w:r w:rsidR="009D1A9E">
        <w:rPr>
          <w:lang w:eastAsia="en-GB"/>
        </w:rPr>
        <w:t xml:space="preserve"> ir</w:t>
      </w:r>
      <w:r w:rsidR="00E11AC0" w:rsidRPr="00E11AC0">
        <w:rPr>
          <w:lang w:eastAsia="en-GB"/>
        </w:rPr>
        <w:t xml:space="preserve"> juridiskā</w:t>
      </w:r>
      <w:r w:rsidR="009D1A9E">
        <w:rPr>
          <w:lang w:eastAsia="en-GB"/>
        </w:rPr>
        <w:t>s</w:t>
      </w:r>
      <w:r w:rsidR="00E11AC0" w:rsidRPr="00E11AC0">
        <w:rPr>
          <w:lang w:eastAsia="en-GB"/>
        </w:rPr>
        <w:t xml:space="preserve"> person</w:t>
      </w:r>
      <w:r w:rsidR="009D1A9E">
        <w:rPr>
          <w:lang w:eastAsia="en-GB"/>
        </w:rPr>
        <w:t>as</w:t>
      </w:r>
      <w:r w:rsidR="00E11AC0" w:rsidRPr="00E11AC0">
        <w:rPr>
          <w:lang w:eastAsia="en-GB"/>
        </w:rPr>
        <w:t xml:space="preserve">, kuru </w:t>
      </w:r>
      <w:r w:rsidR="00AC2349" w:rsidRPr="008E0CF5">
        <w:rPr>
          <w:lang w:eastAsia="en-GB"/>
        </w:rPr>
        <w:t>paties</w:t>
      </w:r>
      <w:r w:rsidR="00AC2349">
        <w:rPr>
          <w:lang w:eastAsia="en-GB"/>
        </w:rPr>
        <w:t>ais</w:t>
      </w:r>
      <w:r w:rsidR="00AC2349" w:rsidRPr="008E0CF5">
        <w:rPr>
          <w:lang w:eastAsia="en-GB"/>
        </w:rPr>
        <w:t xml:space="preserve"> labuma guvēj</w:t>
      </w:r>
      <w:r w:rsidR="00AC2349">
        <w:rPr>
          <w:lang w:eastAsia="en-GB"/>
        </w:rPr>
        <w:t>s</w:t>
      </w:r>
      <w:r w:rsidR="00AC2349" w:rsidRPr="008E0CF5">
        <w:rPr>
          <w:lang w:eastAsia="en-GB"/>
        </w:rPr>
        <w:t xml:space="preserve"> </w:t>
      </w:r>
      <w:r w:rsidR="00E11AC0" w:rsidRPr="00E11AC0">
        <w:rPr>
          <w:lang w:eastAsia="en-GB"/>
        </w:rPr>
        <w:t>ir politiski nozīmīga persona</w:t>
      </w:r>
      <w:r w:rsidR="00C37F0D">
        <w:rPr>
          <w:lang w:eastAsia="en-GB"/>
        </w:rPr>
        <w:t xml:space="preserve">, neietverot datus par klientiem, kas ir </w:t>
      </w:r>
      <w:r w:rsidR="00C37F0D" w:rsidRPr="00C37F0D">
        <w:rPr>
          <w:lang w:eastAsia="en-GB"/>
        </w:rPr>
        <w:t>valsts vai pašvaldības kapitālsabiedrība</w:t>
      </w:r>
      <w:r>
        <w:rPr>
          <w:lang w:eastAsia="en-GB"/>
        </w:rPr>
        <w:t>s vai</w:t>
      </w:r>
      <w:r w:rsidR="00C37F0D">
        <w:rPr>
          <w:lang w:eastAsia="en-GB"/>
        </w:rPr>
        <w:t xml:space="preserve"> valsts vai pašvaldīb</w:t>
      </w:r>
      <w:r w:rsidR="00F0564B">
        <w:rPr>
          <w:lang w:eastAsia="en-GB"/>
        </w:rPr>
        <w:t>as</w:t>
      </w:r>
      <w:r w:rsidR="00C37F0D" w:rsidRPr="00C37F0D">
        <w:rPr>
          <w:lang w:eastAsia="en-GB"/>
        </w:rPr>
        <w:t xml:space="preserve"> </w:t>
      </w:r>
      <w:r w:rsidR="00C37F0D">
        <w:rPr>
          <w:lang w:eastAsia="en-GB"/>
        </w:rPr>
        <w:t>iestāde</w:t>
      </w:r>
      <w:r>
        <w:rPr>
          <w:lang w:eastAsia="en-GB"/>
        </w:rPr>
        <w:t>s</w:t>
      </w:r>
      <w:r w:rsidR="00E11AC0" w:rsidRPr="00E11AC0">
        <w:rPr>
          <w:lang w:eastAsia="en-GB"/>
        </w:rPr>
        <w:t>;</w:t>
      </w:r>
    </w:p>
    <w:p w14:paraId="32FE0E29" w14:textId="28F3C02A" w:rsidR="00255B68" w:rsidRDefault="00B24772" w:rsidP="006E185B">
      <w:pPr>
        <w:pStyle w:val="NApunkts3"/>
        <w:rPr>
          <w:lang w:eastAsia="en-GB"/>
        </w:rPr>
      </w:pPr>
      <w:r>
        <w:rPr>
          <w:lang w:eastAsia="en-GB"/>
        </w:rPr>
        <w:t>vērtību</w:t>
      </w:r>
      <w:r w:rsidDel="00363D86">
        <w:rPr>
          <w:lang w:eastAsia="en-GB"/>
        </w:rPr>
        <w:t xml:space="preserve"> </w:t>
      </w:r>
      <w:r w:rsidR="00255B68">
        <w:rPr>
          <w:lang w:eastAsia="en-GB"/>
        </w:rPr>
        <w:t>"</w:t>
      </w:r>
      <w:r w:rsidR="00B42CF2">
        <w:t>Klienti, kas ir a</w:t>
      </w:r>
      <w:r w:rsidR="00255B68" w:rsidRPr="00255B68">
        <w:rPr>
          <w:lang w:eastAsia="en-GB"/>
        </w:rPr>
        <w:t>r politiski nozīmīgu personu cieši saistīta</w:t>
      </w:r>
      <w:r w:rsidR="00F0564B">
        <w:rPr>
          <w:lang w:eastAsia="en-GB"/>
        </w:rPr>
        <w:t>s</w:t>
      </w:r>
      <w:r w:rsidR="00255B68" w:rsidRPr="00255B68">
        <w:rPr>
          <w:lang w:eastAsia="en-GB"/>
        </w:rPr>
        <w:t xml:space="preserve"> persona</w:t>
      </w:r>
      <w:r w:rsidR="00F0564B">
        <w:rPr>
          <w:lang w:eastAsia="en-GB"/>
        </w:rPr>
        <w:t>s</w:t>
      </w:r>
      <w:r w:rsidR="00255B68" w:rsidRPr="00255B68">
        <w:rPr>
          <w:lang w:eastAsia="en-GB"/>
        </w:rPr>
        <w:t>, politiski nozīmīgas personas ģimenes locek</w:t>
      </w:r>
      <w:r w:rsidR="00F0564B">
        <w:rPr>
          <w:lang w:eastAsia="en-GB"/>
        </w:rPr>
        <w:t>ļi</w:t>
      </w:r>
      <w:r w:rsidR="00255B68">
        <w:rPr>
          <w:lang w:eastAsia="en-GB"/>
        </w:rPr>
        <w:t>"</w:t>
      </w:r>
      <w:r w:rsidR="003B0E03">
        <w:rPr>
          <w:lang w:eastAsia="en-GB"/>
        </w:rPr>
        <w:t> </w:t>
      </w:r>
      <w:r w:rsidR="00F0564B">
        <w:rPr>
          <w:lang w:eastAsia="en-GB"/>
        </w:rPr>
        <w:t>–</w:t>
      </w:r>
      <w:r w:rsidR="00255B68">
        <w:rPr>
          <w:lang w:eastAsia="en-GB"/>
        </w:rPr>
        <w:t xml:space="preserve"> par klientiem, kuri ir ar politiski nozīmīgu personu cieši saistītas personas vai politiski nozīmīgas personas ģimenes locek</w:t>
      </w:r>
      <w:r w:rsidR="00F0564B">
        <w:rPr>
          <w:lang w:eastAsia="en-GB"/>
        </w:rPr>
        <w:t>ļi,</w:t>
      </w:r>
      <w:r w:rsidR="008E3139">
        <w:rPr>
          <w:lang w:eastAsia="en-GB"/>
        </w:rPr>
        <w:t xml:space="preserve"> un </w:t>
      </w:r>
      <w:r w:rsidR="009D1A9E">
        <w:rPr>
          <w:lang w:eastAsia="en-GB"/>
        </w:rPr>
        <w:t xml:space="preserve">par </w:t>
      </w:r>
      <w:r w:rsidR="008E3139">
        <w:rPr>
          <w:lang w:eastAsia="en-GB"/>
        </w:rPr>
        <w:t>klientiem</w:t>
      </w:r>
      <w:r w:rsidR="009D1A9E">
        <w:rPr>
          <w:lang w:eastAsia="en-GB"/>
        </w:rPr>
        <w:t>, k</w:t>
      </w:r>
      <w:r w:rsidR="00D81EF9">
        <w:rPr>
          <w:lang w:eastAsia="en-GB"/>
        </w:rPr>
        <w:t>as</w:t>
      </w:r>
      <w:r w:rsidR="009D1A9E">
        <w:rPr>
          <w:lang w:eastAsia="en-GB"/>
        </w:rPr>
        <w:t xml:space="preserve"> ir</w:t>
      </w:r>
      <w:r w:rsidR="008E3139">
        <w:rPr>
          <w:lang w:eastAsia="en-GB"/>
        </w:rPr>
        <w:t xml:space="preserve"> juridiskā</w:t>
      </w:r>
      <w:r w:rsidR="009D1A9E">
        <w:rPr>
          <w:lang w:eastAsia="en-GB"/>
        </w:rPr>
        <w:t>s</w:t>
      </w:r>
      <w:r w:rsidR="008E3139">
        <w:rPr>
          <w:lang w:eastAsia="en-GB"/>
        </w:rPr>
        <w:t xml:space="preserve"> person</w:t>
      </w:r>
      <w:r w:rsidR="009D1A9E">
        <w:rPr>
          <w:lang w:eastAsia="en-GB"/>
        </w:rPr>
        <w:t>as</w:t>
      </w:r>
      <w:r w:rsidR="008E3139">
        <w:rPr>
          <w:lang w:eastAsia="en-GB"/>
        </w:rPr>
        <w:t xml:space="preserve">, kuru </w:t>
      </w:r>
      <w:r w:rsidR="00AC2349" w:rsidRPr="008E0CF5">
        <w:rPr>
          <w:lang w:eastAsia="en-GB"/>
        </w:rPr>
        <w:t xml:space="preserve">patiesie labuma guvēji </w:t>
      </w:r>
      <w:r w:rsidR="008E3139">
        <w:rPr>
          <w:lang w:eastAsia="en-GB"/>
        </w:rPr>
        <w:t>ir ar politiski nozīmīgu personu cieši saistītas personas vai politiski nozīmīgas personas ģimenes locek</w:t>
      </w:r>
      <w:r w:rsidR="00F0564B">
        <w:rPr>
          <w:lang w:eastAsia="en-GB"/>
        </w:rPr>
        <w:t>ļi</w:t>
      </w:r>
      <w:r w:rsidR="008E3139">
        <w:rPr>
          <w:lang w:eastAsia="en-GB"/>
        </w:rPr>
        <w:t>;</w:t>
      </w:r>
    </w:p>
    <w:p w14:paraId="7D0B11F0" w14:textId="2488239C" w:rsidR="00E11AC0" w:rsidRDefault="00B24772" w:rsidP="006E185B">
      <w:pPr>
        <w:pStyle w:val="NApunkts3"/>
        <w:rPr>
          <w:lang w:eastAsia="en-GB"/>
        </w:rPr>
      </w:pPr>
      <w:r>
        <w:rPr>
          <w:lang w:eastAsia="en-GB"/>
        </w:rPr>
        <w:t>vērtību</w:t>
      </w:r>
      <w:r w:rsidDel="00363D86">
        <w:rPr>
          <w:lang w:eastAsia="en-GB"/>
        </w:rPr>
        <w:t xml:space="preserve"> </w:t>
      </w:r>
      <w:r w:rsidR="00E11AC0" w:rsidRPr="00E11AC0">
        <w:rPr>
          <w:lang w:eastAsia="en-GB"/>
        </w:rPr>
        <w:t xml:space="preserve">"Klientu </w:t>
      </w:r>
      <w:r w:rsidR="00AC2349" w:rsidRPr="008E0CF5">
        <w:rPr>
          <w:lang w:eastAsia="en-GB"/>
        </w:rPr>
        <w:t>patiesie labuma guvēji</w:t>
      </w:r>
      <w:r w:rsidR="00E11AC0" w:rsidRPr="00E11AC0">
        <w:rPr>
          <w:lang w:eastAsia="en-GB"/>
        </w:rPr>
        <w:t>"</w:t>
      </w:r>
      <w:r w:rsidR="003B0E03">
        <w:rPr>
          <w:lang w:eastAsia="en-GB"/>
        </w:rPr>
        <w:t> </w:t>
      </w:r>
      <w:r w:rsidR="00E11AC0" w:rsidRPr="00E11AC0">
        <w:rPr>
          <w:lang w:eastAsia="en-GB"/>
        </w:rPr>
        <w:t>– par klientiem</w:t>
      </w:r>
      <w:r w:rsidR="009D1A9E">
        <w:rPr>
          <w:lang w:eastAsia="en-GB"/>
        </w:rPr>
        <w:t>, kuri ir</w:t>
      </w:r>
      <w:r w:rsidR="00E11AC0" w:rsidRPr="00E11AC0">
        <w:rPr>
          <w:lang w:eastAsia="en-GB"/>
        </w:rPr>
        <w:t xml:space="preserve"> juridiskā</w:t>
      </w:r>
      <w:r w:rsidR="009D1A9E">
        <w:rPr>
          <w:lang w:eastAsia="en-GB"/>
        </w:rPr>
        <w:t>s</w:t>
      </w:r>
      <w:r w:rsidR="00E11AC0" w:rsidRPr="00E11AC0">
        <w:rPr>
          <w:lang w:eastAsia="en-GB"/>
        </w:rPr>
        <w:t xml:space="preserve"> person</w:t>
      </w:r>
      <w:r w:rsidR="009D1A9E">
        <w:rPr>
          <w:lang w:eastAsia="en-GB"/>
        </w:rPr>
        <w:t>as</w:t>
      </w:r>
      <w:r w:rsidR="00E11AC0" w:rsidRPr="00E11AC0">
        <w:rPr>
          <w:lang w:eastAsia="en-GB"/>
        </w:rPr>
        <w:t xml:space="preserve"> atbilstoši </w:t>
      </w:r>
      <w:r w:rsidR="00AC2349">
        <w:rPr>
          <w:lang w:eastAsia="en-GB"/>
        </w:rPr>
        <w:t xml:space="preserve">klientu </w:t>
      </w:r>
      <w:r w:rsidR="00AC2349" w:rsidRPr="008E0CF5">
        <w:rPr>
          <w:lang w:eastAsia="en-GB"/>
        </w:rPr>
        <w:t>paties</w:t>
      </w:r>
      <w:r w:rsidR="00AC2349">
        <w:rPr>
          <w:lang w:eastAsia="en-GB"/>
        </w:rPr>
        <w:t>o</w:t>
      </w:r>
      <w:r w:rsidR="00AC2349" w:rsidRPr="008E0CF5">
        <w:rPr>
          <w:lang w:eastAsia="en-GB"/>
        </w:rPr>
        <w:t xml:space="preserve"> labuma guvēj</w:t>
      </w:r>
      <w:r w:rsidR="00AC2349">
        <w:rPr>
          <w:lang w:eastAsia="en-GB"/>
        </w:rPr>
        <w:t>u</w:t>
      </w:r>
      <w:r w:rsidR="00AC2349" w:rsidRPr="008E0CF5">
        <w:rPr>
          <w:lang w:eastAsia="en-GB"/>
        </w:rPr>
        <w:t xml:space="preserve"> </w:t>
      </w:r>
      <w:r w:rsidR="00E11AC0" w:rsidRPr="00E11AC0">
        <w:rPr>
          <w:lang w:eastAsia="en-GB"/>
        </w:rPr>
        <w:t>rezidences valstij;</w:t>
      </w:r>
    </w:p>
    <w:p w14:paraId="3E07D3FA" w14:textId="46EF4688" w:rsidR="00B15295" w:rsidRPr="00E11AC0" w:rsidRDefault="009D1A9E" w:rsidP="006E185B">
      <w:pPr>
        <w:pStyle w:val="NApunkts2"/>
        <w:rPr>
          <w:lang w:eastAsia="en-GB"/>
        </w:rPr>
      </w:pPr>
      <w:r>
        <w:rPr>
          <w:lang w:eastAsia="en-GB"/>
        </w:rPr>
        <w:t xml:space="preserve">ailē </w:t>
      </w:r>
      <w:r w:rsidR="00B15295">
        <w:rPr>
          <w:lang w:eastAsia="en-GB"/>
        </w:rPr>
        <w:t xml:space="preserve">"Klientu tips" </w:t>
      </w:r>
      <w:r>
        <w:rPr>
          <w:lang w:eastAsia="en-GB"/>
        </w:rPr>
        <w:t>(ailes kods</w:t>
      </w:r>
      <w:r w:rsidR="00D96DA1">
        <w:rPr>
          <w:lang w:eastAsia="en-GB"/>
        </w:rPr>
        <w:t> </w:t>
      </w:r>
      <w:r>
        <w:rPr>
          <w:lang w:eastAsia="en-GB"/>
        </w:rPr>
        <w:t xml:space="preserve">011) </w:t>
      </w:r>
      <w:r w:rsidR="00B15295">
        <w:rPr>
          <w:lang w:eastAsia="en-GB"/>
        </w:rPr>
        <w:t>norāda</w:t>
      </w:r>
      <w:r>
        <w:rPr>
          <w:lang w:eastAsia="en-GB"/>
        </w:rPr>
        <w:t xml:space="preserve"> vērtību "Fiziskā persona"</w:t>
      </w:r>
      <w:r w:rsidR="00B15295">
        <w:rPr>
          <w:lang w:eastAsia="en-GB"/>
        </w:rPr>
        <w:t xml:space="preserve">, </w:t>
      </w:r>
      <w:r>
        <w:rPr>
          <w:lang w:eastAsia="en-GB"/>
        </w:rPr>
        <w:t xml:space="preserve">ja </w:t>
      </w:r>
      <w:r w:rsidR="00B15295">
        <w:rPr>
          <w:lang w:eastAsia="en-GB"/>
        </w:rPr>
        <w:t>klients ir fizisk</w:t>
      </w:r>
      <w:r>
        <w:rPr>
          <w:lang w:eastAsia="en-GB"/>
        </w:rPr>
        <w:t>ā</w:t>
      </w:r>
      <w:r w:rsidR="00B15295">
        <w:rPr>
          <w:lang w:eastAsia="en-GB"/>
        </w:rPr>
        <w:t xml:space="preserve"> </w:t>
      </w:r>
      <w:r>
        <w:rPr>
          <w:lang w:eastAsia="en-GB"/>
        </w:rPr>
        <w:t>persona, vai vērtību "Juridiskā persona", ja klients ir</w:t>
      </w:r>
      <w:r w:rsidR="00B15295">
        <w:rPr>
          <w:lang w:eastAsia="en-GB"/>
        </w:rPr>
        <w:t xml:space="preserve"> juridisk</w:t>
      </w:r>
      <w:r>
        <w:rPr>
          <w:lang w:eastAsia="en-GB"/>
        </w:rPr>
        <w:t>ā</w:t>
      </w:r>
      <w:r w:rsidR="00B15295">
        <w:rPr>
          <w:lang w:eastAsia="en-GB"/>
        </w:rPr>
        <w:t xml:space="preserve"> persona;</w:t>
      </w:r>
    </w:p>
    <w:p w14:paraId="2CBC2EA8" w14:textId="3481309F" w:rsidR="00E11AC0" w:rsidRPr="00E11AC0" w:rsidRDefault="009D1A9E" w:rsidP="006E185B">
      <w:pPr>
        <w:pStyle w:val="NApunkts2"/>
        <w:rPr>
          <w:lang w:eastAsia="en-GB"/>
        </w:rPr>
      </w:pPr>
      <w:r>
        <w:rPr>
          <w:lang w:eastAsia="en-GB"/>
        </w:rPr>
        <w:t>ailē</w:t>
      </w:r>
      <w:r w:rsidR="00E11AC0" w:rsidRPr="00E11AC0">
        <w:rPr>
          <w:lang w:eastAsia="en-GB"/>
        </w:rPr>
        <w:t xml:space="preserve"> "Rezidences (reģistrācijas) valsts kods" </w:t>
      </w:r>
      <w:r>
        <w:rPr>
          <w:lang w:eastAsia="en-GB"/>
        </w:rPr>
        <w:t>(ailes kods</w:t>
      </w:r>
      <w:r w:rsidR="00D96DA1">
        <w:rPr>
          <w:lang w:eastAsia="en-GB"/>
        </w:rPr>
        <w:t> </w:t>
      </w:r>
      <w:r>
        <w:rPr>
          <w:lang w:eastAsia="en-GB"/>
        </w:rPr>
        <w:t xml:space="preserve">020) </w:t>
      </w:r>
      <w:r w:rsidR="00E11AC0" w:rsidRPr="00E11AC0">
        <w:rPr>
          <w:lang w:eastAsia="en-GB"/>
        </w:rPr>
        <w:t>norāda attiecīgās klient</w:t>
      </w:r>
      <w:r>
        <w:rPr>
          <w:lang w:eastAsia="en-GB"/>
        </w:rPr>
        <w:t>a</w:t>
      </w:r>
      <w:r w:rsidR="00E11AC0" w:rsidRPr="00E11AC0">
        <w:rPr>
          <w:lang w:eastAsia="en-GB"/>
        </w:rPr>
        <w:t xml:space="preserve"> kategorijas rezidences (reģistrācijas) valsts kodu </w:t>
      </w:r>
      <w:r w:rsidR="00B42CF2" w:rsidRPr="005F47F2">
        <w:rPr>
          <w:color w:val="000000" w:themeColor="text1"/>
        </w:rPr>
        <w:t xml:space="preserve">saskaņā ar </w:t>
      </w:r>
      <w:r w:rsidR="00766A33">
        <w:rPr>
          <w:color w:val="000000" w:themeColor="text1"/>
        </w:rPr>
        <w:t xml:space="preserve">starptautisko </w:t>
      </w:r>
      <w:r w:rsidR="00B42CF2" w:rsidRPr="005F47F2">
        <w:rPr>
          <w:color w:val="000000" w:themeColor="text1"/>
        </w:rPr>
        <w:t>standartu ISO</w:t>
      </w:r>
      <w:r w:rsidR="003B0E03">
        <w:rPr>
          <w:color w:val="000000" w:themeColor="text1"/>
        </w:rPr>
        <w:t> </w:t>
      </w:r>
      <w:r w:rsidR="00B42CF2" w:rsidRPr="005F47F2">
        <w:rPr>
          <w:color w:val="000000" w:themeColor="text1"/>
        </w:rPr>
        <w:t xml:space="preserve">3166 </w:t>
      </w:r>
      <w:r w:rsidR="00766A33">
        <w:rPr>
          <w:color w:val="000000" w:themeColor="text1"/>
        </w:rPr>
        <w:t>"</w:t>
      </w:r>
      <w:r w:rsidR="00766A33" w:rsidRPr="00766A33">
        <w:rPr>
          <w:color w:val="000000" w:themeColor="text1"/>
        </w:rPr>
        <w:t xml:space="preserve">Valstu un to </w:t>
      </w:r>
      <w:r w:rsidR="00766A33">
        <w:rPr>
          <w:color w:val="000000" w:themeColor="text1"/>
        </w:rPr>
        <w:t xml:space="preserve">administratīvi </w:t>
      </w:r>
      <w:r w:rsidR="00766A33" w:rsidRPr="00766A33">
        <w:rPr>
          <w:color w:val="000000" w:themeColor="text1"/>
        </w:rPr>
        <w:t>teritoriālā iedalījuma vienību nosaukumu kodi</w:t>
      </w:r>
      <w:r w:rsidR="00766A33">
        <w:rPr>
          <w:color w:val="000000" w:themeColor="text1"/>
        </w:rPr>
        <w:t xml:space="preserve">" </w:t>
      </w:r>
      <w:r w:rsidR="00B42CF2" w:rsidRPr="005F47F2">
        <w:rPr>
          <w:color w:val="000000" w:themeColor="text1"/>
        </w:rPr>
        <w:t>(</w:t>
      </w:r>
      <w:r w:rsidR="00B42CF2" w:rsidRPr="00AB7A0A">
        <w:rPr>
          <w:color w:val="000000" w:themeColor="text1"/>
        </w:rPr>
        <w:t>izmanto jaunāko aktuālo</w:t>
      </w:r>
      <w:r w:rsidR="00B42CF2" w:rsidRPr="005F47F2">
        <w:rPr>
          <w:color w:val="000000" w:themeColor="text1"/>
        </w:rPr>
        <w:t xml:space="preserve"> standartu)</w:t>
      </w:r>
      <w:r w:rsidR="00E11AC0" w:rsidRPr="00E11AC0">
        <w:rPr>
          <w:lang w:eastAsia="en-GB"/>
        </w:rPr>
        <w:t>. Konkrētās rezidences (reģistrācijas) valsts kodu atbilstošajai klient</w:t>
      </w:r>
      <w:r w:rsidR="00766A33">
        <w:rPr>
          <w:lang w:eastAsia="en-GB"/>
        </w:rPr>
        <w:t>u</w:t>
      </w:r>
      <w:r w:rsidR="00E11AC0" w:rsidRPr="00E11AC0">
        <w:rPr>
          <w:lang w:eastAsia="en-GB"/>
        </w:rPr>
        <w:t xml:space="preserve"> kategorijai</w:t>
      </w:r>
      <w:r w:rsidR="00DD1DFA">
        <w:rPr>
          <w:lang w:eastAsia="en-GB"/>
        </w:rPr>
        <w:t xml:space="preserve"> un klientu tipam</w:t>
      </w:r>
      <w:r w:rsidR="00E11AC0" w:rsidRPr="00E11AC0">
        <w:rPr>
          <w:lang w:eastAsia="en-GB"/>
        </w:rPr>
        <w:t xml:space="preserve"> norāda tikai vienu reizi;</w:t>
      </w:r>
    </w:p>
    <w:p w14:paraId="4A56B048" w14:textId="650CC99F" w:rsidR="00E11AC0" w:rsidRPr="00E11AC0" w:rsidRDefault="00766A33" w:rsidP="006E185B">
      <w:pPr>
        <w:pStyle w:val="NApunkts2"/>
        <w:rPr>
          <w:lang w:eastAsia="en-GB"/>
        </w:rPr>
      </w:pPr>
      <w:r>
        <w:rPr>
          <w:lang w:eastAsia="en-GB"/>
        </w:rPr>
        <w:t>ailē "Pārskata ceturkšņa beigās; Klientu skaits" (ailes kods</w:t>
      </w:r>
      <w:r w:rsidR="00D96DA1">
        <w:rPr>
          <w:lang w:eastAsia="en-GB"/>
        </w:rPr>
        <w:t> </w:t>
      </w:r>
      <w:r>
        <w:rPr>
          <w:lang w:eastAsia="en-GB"/>
        </w:rPr>
        <w:t xml:space="preserve">030) un ailē "Pārskata ceturkšņa beigās; Klientu finanšu aktīvi kopā, </w:t>
      </w:r>
      <w:r>
        <w:rPr>
          <w:i/>
          <w:iCs/>
          <w:lang w:eastAsia="en-GB"/>
        </w:rPr>
        <w:t>euro</w:t>
      </w:r>
      <w:r>
        <w:rPr>
          <w:lang w:eastAsia="en-GB"/>
        </w:rPr>
        <w:t>" (ailes kods</w:t>
      </w:r>
      <w:r w:rsidR="00D96DA1">
        <w:rPr>
          <w:lang w:eastAsia="en-GB"/>
        </w:rPr>
        <w:t> </w:t>
      </w:r>
      <w:r>
        <w:rPr>
          <w:lang w:eastAsia="en-GB"/>
        </w:rPr>
        <w:t xml:space="preserve">040) </w:t>
      </w:r>
      <w:r w:rsidR="00E11AC0" w:rsidRPr="00E11AC0">
        <w:rPr>
          <w:lang w:eastAsia="en-GB"/>
        </w:rPr>
        <w:t xml:space="preserve">norāda faktiskos datus par kopējo klientu skaitu un klientu finanšu aktīviem, </w:t>
      </w:r>
      <w:r>
        <w:rPr>
          <w:lang w:eastAsia="en-GB"/>
        </w:rPr>
        <w:t>atsevišķi ailē "Noguldījumu apmērs" (ailes kods</w:t>
      </w:r>
      <w:r w:rsidR="00D96DA1">
        <w:rPr>
          <w:lang w:eastAsia="en-GB"/>
        </w:rPr>
        <w:t> </w:t>
      </w:r>
      <w:r>
        <w:rPr>
          <w:lang w:eastAsia="en-GB"/>
        </w:rPr>
        <w:t>041)</w:t>
      </w:r>
      <w:r w:rsidR="00F43024">
        <w:rPr>
          <w:lang w:eastAsia="en-GB"/>
        </w:rPr>
        <w:t xml:space="preserve"> norādot </w:t>
      </w:r>
      <w:r w:rsidR="00F43024" w:rsidRPr="00E11AC0">
        <w:rPr>
          <w:lang w:eastAsia="en-GB"/>
        </w:rPr>
        <w:t>noguldījumus</w:t>
      </w:r>
      <w:r w:rsidR="00E11AC0" w:rsidRPr="00E11AC0">
        <w:rPr>
          <w:lang w:eastAsia="en-GB"/>
        </w:rPr>
        <w:t xml:space="preserve">, </w:t>
      </w:r>
      <w:r>
        <w:rPr>
          <w:lang w:eastAsia="en-GB"/>
        </w:rPr>
        <w:t xml:space="preserve">ailē "Trasti, kas ieguldīti </w:t>
      </w:r>
      <w:proofErr w:type="spellStart"/>
      <w:r>
        <w:rPr>
          <w:lang w:eastAsia="en-GB"/>
        </w:rPr>
        <w:t>fiduciārajos</w:t>
      </w:r>
      <w:proofErr w:type="spellEnd"/>
      <w:r>
        <w:rPr>
          <w:lang w:eastAsia="en-GB"/>
        </w:rPr>
        <w:t xml:space="preserve"> kredītos" (ailes kods</w:t>
      </w:r>
      <w:r w:rsidR="00D96DA1">
        <w:rPr>
          <w:lang w:eastAsia="en-GB"/>
        </w:rPr>
        <w:t> </w:t>
      </w:r>
      <w:r>
        <w:rPr>
          <w:lang w:eastAsia="en-GB"/>
        </w:rPr>
        <w:t>042)</w:t>
      </w:r>
      <w:r w:rsidR="00E11AC0" w:rsidRPr="00E11AC0">
        <w:rPr>
          <w:lang w:eastAsia="en-GB"/>
        </w:rPr>
        <w:t xml:space="preserve"> </w:t>
      </w:r>
      <w:r w:rsidR="00F43024">
        <w:rPr>
          <w:lang w:eastAsia="en-GB"/>
        </w:rPr>
        <w:t xml:space="preserve">norādot </w:t>
      </w:r>
      <w:r w:rsidR="00F43024" w:rsidRPr="00E11AC0">
        <w:rPr>
          <w:lang w:eastAsia="en-GB"/>
        </w:rPr>
        <w:t xml:space="preserve">trastus, kas ieguldīti </w:t>
      </w:r>
      <w:proofErr w:type="spellStart"/>
      <w:r w:rsidR="00F43024" w:rsidRPr="00E11AC0">
        <w:rPr>
          <w:lang w:eastAsia="en-GB"/>
        </w:rPr>
        <w:t>fiduciārajos</w:t>
      </w:r>
      <w:proofErr w:type="spellEnd"/>
      <w:r w:rsidR="00F43024" w:rsidRPr="00E11AC0">
        <w:rPr>
          <w:lang w:eastAsia="en-GB"/>
        </w:rPr>
        <w:t xml:space="preserve"> kredītos</w:t>
      </w:r>
      <w:r w:rsidR="00F43024">
        <w:rPr>
          <w:lang w:eastAsia="en-GB"/>
        </w:rPr>
        <w:t xml:space="preserve">, </w:t>
      </w:r>
      <w:r w:rsidR="00E1685F">
        <w:rPr>
          <w:lang w:eastAsia="en-GB"/>
        </w:rPr>
        <w:t xml:space="preserve">un </w:t>
      </w:r>
      <w:r>
        <w:rPr>
          <w:lang w:eastAsia="en-GB"/>
        </w:rPr>
        <w:t>ailē "Turējumā esošie klientu vērtspapīri" (ailes kods</w:t>
      </w:r>
      <w:r w:rsidR="00D96DA1">
        <w:rPr>
          <w:lang w:eastAsia="en-GB"/>
        </w:rPr>
        <w:t> </w:t>
      </w:r>
      <w:r>
        <w:rPr>
          <w:lang w:eastAsia="en-GB"/>
        </w:rPr>
        <w:t>043)</w:t>
      </w:r>
      <w:r w:rsidR="00F43024">
        <w:rPr>
          <w:lang w:eastAsia="en-GB"/>
        </w:rPr>
        <w:t xml:space="preserve"> norādot </w:t>
      </w:r>
      <w:r w:rsidR="00F43024" w:rsidRPr="00E11AC0">
        <w:rPr>
          <w:lang w:eastAsia="en-GB"/>
        </w:rPr>
        <w:t>turējumā esošos klientu vērtspapīrus</w:t>
      </w:r>
      <w:r w:rsidR="00E1685F">
        <w:rPr>
          <w:lang w:eastAsia="en-GB"/>
        </w:rPr>
        <w:t>,</w:t>
      </w:r>
      <w:r w:rsidR="00E11AC0" w:rsidRPr="00E11AC0">
        <w:rPr>
          <w:lang w:eastAsia="en-GB"/>
        </w:rPr>
        <w:t xml:space="preserve"> </w:t>
      </w:r>
      <w:r w:rsidR="00AA3C35">
        <w:rPr>
          <w:lang w:eastAsia="en-GB"/>
        </w:rPr>
        <w:t xml:space="preserve">kā arī ailē "Klientiem izsniegtie fiduciārie kredīti, </w:t>
      </w:r>
      <w:r w:rsidR="00AA3C35">
        <w:rPr>
          <w:i/>
          <w:iCs/>
          <w:lang w:eastAsia="en-GB"/>
        </w:rPr>
        <w:t>euro</w:t>
      </w:r>
      <w:r w:rsidR="00AA3C35">
        <w:rPr>
          <w:lang w:eastAsia="en-GB"/>
        </w:rPr>
        <w:t>" (ailes kods</w:t>
      </w:r>
      <w:r w:rsidR="00D96DA1">
        <w:rPr>
          <w:lang w:eastAsia="en-GB"/>
        </w:rPr>
        <w:t> </w:t>
      </w:r>
      <w:r w:rsidR="00AA3C35">
        <w:rPr>
          <w:lang w:eastAsia="en-GB"/>
        </w:rPr>
        <w:t>050)</w:t>
      </w:r>
      <w:r w:rsidR="00F43024">
        <w:rPr>
          <w:lang w:eastAsia="en-GB"/>
        </w:rPr>
        <w:t xml:space="preserve"> norādot </w:t>
      </w:r>
      <w:r w:rsidR="00F43024" w:rsidRPr="00E11AC0">
        <w:rPr>
          <w:lang w:eastAsia="en-GB"/>
        </w:rPr>
        <w:t>klientiem izsniegtos fiduciāros kredītus</w:t>
      </w:r>
      <w:r w:rsidR="00AA3C35">
        <w:rPr>
          <w:lang w:eastAsia="en-GB"/>
        </w:rPr>
        <w:t>. Šajā apakšpunktā minēto ierakstu vērtības</w:t>
      </w:r>
      <w:r w:rsidR="00E11AC0" w:rsidRPr="00E11AC0">
        <w:rPr>
          <w:lang w:eastAsia="en-GB"/>
        </w:rPr>
        <w:t xml:space="preserve"> summē un grupē atbilstoši klientu kategorijai</w:t>
      </w:r>
      <w:r w:rsidR="009A3A6F">
        <w:rPr>
          <w:lang w:eastAsia="en-GB"/>
        </w:rPr>
        <w:t>, klientu tipam</w:t>
      </w:r>
      <w:r w:rsidR="00E11AC0" w:rsidRPr="00E11AC0">
        <w:rPr>
          <w:lang w:eastAsia="en-GB"/>
        </w:rPr>
        <w:t xml:space="preserve"> un klientu rezidences (reģistrācijas) valstij;</w:t>
      </w:r>
    </w:p>
    <w:p w14:paraId="7AB59E68" w14:textId="3DB4743D" w:rsidR="00E11AC0" w:rsidRPr="00E11AC0" w:rsidRDefault="00AA3C35" w:rsidP="006E185B">
      <w:pPr>
        <w:pStyle w:val="NApunkts2"/>
        <w:rPr>
          <w:lang w:eastAsia="en-GB"/>
        </w:rPr>
      </w:pPr>
      <w:r>
        <w:rPr>
          <w:lang w:eastAsia="en-GB"/>
        </w:rPr>
        <w:lastRenderedPageBreak/>
        <w:t>ailē</w:t>
      </w:r>
      <w:r w:rsidR="00E11AC0" w:rsidRPr="00E11AC0">
        <w:rPr>
          <w:lang w:eastAsia="en-GB"/>
        </w:rPr>
        <w:t xml:space="preserve"> "Klientu kredīta apgrozījums,</w:t>
      </w:r>
      <w:r w:rsidR="003B0E03">
        <w:rPr>
          <w:lang w:eastAsia="en-GB"/>
        </w:rPr>
        <w:t xml:space="preserve"> </w:t>
      </w:r>
      <w:r w:rsidR="00E11AC0" w:rsidRPr="00A3618D">
        <w:rPr>
          <w:i/>
          <w:iCs/>
          <w:lang w:eastAsia="en-GB"/>
        </w:rPr>
        <w:t>euro</w:t>
      </w:r>
      <w:r>
        <w:rPr>
          <w:lang w:eastAsia="en-GB"/>
        </w:rPr>
        <w:t>; Bezskaidras naudas norēķini</w:t>
      </w:r>
      <w:r w:rsidR="00E11AC0" w:rsidRPr="00E11AC0">
        <w:rPr>
          <w:lang w:eastAsia="en-GB"/>
        </w:rPr>
        <w:t>"</w:t>
      </w:r>
      <w:r>
        <w:rPr>
          <w:lang w:eastAsia="en-GB"/>
        </w:rPr>
        <w:t xml:space="preserve"> (ailes kods</w:t>
      </w:r>
      <w:r w:rsidR="003B0E03">
        <w:rPr>
          <w:lang w:eastAsia="en-GB"/>
        </w:rPr>
        <w:t> </w:t>
      </w:r>
      <w:r>
        <w:rPr>
          <w:lang w:eastAsia="en-GB"/>
        </w:rPr>
        <w:t xml:space="preserve">061), ailē </w:t>
      </w:r>
      <w:r w:rsidRPr="00E11AC0">
        <w:rPr>
          <w:lang w:eastAsia="en-GB"/>
        </w:rPr>
        <w:t>"Klientu kredīta apgrozījums,</w:t>
      </w:r>
      <w:r w:rsidR="003B0E03">
        <w:rPr>
          <w:lang w:eastAsia="en-GB"/>
        </w:rPr>
        <w:t xml:space="preserve"> </w:t>
      </w:r>
      <w:r w:rsidRPr="00A3618D">
        <w:rPr>
          <w:i/>
          <w:iCs/>
          <w:lang w:eastAsia="en-GB"/>
        </w:rPr>
        <w:t>euro</w:t>
      </w:r>
      <w:r>
        <w:rPr>
          <w:lang w:eastAsia="en-GB"/>
        </w:rPr>
        <w:t>; Skaidras naudas norēķini</w:t>
      </w:r>
      <w:r w:rsidRPr="00E11AC0">
        <w:rPr>
          <w:lang w:eastAsia="en-GB"/>
        </w:rPr>
        <w:t>"</w:t>
      </w:r>
      <w:r>
        <w:rPr>
          <w:lang w:eastAsia="en-GB"/>
        </w:rPr>
        <w:t xml:space="preserve"> (ailes kods</w:t>
      </w:r>
      <w:r w:rsidR="003B0E03">
        <w:rPr>
          <w:lang w:eastAsia="en-GB"/>
        </w:rPr>
        <w:t> </w:t>
      </w:r>
      <w:r>
        <w:rPr>
          <w:lang w:eastAsia="en-GB"/>
        </w:rPr>
        <w:t xml:space="preserve">062) un ailē </w:t>
      </w:r>
      <w:r w:rsidRPr="00E11AC0">
        <w:rPr>
          <w:lang w:eastAsia="en-GB"/>
        </w:rPr>
        <w:t>"Klientu kredīta apgrozījums,</w:t>
      </w:r>
      <w:r w:rsidR="003B0E03">
        <w:rPr>
          <w:lang w:eastAsia="en-GB"/>
        </w:rPr>
        <w:t xml:space="preserve"> </w:t>
      </w:r>
      <w:r w:rsidRPr="00A3618D">
        <w:rPr>
          <w:i/>
          <w:iCs/>
          <w:lang w:eastAsia="en-GB"/>
        </w:rPr>
        <w:t>euro</w:t>
      </w:r>
      <w:r>
        <w:rPr>
          <w:lang w:eastAsia="en-GB"/>
        </w:rPr>
        <w:t>; Norēķini, kas veidojušies inkasāciju rezultātā</w:t>
      </w:r>
      <w:r w:rsidRPr="00E11AC0">
        <w:rPr>
          <w:lang w:eastAsia="en-GB"/>
        </w:rPr>
        <w:t>"</w:t>
      </w:r>
      <w:r>
        <w:rPr>
          <w:lang w:eastAsia="en-GB"/>
        </w:rPr>
        <w:t xml:space="preserve"> (ailes kods</w:t>
      </w:r>
      <w:r w:rsidR="00D96DA1">
        <w:rPr>
          <w:lang w:eastAsia="en-GB"/>
        </w:rPr>
        <w:t> </w:t>
      </w:r>
      <w:r>
        <w:rPr>
          <w:lang w:eastAsia="en-GB"/>
        </w:rPr>
        <w:t xml:space="preserve">063) </w:t>
      </w:r>
      <w:r w:rsidR="00E11AC0" w:rsidRPr="00E11AC0">
        <w:rPr>
          <w:lang w:eastAsia="en-GB"/>
        </w:rPr>
        <w:t>norāda klientu kredīta apgrozījumu</w:t>
      </w:r>
      <w:r>
        <w:rPr>
          <w:lang w:eastAsia="en-GB"/>
        </w:rPr>
        <w:t xml:space="preserve"> attiecīgi </w:t>
      </w:r>
      <w:r w:rsidR="00E1685F">
        <w:rPr>
          <w:lang w:eastAsia="en-GB"/>
        </w:rPr>
        <w:t>bezskaidras naudas norēķin</w:t>
      </w:r>
      <w:r>
        <w:rPr>
          <w:lang w:eastAsia="en-GB"/>
        </w:rPr>
        <w:t>u</w:t>
      </w:r>
      <w:r w:rsidR="006517C8">
        <w:rPr>
          <w:lang w:eastAsia="en-GB"/>
        </w:rPr>
        <w:t xml:space="preserve">, </w:t>
      </w:r>
      <w:r w:rsidR="00E1685F">
        <w:rPr>
          <w:lang w:eastAsia="en-GB"/>
        </w:rPr>
        <w:t>skaidras naudas norēķin</w:t>
      </w:r>
      <w:r>
        <w:rPr>
          <w:lang w:eastAsia="en-GB"/>
        </w:rPr>
        <w:t>u</w:t>
      </w:r>
      <w:r w:rsidR="006517C8">
        <w:rPr>
          <w:lang w:eastAsia="en-GB"/>
        </w:rPr>
        <w:t xml:space="preserve"> un norēķin</w:t>
      </w:r>
      <w:r>
        <w:rPr>
          <w:lang w:eastAsia="en-GB"/>
        </w:rPr>
        <w:t>u</w:t>
      </w:r>
      <w:r w:rsidR="006517C8">
        <w:rPr>
          <w:lang w:eastAsia="en-GB"/>
        </w:rPr>
        <w:t>, kas veidojušies inkasāciju rezultātā</w:t>
      </w:r>
      <w:r w:rsidR="00E1685F">
        <w:rPr>
          <w:lang w:eastAsia="en-GB"/>
        </w:rPr>
        <w:t>,</w:t>
      </w:r>
      <w:r w:rsidR="00BE5998">
        <w:rPr>
          <w:lang w:eastAsia="en-GB"/>
        </w:rPr>
        <w:t xml:space="preserve"> </w:t>
      </w:r>
      <w:r>
        <w:rPr>
          <w:lang w:eastAsia="en-GB"/>
        </w:rPr>
        <w:t xml:space="preserve">veidā. Šajā apakšpunktā minēto ierakstu vērtības </w:t>
      </w:r>
      <w:r w:rsidR="00E11AC0" w:rsidRPr="00184230">
        <w:rPr>
          <w:lang w:eastAsia="en-GB"/>
        </w:rPr>
        <w:t>grupē atbilstoši klientu kategorijai</w:t>
      </w:r>
      <w:r w:rsidR="009A3A6F" w:rsidRPr="00184230">
        <w:rPr>
          <w:lang w:eastAsia="en-GB"/>
        </w:rPr>
        <w:t>, klientu tipam</w:t>
      </w:r>
      <w:r w:rsidR="00E11AC0" w:rsidRPr="00184230">
        <w:rPr>
          <w:lang w:eastAsia="en-GB"/>
        </w:rPr>
        <w:t xml:space="preserve"> un klientu rezidences (reģistrācijas) valstij;</w:t>
      </w:r>
    </w:p>
    <w:p w14:paraId="248AFD56" w14:textId="228C879F" w:rsidR="00E11AC0" w:rsidRPr="00E11AC0" w:rsidRDefault="00E11AC0" w:rsidP="006E185B">
      <w:pPr>
        <w:pStyle w:val="NApunkts2"/>
        <w:rPr>
          <w:lang w:eastAsia="en-GB"/>
        </w:rPr>
      </w:pPr>
      <w:r w:rsidRPr="00E11AC0">
        <w:rPr>
          <w:lang w:eastAsia="en-GB"/>
        </w:rPr>
        <w:t>norādot datus par klientiem</w:t>
      </w:r>
      <w:r w:rsidR="00AA3C35">
        <w:rPr>
          <w:lang w:eastAsia="en-GB"/>
        </w:rPr>
        <w:t>, kas ir</w:t>
      </w:r>
      <w:r w:rsidRPr="00E11AC0">
        <w:rPr>
          <w:lang w:eastAsia="en-GB"/>
        </w:rPr>
        <w:t xml:space="preserve"> juridiskā</w:t>
      </w:r>
      <w:r w:rsidR="00AA3C35">
        <w:rPr>
          <w:lang w:eastAsia="en-GB"/>
        </w:rPr>
        <w:t>s</w:t>
      </w:r>
      <w:r w:rsidRPr="00E11AC0">
        <w:rPr>
          <w:lang w:eastAsia="en-GB"/>
        </w:rPr>
        <w:t xml:space="preserve"> person</w:t>
      </w:r>
      <w:r w:rsidR="00AA3C35">
        <w:rPr>
          <w:lang w:eastAsia="en-GB"/>
        </w:rPr>
        <w:t>as,</w:t>
      </w:r>
      <w:r w:rsidRPr="00E11AC0">
        <w:rPr>
          <w:lang w:eastAsia="en-GB"/>
        </w:rPr>
        <w:t xml:space="preserve"> atbilstoši </w:t>
      </w:r>
      <w:r w:rsidR="00AC2349" w:rsidRPr="008E0CF5">
        <w:rPr>
          <w:lang w:eastAsia="en-GB"/>
        </w:rPr>
        <w:t>paties</w:t>
      </w:r>
      <w:r w:rsidR="00AC2349">
        <w:rPr>
          <w:lang w:eastAsia="en-GB"/>
        </w:rPr>
        <w:t>ā</w:t>
      </w:r>
      <w:r w:rsidR="00AC2349" w:rsidRPr="008E0CF5">
        <w:rPr>
          <w:lang w:eastAsia="en-GB"/>
        </w:rPr>
        <w:t xml:space="preserve"> labuma guvēj</w:t>
      </w:r>
      <w:r w:rsidR="00AC2349">
        <w:rPr>
          <w:lang w:eastAsia="en-GB"/>
        </w:rPr>
        <w:t>a</w:t>
      </w:r>
      <w:r w:rsidR="00AC2349" w:rsidRPr="008E0CF5">
        <w:rPr>
          <w:lang w:eastAsia="en-GB"/>
        </w:rPr>
        <w:t xml:space="preserve"> </w:t>
      </w:r>
      <w:r w:rsidRPr="00E11AC0">
        <w:rPr>
          <w:lang w:eastAsia="en-GB"/>
        </w:rPr>
        <w:t xml:space="preserve">rezidences valstij, </w:t>
      </w:r>
      <w:r w:rsidR="00AA3C35">
        <w:rPr>
          <w:lang w:eastAsia="en-GB"/>
        </w:rPr>
        <w:t xml:space="preserve">ailē </w:t>
      </w:r>
      <w:r w:rsidRPr="00E11AC0">
        <w:rPr>
          <w:lang w:eastAsia="en-GB"/>
        </w:rPr>
        <w:t xml:space="preserve">"Rezidences (reģistrācijas) valsts kods" </w:t>
      </w:r>
      <w:r w:rsidR="00AA3C35">
        <w:rPr>
          <w:lang w:eastAsia="en-GB"/>
        </w:rPr>
        <w:t>(ailes kods</w:t>
      </w:r>
      <w:r w:rsidR="00D96DA1">
        <w:rPr>
          <w:lang w:eastAsia="en-GB"/>
        </w:rPr>
        <w:t> </w:t>
      </w:r>
      <w:r w:rsidR="00AA3C35">
        <w:rPr>
          <w:lang w:eastAsia="en-GB"/>
        </w:rPr>
        <w:t xml:space="preserve">020) </w:t>
      </w:r>
      <w:r w:rsidRPr="00E11AC0">
        <w:rPr>
          <w:lang w:eastAsia="en-GB"/>
        </w:rPr>
        <w:t xml:space="preserve">norāda klienta </w:t>
      </w:r>
      <w:r w:rsidR="00AC2349" w:rsidRPr="008E0CF5">
        <w:rPr>
          <w:lang w:eastAsia="en-GB"/>
        </w:rPr>
        <w:t>paties</w:t>
      </w:r>
      <w:r w:rsidR="00AC2349">
        <w:rPr>
          <w:lang w:eastAsia="en-GB"/>
        </w:rPr>
        <w:t>ā</w:t>
      </w:r>
      <w:r w:rsidR="00AC2349" w:rsidRPr="008E0CF5">
        <w:rPr>
          <w:lang w:eastAsia="en-GB"/>
        </w:rPr>
        <w:t xml:space="preserve"> labuma guvēj</w:t>
      </w:r>
      <w:r w:rsidR="00AC2349">
        <w:rPr>
          <w:lang w:eastAsia="en-GB"/>
        </w:rPr>
        <w:t>a</w:t>
      </w:r>
      <w:r w:rsidR="00AC2349" w:rsidRPr="008E0CF5">
        <w:rPr>
          <w:lang w:eastAsia="en-GB"/>
        </w:rPr>
        <w:t xml:space="preserve"> </w:t>
      </w:r>
      <w:r w:rsidRPr="00E11AC0">
        <w:rPr>
          <w:lang w:eastAsia="en-GB"/>
        </w:rPr>
        <w:t>rezidences valsts kodu</w:t>
      </w:r>
      <w:r w:rsidR="00AA3C35">
        <w:rPr>
          <w:lang w:eastAsia="en-GB"/>
        </w:rPr>
        <w:t>, ņemot vērā šādas prasības</w:t>
      </w:r>
      <w:r w:rsidRPr="00E11AC0">
        <w:rPr>
          <w:lang w:eastAsia="en-GB"/>
        </w:rPr>
        <w:t>:</w:t>
      </w:r>
    </w:p>
    <w:p w14:paraId="032581F8" w14:textId="4FB75F09" w:rsidR="00E11AC0" w:rsidRPr="00AB7A0A" w:rsidRDefault="00E11AC0" w:rsidP="006E185B">
      <w:pPr>
        <w:pStyle w:val="NApunkts3"/>
        <w:rPr>
          <w:lang w:eastAsia="en-GB"/>
        </w:rPr>
      </w:pPr>
      <w:r w:rsidRPr="00E11AC0">
        <w:rPr>
          <w:lang w:eastAsia="en-GB"/>
        </w:rPr>
        <w:t xml:space="preserve">ja </w:t>
      </w:r>
      <w:r w:rsidRPr="006E185B">
        <w:t>klientam</w:t>
      </w:r>
      <w:r w:rsidRPr="00E11AC0">
        <w:rPr>
          <w:lang w:eastAsia="en-GB"/>
        </w:rPr>
        <w:t xml:space="preserve"> ir vairāki </w:t>
      </w:r>
      <w:r w:rsidR="00AC2349" w:rsidRPr="008E0CF5">
        <w:rPr>
          <w:lang w:eastAsia="en-GB"/>
        </w:rPr>
        <w:t xml:space="preserve">patiesie labuma guvēji </w:t>
      </w:r>
      <w:r w:rsidRPr="00E11AC0">
        <w:rPr>
          <w:lang w:eastAsia="en-GB"/>
        </w:rPr>
        <w:t xml:space="preserve">no dažādām valstīm, norāda visas </w:t>
      </w:r>
      <w:r w:rsidRPr="00AB7A0A">
        <w:rPr>
          <w:lang w:eastAsia="en-GB"/>
        </w:rPr>
        <w:t xml:space="preserve">klienta </w:t>
      </w:r>
      <w:r w:rsidR="00AC2349" w:rsidRPr="00AB7A0A">
        <w:rPr>
          <w:lang w:eastAsia="en-GB"/>
        </w:rPr>
        <w:t xml:space="preserve">patieso labuma guvēju </w:t>
      </w:r>
      <w:r w:rsidRPr="00AB7A0A">
        <w:rPr>
          <w:lang w:eastAsia="en-GB"/>
        </w:rPr>
        <w:t xml:space="preserve">rezidences valstis. Piemēram, ja klientam ir viens </w:t>
      </w:r>
      <w:r w:rsidR="00AC2349" w:rsidRPr="00AB7A0A">
        <w:rPr>
          <w:lang w:eastAsia="en-GB"/>
        </w:rPr>
        <w:t>patiesais labuma guvējs</w:t>
      </w:r>
      <w:r w:rsidRPr="00AB7A0A">
        <w:rPr>
          <w:lang w:eastAsia="en-GB"/>
        </w:rPr>
        <w:t xml:space="preserve">, pretī </w:t>
      </w:r>
      <w:r w:rsidR="00EC65FD" w:rsidRPr="00A045C3">
        <w:rPr>
          <w:lang w:eastAsia="en-GB"/>
        </w:rPr>
        <w:t>ail</w:t>
      </w:r>
      <w:r w:rsidR="00A045C3" w:rsidRPr="00E64F6F">
        <w:rPr>
          <w:lang w:eastAsia="en-GB"/>
        </w:rPr>
        <w:t>ē</w:t>
      </w:r>
      <w:r w:rsidR="00EC65FD" w:rsidRPr="00A045C3">
        <w:rPr>
          <w:lang w:eastAsia="en-GB"/>
        </w:rPr>
        <w:t xml:space="preserve"> </w:t>
      </w:r>
      <w:r w:rsidRPr="00AB7A0A">
        <w:rPr>
          <w:lang w:eastAsia="en-GB"/>
        </w:rPr>
        <w:t xml:space="preserve">"Rezidences (reģistrācijas) valsts kods" ietvertajam klienta </w:t>
      </w:r>
      <w:r w:rsidR="00AC2349" w:rsidRPr="00AB7A0A">
        <w:rPr>
          <w:lang w:eastAsia="en-GB"/>
        </w:rPr>
        <w:t xml:space="preserve">patiesā labuma guvēja </w:t>
      </w:r>
      <w:r w:rsidRPr="00AB7A0A">
        <w:rPr>
          <w:lang w:eastAsia="en-GB"/>
        </w:rPr>
        <w:t xml:space="preserve">rezidences valsts kodam </w:t>
      </w:r>
      <w:r w:rsidR="00D85824" w:rsidRPr="00E64F6F">
        <w:rPr>
          <w:lang w:eastAsia="en-GB"/>
        </w:rPr>
        <w:t>ailē "Klientu skaits" (ailes kods</w:t>
      </w:r>
      <w:r w:rsidR="00D96DA1" w:rsidRPr="00AB7A0A">
        <w:rPr>
          <w:lang w:eastAsia="en-GB"/>
        </w:rPr>
        <w:t> </w:t>
      </w:r>
      <w:r w:rsidR="00D85824" w:rsidRPr="00E64F6F">
        <w:rPr>
          <w:lang w:eastAsia="en-GB"/>
        </w:rPr>
        <w:t xml:space="preserve">030) </w:t>
      </w:r>
      <w:r w:rsidRPr="00AB7A0A">
        <w:rPr>
          <w:lang w:eastAsia="en-GB"/>
        </w:rPr>
        <w:t>norāda skaitli 1;</w:t>
      </w:r>
    </w:p>
    <w:p w14:paraId="50F7C3A3" w14:textId="25E49C94" w:rsidR="00E11AC0" w:rsidRPr="00AB7A0A" w:rsidRDefault="00E11AC0" w:rsidP="006E185B">
      <w:pPr>
        <w:pStyle w:val="NApunkts3"/>
        <w:rPr>
          <w:lang w:eastAsia="en-GB"/>
        </w:rPr>
      </w:pPr>
      <w:r w:rsidRPr="00AB7A0A">
        <w:rPr>
          <w:lang w:eastAsia="en-GB"/>
        </w:rPr>
        <w:t xml:space="preserve">ja klientam ir vairāk nekā viens </w:t>
      </w:r>
      <w:r w:rsidR="00AC2349" w:rsidRPr="00AB7A0A">
        <w:rPr>
          <w:lang w:eastAsia="en-GB"/>
        </w:rPr>
        <w:t xml:space="preserve">patiesais labuma guvējs </w:t>
      </w:r>
      <w:r w:rsidRPr="00AB7A0A">
        <w:rPr>
          <w:lang w:eastAsia="en-GB"/>
        </w:rPr>
        <w:t xml:space="preserve">un </w:t>
      </w:r>
      <w:r w:rsidR="00F43024" w:rsidRPr="00AB7A0A">
        <w:rPr>
          <w:lang w:eastAsia="en-GB"/>
        </w:rPr>
        <w:t xml:space="preserve">tie ir </w:t>
      </w:r>
      <w:r w:rsidRPr="00AB7A0A">
        <w:rPr>
          <w:lang w:eastAsia="en-GB"/>
        </w:rPr>
        <w:t xml:space="preserve">katrs no </w:t>
      </w:r>
      <w:r w:rsidR="00F0564B" w:rsidRPr="00AB7A0A">
        <w:rPr>
          <w:lang w:eastAsia="en-GB"/>
        </w:rPr>
        <w:t xml:space="preserve">citas </w:t>
      </w:r>
      <w:r w:rsidRPr="00AB7A0A">
        <w:rPr>
          <w:lang w:eastAsia="en-GB"/>
        </w:rPr>
        <w:t xml:space="preserve">rezidences valsts, tos sadala proporcionāli (proporcionalitātes princips), proti, pieņemot, ka, ja trīs </w:t>
      </w:r>
      <w:r w:rsidR="00AC2349" w:rsidRPr="00AB7A0A">
        <w:rPr>
          <w:lang w:eastAsia="en-GB"/>
        </w:rPr>
        <w:t xml:space="preserve">patiesie labuma guvēji </w:t>
      </w:r>
      <w:r w:rsidRPr="00AB7A0A">
        <w:rPr>
          <w:lang w:eastAsia="en-GB"/>
        </w:rPr>
        <w:t xml:space="preserve">veido vienu veselu, tad katrs </w:t>
      </w:r>
      <w:r w:rsidR="00AC2349" w:rsidRPr="00AB7A0A">
        <w:rPr>
          <w:lang w:eastAsia="en-GB"/>
        </w:rPr>
        <w:t xml:space="preserve">patiesais labuma guvējs </w:t>
      </w:r>
      <w:r w:rsidRPr="00AB7A0A">
        <w:rPr>
          <w:lang w:eastAsia="en-GB"/>
        </w:rPr>
        <w:t xml:space="preserve">veido trešdaļu no viena vesela. Līdz ar to atbilstoši </w:t>
      </w:r>
      <w:r w:rsidR="00AC2349" w:rsidRPr="00AB7A0A">
        <w:rPr>
          <w:lang w:eastAsia="en-GB"/>
        </w:rPr>
        <w:t xml:space="preserve">patiesā labuma guvēja </w:t>
      </w:r>
      <w:r w:rsidRPr="00AB7A0A">
        <w:rPr>
          <w:lang w:eastAsia="en-GB"/>
        </w:rPr>
        <w:t xml:space="preserve">rezidences valstij pretī </w:t>
      </w:r>
      <w:r w:rsidR="00CC0CBA" w:rsidRPr="00A045C3">
        <w:rPr>
          <w:lang w:eastAsia="en-GB"/>
        </w:rPr>
        <w:t>ail</w:t>
      </w:r>
      <w:r w:rsidR="00A045C3" w:rsidRPr="00E64F6F">
        <w:rPr>
          <w:lang w:eastAsia="en-GB"/>
        </w:rPr>
        <w:t>ē</w:t>
      </w:r>
      <w:r w:rsidR="00CC0CBA" w:rsidRPr="00A045C3">
        <w:rPr>
          <w:lang w:eastAsia="en-GB"/>
        </w:rPr>
        <w:t xml:space="preserve"> </w:t>
      </w:r>
      <w:r w:rsidRPr="00AB7A0A">
        <w:rPr>
          <w:lang w:eastAsia="en-GB"/>
        </w:rPr>
        <w:t xml:space="preserve">"Rezidences (reģistrācijas) valsts kods" ietvertajam klienta </w:t>
      </w:r>
      <w:r w:rsidR="00AC2349" w:rsidRPr="00AB7A0A">
        <w:rPr>
          <w:lang w:eastAsia="en-GB"/>
        </w:rPr>
        <w:t xml:space="preserve">patiesā labuma guvēja </w:t>
      </w:r>
      <w:r w:rsidRPr="00AB7A0A">
        <w:rPr>
          <w:lang w:eastAsia="en-GB"/>
        </w:rPr>
        <w:t>rezidences valsts kodam</w:t>
      </w:r>
      <w:r w:rsidR="00D85824" w:rsidRPr="00AB7A0A">
        <w:rPr>
          <w:lang w:eastAsia="en-GB"/>
        </w:rPr>
        <w:t xml:space="preserve"> </w:t>
      </w:r>
      <w:r w:rsidR="00D85824" w:rsidRPr="007A2005">
        <w:rPr>
          <w:lang w:eastAsia="en-GB"/>
        </w:rPr>
        <w:t>ailē "Klientu skaits" (ailes kods</w:t>
      </w:r>
      <w:r w:rsidR="00D96DA1" w:rsidRPr="00A045C3">
        <w:rPr>
          <w:lang w:eastAsia="en-GB"/>
        </w:rPr>
        <w:t> </w:t>
      </w:r>
      <w:r w:rsidR="00D85824" w:rsidRPr="00A045C3">
        <w:rPr>
          <w:lang w:eastAsia="en-GB"/>
        </w:rPr>
        <w:t>030)</w:t>
      </w:r>
      <w:r w:rsidRPr="00AB7A0A">
        <w:rPr>
          <w:lang w:eastAsia="en-GB"/>
        </w:rPr>
        <w:t xml:space="preserve"> norāda skaitli 0.33;</w:t>
      </w:r>
    </w:p>
    <w:p w14:paraId="4C191510" w14:textId="3AF7BEE5" w:rsidR="00E11AC0" w:rsidRPr="00E11AC0" w:rsidRDefault="00F43024" w:rsidP="006E185B">
      <w:pPr>
        <w:pStyle w:val="NApunkts2"/>
        <w:rPr>
          <w:lang w:eastAsia="en-GB"/>
        </w:rPr>
      </w:pPr>
      <w:r>
        <w:rPr>
          <w:lang w:eastAsia="en-GB"/>
        </w:rPr>
        <w:t xml:space="preserve">norādot </w:t>
      </w:r>
      <w:r w:rsidR="00E11AC0" w:rsidRPr="00E11AC0">
        <w:rPr>
          <w:lang w:eastAsia="en-GB"/>
        </w:rPr>
        <w:t>faktisko</w:t>
      </w:r>
      <w:r>
        <w:rPr>
          <w:lang w:eastAsia="en-GB"/>
        </w:rPr>
        <w:t>s</w:t>
      </w:r>
      <w:r w:rsidR="00E11AC0" w:rsidRPr="00E11AC0">
        <w:rPr>
          <w:lang w:eastAsia="en-GB"/>
        </w:rPr>
        <w:t xml:space="preserve"> datu</w:t>
      </w:r>
      <w:r>
        <w:rPr>
          <w:lang w:eastAsia="en-GB"/>
        </w:rPr>
        <w:t>s</w:t>
      </w:r>
      <w:r w:rsidR="00E11AC0" w:rsidRPr="00E11AC0">
        <w:rPr>
          <w:lang w:eastAsia="en-GB"/>
        </w:rPr>
        <w:t xml:space="preserve"> par klientiem</w:t>
      </w:r>
      <w:r w:rsidR="00AA3C35">
        <w:rPr>
          <w:lang w:eastAsia="en-GB"/>
        </w:rPr>
        <w:t>, kuri ir</w:t>
      </w:r>
      <w:r w:rsidR="00E11AC0" w:rsidRPr="00E11AC0">
        <w:rPr>
          <w:lang w:eastAsia="en-GB"/>
        </w:rPr>
        <w:t xml:space="preserve"> juridiskā</w:t>
      </w:r>
      <w:r w:rsidR="00AA3C35">
        <w:rPr>
          <w:lang w:eastAsia="en-GB"/>
        </w:rPr>
        <w:t>s</w:t>
      </w:r>
      <w:r w:rsidR="00E11AC0" w:rsidRPr="00E11AC0">
        <w:rPr>
          <w:lang w:eastAsia="en-GB"/>
        </w:rPr>
        <w:t xml:space="preserve"> person</w:t>
      </w:r>
      <w:r w:rsidR="00AA3C35">
        <w:rPr>
          <w:lang w:eastAsia="en-GB"/>
        </w:rPr>
        <w:t>as,</w:t>
      </w:r>
      <w:r w:rsidR="00E11AC0" w:rsidRPr="00E11AC0">
        <w:rPr>
          <w:lang w:eastAsia="en-GB"/>
        </w:rPr>
        <w:t xml:space="preserve"> atbilstoši </w:t>
      </w:r>
      <w:r w:rsidR="00AC2349" w:rsidRPr="008E0CF5">
        <w:rPr>
          <w:lang w:eastAsia="en-GB"/>
        </w:rPr>
        <w:t>paties</w:t>
      </w:r>
      <w:r w:rsidR="00AC2349">
        <w:rPr>
          <w:lang w:eastAsia="en-GB"/>
        </w:rPr>
        <w:t>ā</w:t>
      </w:r>
      <w:r w:rsidR="00AC2349" w:rsidRPr="008E0CF5">
        <w:rPr>
          <w:lang w:eastAsia="en-GB"/>
        </w:rPr>
        <w:t xml:space="preserve"> labuma guvēj</w:t>
      </w:r>
      <w:r w:rsidR="00AC2349">
        <w:rPr>
          <w:lang w:eastAsia="en-GB"/>
        </w:rPr>
        <w:t>a</w:t>
      </w:r>
      <w:r w:rsidR="00AC2349" w:rsidRPr="008E0CF5">
        <w:rPr>
          <w:lang w:eastAsia="en-GB"/>
        </w:rPr>
        <w:t xml:space="preserve"> </w:t>
      </w:r>
      <w:r w:rsidR="00E11AC0" w:rsidRPr="00E11AC0">
        <w:rPr>
          <w:lang w:eastAsia="en-GB"/>
        </w:rPr>
        <w:t xml:space="preserve">rezidences </w:t>
      </w:r>
      <w:r w:rsidR="00E11AC0" w:rsidRPr="007A2005">
        <w:rPr>
          <w:lang w:eastAsia="en-GB"/>
        </w:rPr>
        <w:t xml:space="preserve">valstij </w:t>
      </w:r>
      <w:r w:rsidR="00A045C3" w:rsidRPr="00E64F6F">
        <w:rPr>
          <w:lang w:eastAsia="en-GB"/>
        </w:rPr>
        <w:t>(attiec</w:t>
      </w:r>
      <w:r w:rsidR="00AB7A0A" w:rsidRPr="00E64F6F">
        <w:rPr>
          <w:lang w:eastAsia="en-GB"/>
        </w:rPr>
        <w:t>īgo</w:t>
      </w:r>
      <w:r w:rsidR="00A045C3" w:rsidRPr="00E64F6F">
        <w:rPr>
          <w:lang w:eastAsia="en-GB"/>
        </w:rPr>
        <w:t xml:space="preserve"> </w:t>
      </w:r>
      <w:r w:rsidR="00CC0CBA" w:rsidRPr="00E64F6F">
        <w:rPr>
          <w:lang w:eastAsia="en-GB"/>
        </w:rPr>
        <w:t>ai</w:t>
      </w:r>
      <w:r w:rsidR="00AB7A0A" w:rsidRPr="00E64F6F">
        <w:rPr>
          <w:lang w:eastAsia="en-GB"/>
        </w:rPr>
        <w:t>ļu kodi</w:t>
      </w:r>
      <w:r w:rsidR="00D96DA1" w:rsidRPr="00E64F6F">
        <w:rPr>
          <w:lang w:eastAsia="en-GB"/>
        </w:rPr>
        <w:t> </w:t>
      </w:r>
      <w:r w:rsidR="00E11AC0" w:rsidRPr="00E64F6F">
        <w:rPr>
          <w:lang w:eastAsia="en-GB"/>
        </w:rPr>
        <w:t>040–06</w:t>
      </w:r>
      <w:r w:rsidR="00E64F6F" w:rsidRPr="00E64F6F">
        <w:rPr>
          <w:lang w:eastAsia="en-GB"/>
        </w:rPr>
        <w:t>3</w:t>
      </w:r>
      <w:r w:rsidR="00A045C3" w:rsidRPr="007A2005">
        <w:rPr>
          <w:lang w:eastAsia="en-GB"/>
        </w:rPr>
        <w:t>)</w:t>
      </w:r>
      <w:r w:rsidRPr="00AB7A0A">
        <w:rPr>
          <w:lang w:eastAsia="en-GB"/>
        </w:rPr>
        <w:t>,</w:t>
      </w:r>
      <w:r w:rsidR="00E11AC0" w:rsidRPr="007A2005">
        <w:rPr>
          <w:lang w:eastAsia="en-GB"/>
        </w:rPr>
        <w:t xml:space="preserve"> ievēro šo noteikumu </w:t>
      </w:r>
      <w:r w:rsidR="00DF4A7D" w:rsidRPr="007A2005">
        <w:rPr>
          <w:lang w:eastAsia="en-GB"/>
        </w:rPr>
        <w:t>33</w:t>
      </w:r>
      <w:r w:rsidR="00E11AC0" w:rsidRPr="007A2005">
        <w:rPr>
          <w:lang w:eastAsia="en-GB"/>
        </w:rPr>
        <w:t>.</w:t>
      </w:r>
      <w:r w:rsidR="00D85824" w:rsidRPr="007A2005">
        <w:rPr>
          <w:lang w:eastAsia="en-GB"/>
        </w:rPr>
        <w:t>7</w:t>
      </w:r>
      <w:r w:rsidR="00E11AC0" w:rsidRPr="007A2005">
        <w:rPr>
          <w:lang w:eastAsia="en-GB"/>
        </w:rPr>
        <w:t>.</w:t>
      </w:r>
      <w:r w:rsidR="00EE1CA1" w:rsidRPr="007A2005">
        <w:rPr>
          <w:lang w:eastAsia="en-GB"/>
        </w:rPr>
        <w:t>2</w:t>
      </w:r>
      <w:r w:rsidR="00E11AC0" w:rsidRPr="007A2005">
        <w:rPr>
          <w:lang w:eastAsia="en-GB"/>
        </w:rPr>
        <w:t>.</w:t>
      </w:r>
      <w:r w:rsidR="00DB6F4D" w:rsidRPr="007A2005">
        <w:rPr>
          <w:lang w:eastAsia="en-GB"/>
        </w:rPr>
        <w:t> </w:t>
      </w:r>
      <w:r w:rsidR="00E11AC0" w:rsidRPr="007A2005">
        <w:rPr>
          <w:lang w:eastAsia="en-GB"/>
        </w:rPr>
        <w:t>apakšpunktā minēto proporcionalitātes</w:t>
      </w:r>
      <w:r w:rsidR="00E11AC0" w:rsidRPr="00E11AC0">
        <w:rPr>
          <w:lang w:eastAsia="en-GB"/>
        </w:rPr>
        <w:t xml:space="preserve"> principu;</w:t>
      </w:r>
    </w:p>
    <w:p w14:paraId="7949F747" w14:textId="33A4CF27" w:rsidR="00E11AC0" w:rsidRPr="00E11AC0" w:rsidRDefault="00E11AC0" w:rsidP="006E185B">
      <w:pPr>
        <w:pStyle w:val="NApunkts2"/>
        <w:rPr>
          <w:lang w:eastAsia="en-GB"/>
        </w:rPr>
      </w:pPr>
      <w:r w:rsidRPr="00E11AC0">
        <w:rPr>
          <w:lang w:eastAsia="en-GB"/>
        </w:rPr>
        <w:t>norādot datus par klientiem</w:t>
      </w:r>
      <w:r w:rsidR="00AA3C35">
        <w:rPr>
          <w:lang w:eastAsia="en-GB"/>
        </w:rPr>
        <w:t>, kuri ir</w:t>
      </w:r>
      <w:r w:rsidRPr="00E11AC0">
        <w:rPr>
          <w:lang w:eastAsia="en-GB"/>
        </w:rPr>
        <w:t xml:space="preserve"> </w:t>
      </w:r>
      <w:r w:rsidR="00B24772">
        <w:rPr>
          <w:lang w:eastAsia="en-GB"/>
        </w:rPr>
        <w:t xml:space="preserve">tādas </w:t>
      </w:r>
      <w:r w:rsidRPr="00E11AC0">
        <w:rPr>
          <w:lang w:eastAsia="en-GB"/>
        </w:rPr>
        <w:t>fiziskā</w:t>
      </w:r>
      <w:r w:rsidR="00AA3C35">
        <w:rPr>
          <w:lang w:eastAsia="en-GB"/>
        </w:rPr>
        <w:t>s</w:t>
      </w:r>
      <w:r w:rsidRPr="00E11AC0">
        <w:rPr>
          <w:lang w:eastAsia="en-GB"/>
        </w:rPr>
        <w:t xml:space="preserve"> person</w:t>
      </w:r>
      <w:r w:rsidR="00AA3C35">
        <w:rPr>
          <w:lang w:eastAsia="en-GB"/>
        </w:rPr>
        <w:t>as</w:t>
      </w:r>
      <w:r w:rsidRPr="00E11AC0">
        <w:rPr>
          <w:lang w:eastAsia="en-GB"/>
        </w:rPr>
        <w:t>, k</w:t>
      </w:r>
      <w:r w:rsidR="00AA3C35">
        <w:rPr>
          <w:lang w:eastAsia="en-GB"/>
        </w:rPr>
        <w:t>as</w:t>
      </w:r>
      <w:r w:rsidRPr="00E11AC0">
        <w:rPr>
          <w:lang w:eastAsia="en-GB"/>
        </w:rPr>
        <w:t xml:space="preserve"> ir politiski nozīmīgas personas, un </w:t>
      </w:r>
      <w:r w:rsidR="00AA3C35">
        <w:rPr>
          <w:lang w:eastAsia="en-GB"/>
        </w:rPr>
        <w:t xml:space="preserve">par </w:t>
      </w:r>
      <w:r w:rsidRPr="00E11AC0">
        <w:rPr>
          <w:lang w:eastAsia="en-GB"/>
        </w:rPr>
        <w:t>klientiem</w:t>
      </w:r>
      <w:r w:rsidR="00AA3C35">
        <w:rPr>
          <w:lang w:eastAsia="en-GB"/>
        </w:rPr>
        <w:t>, k</w:t>
      </w:r>
      <w:r w:rsidR="00B24772">
        <w:rPr>
          <w:lang w:eastAsia="en-GB"/>
        </w:rPr>
        <w:t>as</w:t>
      </w:r>
      <w:r w:rsidR="00AA3C35">
        <w:rPr>
          <w:lang w:eastAsia="en-GB"/>
        </w:rPr>
        <w:t xml:space="preserve"> ir</w:t>
      </w:r>
      <w:r w:rsidRPr="00E11AC0">
        <w:rPr>
          <w:lang w:eastAsia="en-GB"/>
        </w:rPr>
        <w:t xml:space="preserve"> juridiskā</w:t>
      </w:r>
      <w:r w:rsidR="00AA3C35">
        <w:rPr>
          <w:lang w:eastAsia="en-GB"/>
        </w:rPr>
        <w:t>s</w:t>
      </w:r>
      <w:r w:rsidRPr="00E11AC0">
        <w:rPr>
          <w:lang w:eastAsia="en-GB"/>
        </w:rPr>
        <w:t xml:space="preserve"> person</w:t>
      </w:r>
      <w:r w:rsidR="00AA3C35">
        <w:rPr>
          <w:lang w:eastAsia="en-GB"/>
        </w:rPr>
        <w:t>as</w:t>
      </w:r>
      <w:r w:rsidRPr="00E11AC0">
        <w:rPr>
          <w:lang w:eastAsia="en-GB"/>
        </w:rPr>
        <w:t xml:space="preserve">, kuru </w:t>
      </w:r>
      <w:r w:rsidR="00AC2349" w:rsidRPr="008E0CF5">
        <w:rPr>
          <w:lang w:eastAsia="en-GB"/>
        </w:rPr>
        <w:t xml:space="preserve">patiesie labuma guvēji </w:t>
      </w:r>
      <w:r w:rsidRPr="00E11AC0">
        <w:rPr>
          <w:lang w:eastAsia="en-GB"/>
        </w:rPr>
        <w:t xml:space="preserve">ir politiski nozīmīgas personas, </w:t>
      </w:r>
      <w:r w:rsidR="00AA3C35">
        <w:rPr>
          <w:lang w:eastAsia="en-GB"/>
        </w:rPr>
        <w:t xml:space="preserve">ailē </w:t>
      </w:r>
      <w:r w:rsidRPr="00E11AC0">
        <w:rPr>
          <w:lang w:eastAsia="en-GB"/>
        </w:rPr>
        <w:t xml:space="preserve">"Rezidences (reģistrācijas) valsts kods" </w:t>
      </w:r>
      <w:r w:rsidR="00AA3C35">
        <w:rPr>
          <w:lang w:eastAsia="en-GB"/>
        </w:rPr>
        <w:t>(ailes kods</w:t>
      </w:r>
      <w:r w:rsidR="00D96DA1">
        <w:rPr>
          <w:lang w:eastAsia="en-GB"/>
        </w:rPr>
        <w:t> </w:t>
      </w:r>
      <w:r w:rsidR="00AA3C35">
        <w:rPr>
          <w:lang w:eastAsia="en-GB"/>
        </w:rPr>
        <w:t xml:space="preserve">020) </w:t>
      </w:r>
      <w:r w:rsidRPr="00E11AC0">
        <w:rPr>
          <w:lang w:eastAsia="en-GB"/>
        </w:rPr>
        <w:t>norāda politiski nozīmīgas personas rezidences valsts kodu</w:t>
      </w:r>
      <w:r w:rsidR="00AA3C35">
        <w:rPr>
          <w:lang w:eastAsia="en-GB"/>
        </w:rPr>
        <w:t xml:space="preserve"> </w:t>
      </w:r>
      <w:r w:rsidR="00AA3C35" w:rsidRPr="005F47F2">
        <w:rPr>
          <w:color w:val="000000" w:themeColor="text1"/>
        </w:rPr>
        <w:t xml:space="preserve">saskaņā ar </w:t>
      </w:r>
      <w:r w:rsidR="00AA3C35">
        <w:rPr>
          <w:color w:val="000000" w:themeColor="text1"/>
        </w:rPr>
        <w:t xml:space="preserve">starptautisko </w:t>
      </w:r>
      <w:r w:rsidR="00AA3C35" w:rsidRPr="005F47F2">
        <w:rPr>
          <w:color w:val="000000" w:themeColor="text1"/>
        </w:rPr>
        <w:t>standartu ISO</w:t>
      </w:r>
      <w:r w:rsidR="003B0E03">
        <w:rPr>
          <w:color w:val="000000" w:themeColor="text1"/>
        </w:rPr>
        <w:t> </w:t>
      </w:r>
      <w:r w:rsidR="00AA3C35" w:rsidRPr="005F47F2">
        <w:rPr>
          <w:color w:val="000000" w:themeColor="text1"/>
        </w:rPr>
        <w:t xml:space="preserve">3166 </w:t>
      </w:r>
      <w:r w:rsidR="00AA3C35">
        <w:rPr>
          <w:color w:val="000000" w:themeColor="text1"/>
        </w:rPr>
        <w:t>"</w:t>
      </w:r>
      <w:r w:rsidR="00AA3C35" w:rsidRPr="00766A33">
        <w:rPr>
          <w:color w:val="000000" w:themeColor="text1"/>
        </w:rPr>
        <w:t xml:space="preserve">Valstu un to </w:t>
      </w:r>
      <w:r w:rsidR="00AA3C35">
        <w:rPr>
          <w:color w:val="000000" w:themeColor="text1"/>
        </w:rPr>
        <w:t xml:space="preserve">administratīvi </w:t>
      </w:r>
      <w:r w:rsidR="00AA3C35" w:rsidRPr="00766A33">
        <w:rPr>
          <w:color w:val="000000" w:themeColor="text1"/>
        </w:rPr>
        <w:t>teritoriālā iedalījuma vienību nosaukumu kodi</w:t>
      </w:r>
      <w:r w:rsidR="00AA3C35">
        <w:rPr>
          <w:color w:val="000000" w:themeColor="text1"/>
        </w:rPr>
        <w:t xml:space="preserve">" </w:t>
      </w:r>
      <w:r w:rsidR="00AA3C35" w:rsidRPr="005F47F2">
        <w:rPr>
          <w:color w:val="000000" w:themeColor="text1"/>
        </w:rPr>
        <w:t>(</w:t>
      </w:r>
      <w:r w:rsidR="00AA3C35" w:rsidRPr="00AB7A0A">
        <w:rPr>
          <w:color w:val="000000" w:themeColor="text1"/>
        </w:rPr>
        <w:t>izmanto jaunāko aktuālo</w:t>
      </w:r>
      <w:r w:rsidR="00AA3C35" w:rsidRPr="005F47F2">
        <w:rPr>
          <w:color w:val="000000" w:themeColor="text1"/>
        </w:rPr>
        <w:t xml:space="preserve"> standartu)</w:t>
      </w:r>
      <w:r w:rsidRPr="00E11AC0">
        <w:rPr>
          <w:lang w:eastAsia="en-GB"/>
        </w:rPr>
        <w:t>;</w:t>
      </w:r>
    </w:p>
    <w:p w14:paraId="17B8BE2A" w14:textId="34041C13" w:rsidR="00FC30EE" w:rsidRPr="007A2005" w:rsidRDefault="00E11AC0" w:rsidP="006E185B">
      <w:pPr>
        <w:pStyle w:val="NApunkts2"/>
        <w:rPr>
          <w:lang w:eastAsia="en-GB"/>
        </w:rPr>
      </w:pPr>
      <w:r w:rsidRPr="00E11AC0">
        <w:rPr>
          <w:lang w:eastAsia="en-GB"/>
        </w:rPr>
        <w:t>ja klientam</w:t>
      </w:r>
      <w:r w:rsidR="00AA3C35">
        <w:rPr>
          <w:lang w:eastAsia="en-GB"/>
        </w:rPr>
        <w:t>, kas ir</w:t>
      </w:r>
      <w:r w:rsidRPr="00E11AC0">
        <w:rPr>
          <w:lang w:eastAsia="en-GB"/>
        </w:rPr>
        <w:t xml:space="preserve"> juridisk</w:t>
      </w:r>
      <w:r w:rsidR="00AA3C35">
        <w:rPr>
          <w:lang w:eastAsia="en-GB"/>
        </w:rPr>
        <w:t>ā</w:t>
      </w:r>
      <w:r w:rsidRPr="00E11AC0">
        <w:rPr>
          <w:lang w:eastAsia="en-GB"/>
        </w:rPr>
        <w:t xml:space="preserve"> persona</w:t>
      </w:r>
      <w:r w:rsidR="00AA3C35">
        <w:rPr>
          <w:lang w:eastAsia="en-GB"/>
        </w:rPr>
        <w:t>,</w:t>
      </w:r>
      <w:r w:rsidRPr="00E11AC0">
        <w:rPr>
          <w:lang w:eastAsia="en-GB"/>
        </w:rPr>
        <w:t xml:space="preserve"> ir vairāki </w:t>
      </w:r>
      <w:r w:rsidR="00AC2349" w:rsidRPr="008E0CF5">
        <w:rPr>
          <w:lang w:eastAsia="en-GB"/>
        </w:rPr>
        <w:t xml:space="preserve">patiesie labuma guvēji </w:t>
      </w:r>
      <w:r w:rsidRPr="00E11AC0">
        <w:rPr>
          <w:lang w:eastAsia="en-GB"/>
        </w:rPr>
        <w:t>ar politiski nozīmīgas personas statusu</w:t>
      </w:r>
      <w:r w:rsidRPr="00E64F6F">
        <w:rPr>
          <w:lang w:eastAsia="en-GB"/>
        </w:rPr>
        <w:t>, tad</w:t>
      </w:r>
      <w:r w:rsidR="00F43024" w:rsidRPr="00E64F6F">
        <w:rPr>
          <w:lang w:eastAsia="en-GB"/>
        </w:rPr>
        <w:t>, norādot</w:t>
      </w:r>
      <w:r w:rsidRPr="00E64F6F">
        <w:rPr>
          <w:lang w:eastAsia="en-GB"/>
        </w:rPr>
        <w:t xml:space="preserve"> datu</w:t>
      </w:r>
      <w:r w:rsidR="00F43024" w:rsidRPr="00E64F6F">
        <w:rPr>
          <w:lang w:eastAsia="en-GB"/>
        </w:rPr>
        <w:t>s</w:t>
      </w:r>
      <w:r w:rsidRPr="00E64F6F">
        <w:rPr>
          <w:lang w:eastAsia="en-GB"/>
        </w:rPr>
        <w:t xml:space="preserve"> </w:t>
      </w:r>
      <w:r w:rsidR="00A56E6A" w:rsidRPr="00E64F6F">
        <w:rPr>
          <w:lang w:eastAsia="en-GB"/>
        </w:rPr>
        <w:t xml:space="preserve">par šādiem patiesajiem labuma guvējiem </w:t>
      </w:r>
      <w:r w:rsidR="00A045C3" w:rsidRPr="00E64F6F">
        <w:rPr>
          <w:lang w:eastAsia="en-GB"/>
        </w:rPr>
        <w:t>(</w:t>
      </w:r>
      <w:r w:rsidR="00AB7A0A" w:rsidRPr="00E64F6F">
        <w:rPr>
          <w:lang w:eastAsia="en-GB"/>
        </w:rPr>
        <w:t xml:space="preserve">attiecīgo </w:t>
      </w:r>
      <w:r w:rsidR="00AA3C35" w:rsidRPr="00E64F6F">
        <w:rPr>
          <w:lang w:eastAsia="en-GB"/>
        </w:rPr>
        <w:t>ai</w:t>
      </w:r>
      <w:r w:rsidR="00AB7A0A" w:rsidRPr="00E64F6F">
        <w:rPr>
          <w:lang w:eastAsia="en-GB"/>
        </w:rPr>
        <w:t>ļu kodi</w:t>
      </w:r>
      <w:r w:rsidR="00D96DA1" w:rsidRPr="00E64F6F">
        <w:rPr>
          <w:lang w:eastAsia="en-GB"/>
        </w:rPr>
        <w:t> </w:t>
      </w:r>
      <w:r w:rsidRPr="00E64F6F">
        <w:rPr>
          <w:lang w:eastAsia="en-GB"/>
        </w:rPr>
        <w:t>030–06</w:t>
      </w:r>
      <w:r w:rsidR="00E64F6F" w:rsidRPr="00E64F6F">
        <w:rPr>
          <w:lang w:eastAsia="en-GB"/>
        </w:rPr>
        <w:t>3</w:t>
      </w:r>
      <w:r w:rsidR="00A045C3" w:rsidRPr="00E64F6F">
        <w:rPr>
          <w:lang w:eastAsia="en-GB"/>
        </w:rPr>
        <w:t>)</w:t>
      </w:r>
      <w:r w:rsidR="00F43024" w:rsidRPr="00E64F6F">
        <w:rPr>
          <w:lang w:eastAsia="en-GB"/>
        </w:rPr>
        <w:t>,</w:t>
      </w:r>
      <w:r w:rsidRPr="00E11AC0">
        <w:rPr>
          <w:lang w:eastAsia="en-GB"/>
        </w:rPr>
        <w:t xml:space="preserve"> ievēro šo noteikumu </w:t>
      </w:r>
      <w:r w:rsidR="00DF4A7D" w:rsidRPr="00DF4A7D">
        <w:rPr>
          <w:lang w:eastAsia="en-GB"/>
        </w:rPr>
        <w:t>33</w:t>
      </w:r>
      <w:r w:rsidRPr="00DF4A7D">
        <w:rPr>
          <w:lang w:eastAsia="en-GB"/>
        </w:rPr>
        <w:t>.</w:t>
      </w:r>
      <w:r w:rsidR="00D85824">
        <w:rPr>
          <w:lang w:eastAsia="en-GB"/>
        </w:rPr>
        <w:t>7</w:t>
      </w:r>
      <w:r w:rsidRPr="00DF4A7D">
        <w:rPr>
          <w:lang w:eastAsia="en-GB"/>
        </w:rPr>
        <w:t>.</w:t>
      </w:r>
      <w:r w:rsidR="00EE1CA1" w:rsidRPr="00DF4A7D">
        <w:rPr>
          <w:lang w:eastAsia="en-GB"/>
        </w:rPr>
        <w:t>2</w:t>
      </w:r>
      <w:r w:rsidRPr="00DF4A7D">
        <w:rPr>
          <w:lang w:eastAsia="en-GB"/>
        </w:rPr>
        <w:t>.</w:t>
      </w:r>
      <w:r w:rsidR="00835974" w:rsidRPr="00435118">
        <w:t> </w:t>
      </w:r>
      <w:r w:rsidRPr="003623BD">
        <w:rPr>
          <w:lang w:eastAsia="en-GB"/>
        </w:rPr>
        <w:t>apakšpunktā</w:t>
      </w:r>
      <w:r w:rsidRPr="00E11AC0">
        <w:rPr>
          <w:lang w:eastAsia="en-GB"/>
        </w:rPr>
        <w:t xml:space="preserve"> minēto proporcionalitātes principu. Piemēram, ja viens no diviem vai vairākiem klienta </w:t>
      </w:r>
      <w:r w:rsidR="00AC2349" w:rsidRPr="008E0CF5">
        <w:rPr>
          <w:lang w:eastAsia="en-GB"/>
        </w:rPr>
        <w:t>paties</w:t>
      </w:r>
      <w:r w:rsidR="00AC2349">
        <w:rPr>
          <w:lang w:eastAsia="en-GB"/>
        </w:rPr>
        <w:t>ajiem</w:t>
      </w:r>
      <w:r w:rsidR="00AC2349" w:rsidRPr="008E0CF5">
        <w:rPr>
          <w:lang w:eastAsia="en-GB"/>
        </w:rPr>
        <w:t xml:space="preserve"> labuma guvēji</w:t>
      </w:r>
      <w:r w:rsidR="00AC2349">
        <w:rPr>
          <w:lang w:eastAsia="en-GB"/>
        </w:rPr>
        <w:t>em</w:t>
      </w:r>
      <w:r w:rsidR="00AC2349" w:rsidRPr="008E0CF5">
        <w:rPr>
          <w:lang w:eastAsia="en-GB"/>
        </w:rPr>
        <w:t xml:space="preserve"> </w:t>
      </w:r>
      <w:r w:rsidRPr="00E11AC0">
        <w:rPr>
          <w:lang w:eastAsia="en-GB"/>
        </w:rPr>
        <w:t xml:space="preserve">ir politiski nozīmīga persona, tad pretī politiski nozīmīgas personas rezidences (reģistrācijas) valsts kodam </w:t>
      </w:r>
      <w:r w:rsidR="00D85824" w:rsidRPr="000B694D">
        <w:rPr>
          <w:lang w:eastAsia="en-GB"/>
        </w:rPr>
        <w:t>ailē "Klientu skaits" (ailes kods</w:t>
      </w:r>
      <w:r w:rsidR="00D96DA1">
        <w:rPr>
          <w:lang w:eastAsia="en-GB"/>
        </w:rPr>
        <w:t> </w:t>
      </w:r>
      <w:r w:rsidR="00D85824" w:rsidRPr="000B694D">
        <w:rPr>
          <w:lang w:eastAsia="en-GB"/>
        </w:rPr>
        <w:t>030)</w:t>
      </w:r>
      <w:r w:rsidR="00D85824">
        <w:rPr>
          <w:lang w:eastAsia="en-GB"/>
        </w:rPr>
        <w:t xml:space="preserve"> </w:t>
      </w:r>
      <w:r w:rsidRPr="00E11AC0">
        <w:rPr>
          <w:lang w:eastAsia="en-GB"/>
        </w:rPr>
        <w:t>norāda skaitli</w:t>
      </w:r>
      <w:r w:rsidR="003B0E03">
        <w:rPr>
          <w:lang w:eastAsia="en-GB"/>
        </w:rPr>
        <w:t> </w:t>
      </w:r>
      <w:r w:rsidRPr="00E11AC0">
        <w:rPr>
          <w:lang w:eastAsia="en-GB"/>
        </w:rPr>
        <w:t xml:space="preserve">1 un pārējās </w:t>
      </w:r>
      <w:r w:rsidR="00CC0CBA">
        <w:rPr>
          <w:lang w:eastAsia="en-GB"/>
        </w:rPr>
        <w:t>ailēs</w:t>
      </w:r>
      <w:r w:rsidR="00CC0CBA" w:rsidRPr="00E11AC0">
        <w:rPr>
          <w:lang w:eastAsia="en-GB"/>
        </w:rPr>
        <w:t xml:space="preserve"> </w:t>
      </w:r>
      <w:r w:rsidRPr="00E11AC0">
        <w:rPr>
          <w:lang w:eastAsia="en-GB"/>
        </w:rPr>
        <w:t>norāda attiecīgos datus pilnā apmērā (100</w:t>
      </w:r>
      <w:r w:rsidR="003B0E03">
        <w:rPr>
          <w:lang w:eastAsia="en-GB"/>
        </w:rPr>
        <w:t> </w:t>
      </w:r>
      <w:r w:rsidRPr="00E11AC0">
        <w:rPr>
          <w:lang w:eastAsia="en-GB"/>
        </w:rPr>
        <w:t xml:space="preserve">procentu). Ja klientam ir trīs </w:t>
      </w:r>
      <w:r w:rsidR="00AC2349" w:rsidRPr="008E0CF5">
        <w:rPr>
          <w:lang w:eastAsia="en-GB"/>
        </w:rPr>
        <w:t>patiesie labuma guvēji</w:t>
      </w:r>
      <w:r w:rsidRPr="00E11AC0">
        <w:rPr>
          <w:lang w:eastAsia="en-GB"/>
        </w:rPr>
        <w:t xml:space="preserve">, turklāt katrs no savas rezidences valsts un diviem no trim </w:t>
      </w:r>
      <w:r w:rsidR="00AC2349" w:rsidRPr="008E0CF5">
        <w:rPr>
          <w:lang w:eastAsia="en-GB"/>
        </w:rPr>
        <w:t>paties</w:t>
      </w:r>
      <w:r w:rsidR="00AC2349">
        <w:rPr>
          <w:lang w:eastAsia="en-GB"/>
        </w:rPr>
        <w:t>aj</w:t>
      </w:r>
      <w:r w:rsidR="00AC2349" w:rsidRPr="008E0CF5">
        <w:rPr>
          <w:lang w:eastAsia="en-GB"/>
        </w:rPr>
        <w:t>ie</w:t>
      </w:r>
      <w:r w:rsidR="00AC2349">
        <w:rPr>
          <w:lang w:eastAsia="en-GB"/>
        </w:rPr>
        <w:t>m</w:t>
      </w:r>
      <w:r w:rsidR="00AC2349" w:rsidRPr="008E0CF5">
        <w:rPr>
          <w:lang w:eastAsia="en-GB"/>
        </w:rPr>
        <w:t xml:space="preserve"> labuma guvēji</w:t>
      </w:r>
      <w:r w:rsidR="00AC2349">
        <w:rPr>
          <w:lang w:eastAsia="en-GB"/>
        </w:rPr>
        <w:t>em</w:t>
      </w:r>
      <w:r w:rsidR="00AC2349" w:rsidRPr="008E0CF5">
        <w:rPr>
          <w:lang w:eastAsia="en-GB"/>
        </w:rPr>
        <w:t xml:space="preserve"> </w:t>
      </w:r>
      <w:r w:rsidRPr="00E11AC0">
        <w:rPr>
          <w:lang w:eastAsia="en-GB"/>
        </w:rPr>
        <w:t xml:space="preserve">ir politiski nozīmīgas personas statuss, kredītiestāde datus proporcionāli sadala ar divi, proti, </w:t>
      </w:r>
      <w:r w:rsidR="00AC2349" w:rsidRPr="007A2005">
        <w:rPr>
          <w:lang w:eastAsia="en-GB"/>
        </w:rPr>
        <w:t>patiesajam labuma guvējam</w:t>
      </w:r>
      <w:r w:rsidRPr="007A2005">
        <w:rPr>
          <w:lang w:eastAsia="en-GB"/>
        </w:rPr>
        <w:t xml:space="preserve">, kas ir politiski nozīmīga persona, pretī </w:t>
      </w:r>
      <w:r w:rsidR="00CC0CBA" w:rsidRPr="007A2005">
        <w:rPr>
          <w:lang w:eastAsia="en-GB"/>
        </w:rPr>
        <w:t>ail</w:t>
      </w:r>
      <w:r w:rsidR="00A045C3" w:rsidRPr="00E64F6F">
        <w:rPr>
          <w:lang w:eastAsia="en-GB"/>
        </w:rPr>
        <w:t>ē</w:t>
      </w:r>
      <w:r w:rsidR="00CC0CBA" w:rsidRPr="007A2005">
        <w:rPr>
          <w:lang w:eastAsia="en-GB"/>
        </w:rPr>
        <w:t xml:space="preserve"> </w:t>
      </w:r>
      <w:r w:rsidRPr="007A2005">
        <w:rPr>
          <w:lang w:eastAsia="en-GB"/>
        </w:rPr>
        <w:t>"Rezidences (reģistrācijas) valsts kods"</w:t>
      </w:r>
      <w:r w:rsidR="00D85824" w:rsidRPr="007A2005">
        <w:rPr>
          <w:lang w:eastAsia="en-GB"/>
        </w:rPr>
        <w:t xml:space="preserve"> </w:t>
      </w:r>
      <w:r w:rsidR="00A045C3" w:rsidRPr="007A2005">
        <w:rPr>
          <w:lang w:eastAsia="en-GB"/>
        </w:rPr>
        <w:t>norādītaja</w:t>
      </w:r>
      <w:r w:rsidR="007A2005" w:rsidRPr="007A2005">
        <w:rPr>
          <w:lang w:eastAsia="en-GB"/>
        </w:rPr>
        <w:t>m</w:t>
      </w:r>
      <w:r w:rsidR="00A045C3" w:rsidRPr="007A2005">
        <w:rPr>
          <w:lang w:eastAsia="en-GB"/>
        </w:rPr>
        <w:t xml:space="preserve"> </w:t>
      </w:r>
      <w:r w:rsidR="00A045C3" w:rsidRPr="00E64F6F">
        <w:rPr>
          <w:lang w:eastAsia="en-GB"/>
        </w:rPr>
        <w:t>rezidences valst</w:t>
      </w:r>
      <w:r w:rsidR="007A2005" w:rsidRPr="00E64F6F">
        <w:rPr>
          <w:lang w:eastAsia="en-GB"/>
        </w:rPr>
        <w:t>s kodam</w:t>
      </w:r>
      <w:r w:rsidR="00A045C3" w:rsidRPr="00E64F6F">
        <w:rPr>
          <w:lang w:eastAsia="en-GB"/>
        </w:rPr>
        <w:t xml:space="preserve"> </w:t>
      </w:r>
      <w:r w:rsidR="00D85824" w:rsidRPr="007A2005">
        <w:rPr>
          <w:lang w:eastAsia="en-GB"/>
        </w:rPr>
        <w:t>ailē "Klientu skaits" (ailes kods</w:t>
      </w:r>
      <w:r w:rsidR="00D96DA1" w:rsidRPr="007A2005">
        <w:rPr>
          <w:lang w:eastAsia="en-GB"/>
        </w:rPr>
        <w:t> </w:t>
      </w:r>
      <w:r w:rsidR="00D85824" w:rsidRPr="007A2005">
        <w:rPr>
          <w:lang w:eastAsia="en-GB"/>
        </w:rPr>
        <w:t>030)</w:t>
      </w:r>
      <w:r w:rsidRPr="007A2005">
        <w:rPr>
          <w:lang w:eastAsia="en-GB"/>
        </w:rPr>
        <w:t xml:space="preserve"> norāda skaitli</w:t>
      </w:r>
      <w:r w:rsidR="00D96DA1" w:rsidRPr="007A2005">
        <w:rPr>
          <w:lang w:eastAsia="en-GB"/>
        </w:rPr>
        <w:t> </w:t>
      </w:r>
      <w:r w:rsidRPr="007A2005">
        <w:rPr>
          <w:lang w:eastAsia="en-GB"/>
        </w:rPr>
        <w:t xml:space="preserve">0.5 un pārējās </w:t>
      </w:r>
      <w:r w:rsidR="00CC0CBA" w:rsidRPr="007A2005">
        <w:rPr>
          <w:lang w:eastAsia="en-GB"/>
        </w:rPr>
        <w:t xml:space="preserve">ailēs </w:t>
      </w:r>
      <w:r w:rsidRPr="007A2005">
        <w:rPr>
          <w:lang w:eastAsia="en-GB"/>
        </w:rPr>
        <w:t>norāda attiecīgos datus 50</w:t>
      </w:r>
      <w:r w:rsidR="00D96DA1" w:rsidRPr="007A2005">
        <w:rPr>
          <w:lang w:eastAsia="en-GB"/>
        </w:rPr>
        <w:t> </w:t>
      </w:r>
      <w:r w:rsidRPr="007A2005">
        <w:rPr>
          <w:lang w:eastAsia="en-GB"/>
        </w:rPr>
        <w:t>procentu apmērā.</w:t>
      </w:r>
      <w:bookmarkStart w:id="86" w:name="p-1168041"/>
      <w:bookmarkStart w:id="87" w:name="p43"/>
      <w:bookmarkStart w:id="88" w:name="p-1168042"/>
      <w:bookmarkStart w:id="89" w:name="p-1168043"/>
      <w:bookmarkStart w:id="90" w:name="p-1168044"/>
      <w:bookmarkStart w:id="91" w:name="p41"/>
      <w:bookmarkStart w:id="92" w:name="p-769885"/>
      <w:bookmarkStart w:id="93" w:name="p42"/>
      <w:bookmarkStart w:id="94" w:name="p-769886"/>
      <w:bookmarkStart w:id="95" w:name="p44"/>
      <w:bookmarkStart w:id="96" w:name="p-769889"/>
      <w:bookmarkStart w:id="97" w:name="p45"/>
      <w:bookmarkStart w:id="98" w:name="p-769890"/>
      <w:bookmarkEnd w:id="86"/>
      <w:bookmarkEnd w:id="87"/>
      <w:bookmarkEnd w:id="88"/>
      <w:bookmarkEnd w:id="89"/>
      <w:bookmarkEnd w:id="90"/>
      <w:bookmarkEnd w:id="91"/>
      <w:bookmarkEnd w:id="92"/>
      <w:bookmarkEnd w:id="93"/>
      <w:bookmarkEnd w:id="94"/>
      <w:bookmarkEnd w:id="95"/>
      <w:bookmarkEnd w:id="96"/>
      <w:bookmarkEnd w:id="97"/>
      <w:bookmarkEnd w:id="98"/>
    </w:p>
    <w:p w14:paraId="29B78727" w14:textId="08F5F9E1" w:rsidR="00F13DD7" w:rsidRDefault="008D0E55" w:rsidP="00DC6117">
      <w:pPr>
        <w:pStyle w:val="NAapaksnodala"/>
        <w:numPr>
          <w:ilvl w:val="0"/>
          <w:numId w:val="0"/>
        </w:numPr>
      </w:pPr>
      <w:bookmarkStart w:id="99" w:name="p46"/>
      <w:bookmarkStart w:id="100" w:name="p-1168046"/>
      <w:bookmarkStart w:id="101" w:name="p47"/>
      <w:bookmarkStart w:id="102" w:name="p-1168047"/>
      <w:bookmarkEnd w:id="99"/>
      <w:bookmarkEnd w:id="100"/>
      <w:bookmarkEnd w:id="101"/>
      <w:bookmarkEnd w:id="102"/>
      <w:r>
        <w:t>5</w:t>
      </w:r>
      <w:r w:rsidR="00AC4AF5" w:rsidRPr="00A652C1">
        <w:t xml:space="preserve">. </w:t>
      </w:r>
      <w:r w:rsidR="00123001" w:rsidRPr="00A652C1">
        <w:t>Noslēguma jautājum</w:t>
      </w:r>
      <w:r w:rsidR="00781832">
        <w:t>i</w:t>
      </w:r>
      <w:r w:rsidR="00A045C3">
        <w:t xml:space="preserve"> </w:t>
      </w:r>
    </w:p>
    <w:p w14:paraId="6EEC2ABA" w14:textId="53FCEDD6" w:rsidR="00465395" w:rsidRDefault="00465395" w:rsidP="006E185B">
      <w:pPr>
        <w:pStyle w:val="NApunkts1"/>
        <w:shd w:val="clear" w:color="auto" w:fill="FFFFFF"/>
        <w:tabs>
          <w:tab w:val="left" w:pos="284"/>
          <w:tab w:val="left" w:pos="426"/>
        </w:tabs>
        <w:ind w:left="0" w:firstLine="0"/>
        <w:rPr>
          <w:lang w:eastAsia="en-GB"/>
        </w:rPr>
      </w:pPr>
      <w:r w:rsidRPr="00A97FDB">
        <w:t>Atzīt</w:t>
      </w:r>
      <w:r w:rsidRPr="00681AAF">
        <w:rPr>
          <w:lang w:eastAsia="en-GB"/>
        </w:rPr>
        <w:t xml:space="preserve"> par spēku zaudējušiem Finanšu un kapitāla tirgus komisijas 2022. gada 27.</w:t>
      </w:r>
      <w:r w:rsidR="00F0564B">
        <w:rPr>
          <w:lang w:eastAsia="en-GB"/>
        </w:rPr>
        <w:t> </w:t>
      </w:r>
      <w:r w:rsidRPr="00681AAF">
        <w:rPr>
          <w:lang w:eastAsia="en-GB"/>
        </w:rPr>
        <w:t>decembra normatīvos noteikumus Nr. 235 "Noziedzīgi iegūtu līdzekļu legalizācijas un terorisma un proliferācijas finansēšanas riska pārvaldīšanas normatīvie noteikumi" (Latvijas Vēstnesis, 2022, Nr. 252)</w:t>
      </w:r>
      <w:r w:rsidR="00B74BDD" w:rsidRPr="00681AAF">
        <w:rPr>
          <w:lang w:eastAsia="en-GB"/>
        </w:rPr>
        <w:t>.</w:t>
      </w:r>
    </w:p>
    <w:p w14:paraId="45CB46E3" w14:textId="02D3BE15" w:rsidR="004939C7" w:rsidRPr="00E3557F" w:rsidRDefault="004939C7" w:rsidP="006E185B">
      <w:pPr>
        <w:pStyle w:val="NApunkts1"/>
        <w:shd w:val="clear" w:color="auto" w:fill="FFFFFF"/>
        <w:tabs>
          <w:tab w:val="left" w:pos="284"/>
          <w:tab w:val="left" w:pos="426"/>
        </w:tabs>
        <w:ind w:left="0" w:firstLine="0"/>
      </w:pPr>
      <w:r w:rsidRPr="004939C7">
        <w:lastRenderedPageBreak/>
        <w:t>Pārskat</w:t>
      </w:r>
      <w:r>
        <w:t>ā</w:t>
      </w:r>
      <w:r w:rsidRPr="004939C7">
        <w:rPr>
          <w:lang w:eastAsia="en-GB"/>
        </w:rPr>
        <w:t xml:space="preserve"> iekļa</w:t>
      </w:r>
      <w:r>
        <w:rPr>
          <w:lang w:eastAsia="en-GB"/>
        </w:rPr>
        <w:t>ujamos</w:t>
      </w:r>
      <w:r w:rsidRPr="004939C7">
        <w:rPr>
          <w:lang w:eastAsia="en-GB"/>
        </w:rPr>
        <w:t xml:space="preserve"> dat</w:t>
      </w:r>
      <w:r>
        <w:rPr>
          <w:lang w:eastAsia="en-GB"/>
        </w:rPr>
        <w:t>us</w:t>
      </w:r>
      <w:r w:rsidRPr="004939C7">
        <w:rPr>
          <w:lang w:eastAsia="en-GB"/>
        </w:rPr>
        <w:t xml:space="preserve"> par 2024.</w:t>
      </w:r>
      <w:r w:rsidR="00835974" w:rsidRPr="00435118">
        <w:t> </w:t>
      </w:r>
      <w:r w:rsidRPr="004939C7">
        <w:rPr>
          <w:lang w:eastAsia="en-GB"/>
        </w:rPr>
        <w:t>gada 4.</w:t>
      </w:r>
      <w:r w:rsidR="00835974" w:rsidRPr="00435118">
        <w:t> </w:t>
      </w:r>
      <w:r w:rsidRPr="004939C7">
        <w:rPr>
          <w:lang w:eastAsia="en-GB"/>
        </w:rPr>
        <w:t xml:space="preserve">ceturksni </w:t>
      </w:r>
      <w:r>
        <w:rPr>
          <w:lang w:eastAsia="en-GB"/>
        </w:rPr>
        <w:t xml:space="preserve">sagatavo saskaņā ar </w:t>
      </w:r>
      <w:r w:rsidRPr="00681AAF">
        <w:rPr>
          <w:lang w:eastAsia="en-GB"/>
        </w:rPr>
        <w:t>Finanšu un kapitāla tirgus komisijas</w:t>
      </w:r>
      <w:r w:rsidRPr="004939C7">
        <w:rPr>
          <w:lang w:eastAsia="en-GB"/>
        </w:rPr>
        <w:t xml:space="preserve"> </w:t>
      </w:r>
      <w:r w:rsidRPr="00681AAF">
        <w:rPr>
          <w:lang w:eastAsia="en-GB"/>
        </w:rPr>
        <w:t>2022. gada 27.</w:t>
      </w:r>
      <w:r>
        <w:rPr>
          <w:lang w:eastAsia="en-GB"/>
        </w:rPr>
        <w:t> </w:t>
      </w:r>
      <w:r w:rsidRPr="00681AAF">
        <w:rPr>
          <w:lang w:eastAsia="en-GB"/>
        </w:rPr>
        <w:t>decembra normatīv</w:t>
      </w:r>
      <w:r>
        <w:rPr>
          <w:lang w:eastAsia="en-GB"/>
        </w:rPr>
        <w:t>ajiem</w:t>
      </w:r>
      <w:r w:rsidRPr="00681AAF">
        <w:rPr>
          <w:lang w:eastAsia="en-GB"/>
        </w:rPr>
        <w:t xml:space="preserve"> noteikum</w:t>
      </w:r>
      <w:r>
        <w:rPr>
          <w:lang w:eastAsia="en-GB"/>
        </w:rPr>
        <w:t>iem</w:t>
      </w:r>
      <w:r w:rsidRPr="00681AAF">
        <w:rPr>
          <w:lang w:eastAsia="en-GB"/>
        </w:rPr>
        <w:t xml:space="preserve"> Nr. 235 "Noziedzīgi iegūtu līdzekļu legalizācijas un terorisma un proliferācijas finansēšanas riska pārvaldīšanas normatīvie noteikumi"</w:t>
      </w:r>
      <w:r>
        <w:rPr>
          <w:lang w:eastAsia="en-GB"/>
        </w:rPr>
        <w:t xml:space="preserve"> u</w:t>
      </w:r>
      <w:r w:rsidRPr="004939C7">
        <w:rPr>
          <w:lang w:eastAsia="en-GB"/>
        </w:rPr>
        <w:t>n iesniedz Latvijas Bankai, izmantojot datu ziņošanas sistēmu,</w:t>
      </w:r>
      <w:r>
        <w:rPr>
          <w:lang w:eastAsia="en-GB"/>
        </w:rPr>
        <w:t xml:space="preserve"> </w:t>
      </w:r>
      <w:r>
        <w:t xml:space="preserve">saskaņā ar Latvijas Bankas noteikumiem, </w:t>
      </w:r>
      <w:r w:rsidRPr="00E06CAB">
        <w:t>kas regulē elektronisko informācijas apmaiņu ar Latvijas Banku</w:t>
      </w:r>
      <w:r>
        <w:t>,</w:t>
      </w:r>
      <w:r w:rsidR="00835974">
        <w:rPr>
          <w:lang w:eastAsia="en-GB"/>
        </w:rPr>
        <w:t xml:space="preserve"> </w:t>
      </w:r>
      <w:r w:rsidRPr="004939C7">
        <w:rPr>
          <w:lang w:eastAsia="en-GB"/>
        </w:rPr>
        <w:t>līdz 2025.</w:t>
      </w:r>
      <w:r w:rsidR="00835974" w:rsidRPr="00435118">
        <w:t> </w:t>
      </w:r>
      <w:r w:rsidRPr="004939C7">
        <w:rPr>
          <w:lang w:eastAsia="en-GB"/>
        </w:rPr>
        <w:t xml:space="preserve">gada </w:t>
      </w:r>
      <w:r w:rsidRPr="00E3557F">
        <w:rPr>
          <w:lang w:eastAsia="en-GB"/>
        </w:rPr>
        <w:t>31.</w:t>
      </w:r>
      <w:r w:rsidR="00835974" w:rsidRPr="00435118">
        <w:t> </w:t>
      </w:r>
      <w:r w:rsidRPr="00E3557F">
        <w:rPr>
          <w:lang w:eastAsia="en-GB"/>
        </w:rPr>
        <w:t>janvārim.</w:t>
      </w:r>
    </w:p>
    <w:p w14:paraId="23D81C7A" w14:textId="06C97FAD" w:rsidR="00985408" w:rsidRDefault="00F0564B" w:rsidP="006E185B">
      <w:pPr>
        <w:pStyle w:val="NApunkts1"/>
        <w:shd w:val="clear" w:color="auto" w:fill="FFFFFF"/>
        <w:tabs>
          <w:tab w:val="left" w:pos="284"/>
          <w:tab w:val="left" w:pos="426"/>
        </w:tabs>
        <w:ind w:left="0" w:firstLine="0"/>
        <w:rPr>
          <w:lang w:eastAsia="en-GB"/>
        </w:rPr>
      </w:pPr>
      <w:r>
        <w:t>P</w:t>
      </w:r>
      <w:r w:rsidR="00985408" w:rsidRPr="00985408">
        <w:t>ārskatu</w:t>
      </w:r>
      <w:r w:rsidR="00985408" w:rsidRPr="00985408">
        <w:rPr>
          <w:lang w:eastAsia="en-GB"/>
        </w:rPr>
        <w:t xml:space="preserve"> par 2025.</w:t>
      </w:r>
      <w:r w:rsidR="00835974" w:rsidRPr="00435118">
        <w:t> </w:t>
      </w:r>
      <w:r w:rsidR="00985408" w:rsidRPr="00985408">
        <w:rPr>
          <w:lang w:eastAsia="en-GB"/>
        </w:rPr>
        <w:t xml:space="preserve">gada </w:t>
      </w:r>
      <w:r w:rsidR="00FA5110">
        <w:rPr>
          <w:lang w:eastAsia="en-GB"/>
        </w:rPr>
        <w:t>1.</w:t>
      </w:r>
      <w:r w:rsidR="003B0E03">
        <w:rPr>
          <w:lang w:eastAsia="en-GB"/>
        </w:rPr>
        <w:t> </w:t>
      </w:r>
      <w:r w:rsidR="00FA5110">
        <w:rPr>
          <w:lang w:eastAsia="en-GB"/>
        </w:rPr>
        <w:t>ceturksni</w:t>
      </w:r>
      <w:r w:rsidR="00FA5110" w:rsidRPr="00985408">
        <w:rPr>
          <w:lang w:eastAsia="en-GB"/>
        </w:rPr>
        <w:t xml:space="preserve"> </w:t>
      </w:r>
      <w:r w:rsidR="00985408" w:rsidRPr="00985408">
        <w:rPr>
          <w:lang w:eastAsia="en-GB"/>
        </w:rPr>
        <w:t xml:space="preserve">un </w:t>
      </w:r>
      <w:r w:rsidR="00FA5110">
        <w:rPr>
          <w:lang w:eastAsia="en-GB"/>
        </w:rPr>
        <w:t>2025.</w:t>
      </w:r>
      <w:r w:rsidR="003B0E03">
        <w:rPr>
          <w:lang w:eastAsia="en-GB"/>
        </w:rPr>
        <w:t> </w:t>
      </w:r>
      <w:r w:rsidR="00FA5110">
        <w:rPr>
          <w:lang w:eastAsia="en-GB"/>
        </w:rPr>
        <w:t>gada 2.</w:t>
      </w:r>
      <w:r w:rsidR="003B0E03">
        <w:rPr>
          <w:lang w:eastAsia="en-GB"/>
        </w:rPr>
        <w:t> </w:t>
      </w:r>
      <w:r w:rsidR="00985408" w:rsidRPr="00985408">
        <w:rPr>
          <w:lang w:eastAsia="en-GB"/>
        </w:rPr>
        <w:t xml:space="preserve">ceturksni iesniedz </w:t>
      </w:r>
      <w:r>
        <w:rPr>
          <w:lang w:eastAsia="en-GB"/>
        </w:rPr>
        <w:t xml:space="preserve">Latvijas Bankai </w:t>
      </w:r>
      <w:r w:rsidR="00985408" w:rsidRPr="00985408">
        <w:rPr>
          <w:lang w:eastAsia="en-GB"/>
        </w:rPr>
        <w:t>līdz 2025.</w:t>
      </w:r>
      <w:r>
        <w:rPr>
          <w:lang w:eastAsia="en-GB"/>
        </w:rPr>
        <w:t> </w:t>
      </w:r>
      <w:r w:rsidR="00985408" w:rsidRPr="00985408">
        <w:rPr>
          <w:lang w:eastAsia="en-GB"/>
        </w:rPr>
        <w:t>gada 31.</w:t>
      </w:r>
      <w:r w:rsidR="00835974" w:rsidRPr="00435118">
        <w:t> </w:t>
      </w:r>
      <w:r w:rsidR="00985408" w:rsidRPr="00985408">
        <w:rPr>
          <w:lang w:eastAsia="en-GB"/>
        </w:rPr>
        <w:t>jūlijam.</w:t>
      </w:r>
    </w:p>
    <w:p w14:paraId="471C3F54" w14:textId="4B6A0EF3" w:rsidR="00FB5A07" w:rsidRPr="006E185B" w:rsidRDefault="00FB5A07" w:rsidP="006E185B">
      <w:pPr>
        <w:pStyle w:val="NApunkts1"/>
        <w:shd w:val="clear" w:color="auto" w:fill="FFFFFF"/>
        <w:tabs>
          <w:tab w:val="left" w:pos="284"/>
          <w:tab w:val="left" w:pos="426"/>
        </w:tabs>
        <w:ind w:left="0" w:firstLine="0"/>
        <w:rPr>
          <w:bCs/>
          <w:lang w:eastAsia="en-GB"/>
        </w:rPr>
      </w:pPr>
      <w:r>
        <w:t>Noteikumi</w:t>
      </w:r>
      <w:r>
        <w:rPr>
          <w:lang w:eastAsia="en-GB"/>
        </w:rPr>
        <w:t xml:space="preserve"> stājas spēkā 2025.</w:t>
      </w:r>
      <w:r w:rsidR="00835974" w:rsidRPr="00435118">
        <w:t> </w:t>
      </w:r>
      <w:r>
        <w:rPr>
          <w:lang w:eastAsia="en-GB"/>
        </w:rPr>
        <w:t>gada 1.</w:t>
      </w:r>
      <w:r w:rsidR="00835974" w:rsidRPr="00435118">
        <w:t> </w:t>
      </w:r>
      <w:r>
        <w:rPr>
          <w:lang w:eastAsia="en-GB"/>
        </w:rPr>
        <w:t>janvārī.</w:t>
      </w:r>
    </w:p>
    <w:p w14:paraId="3D35EC7F" w14:textId="3ECC589E" w:rsidR="00B74BDD" w:rsidRPr="00DC6117" w:rsidRDefault="00B74BDD" w:rsidP="00E64F6F">
      <w:pPr>
        <w:pStyle w:val="NApunkts1"/>
        <w:numPr>
          <w:ilvl w:val="0"/>
          <w:numId w:val="0"/>
        </w:numPr>
        <w:ind w:left="360" w:hanging="360"/>
        <w:rPr>
          <w:b/>
          <w:bCs/>
        </w:rPr>
      </w:pPr>
      <w:r w:rsidRPr="00243C78">
        <w:rPr>
          <w:b/>
          <w:bCs/>
        </w:rPr>
        <w:t xml:space="preserve">Informatīva atsauce uz Eiropas Savienības tiesību </w:t>
      </w:r>
      <w:bookmarkStart w:id="103" w:name="es-769900"/>
      <w:bookmarkEnd w:id="103"/>
      <w:r w:rsidR="00243C78" w:rsidRPr="00243C78">
        <w:rPr>
          <w:b/>
          <w:bCs/>
        </w:rPr>
        <w:t>aktu</w:t>
      </w:r>
    </w:p>
    <w:p w14:paraId="29DA77E2" w14:textId="3B9B1FD0" w:rsidR="00B74BDD" w:rsidRPr="003B0E03" w:rsidRDefault="00B74BDD">
      <w:pPr>
        <w:pStyle w:val="NApunkts1"/>
        <w:numPr>
          <w:ilvl w:val="0"/>
          <w:numId w:val="0"/>
        </w:numPr>
      </w:pPr>
      <w:r w:rsidRPr="003B0E03">
        <w:rPr>
          <w:lang w:eastAsia="en-GB"/>
        </w:rPr>
        <w:t>Noteikumos iekļautas tiesību normas, kas izriet no Eiropas Banku iestādes 202</w:t>
      </w:r>
      <w:r w:rsidR="0043645B" w:rsidRPr="003B0E03">
        <w:rPr>
          <w:lang w:eastAsia="en-GB"/>
        </w:rPr>
        <w:t>2</w:t>
      </w:r>
      <w:r w:rsidRPr="003B0E03">
        <w:rPr>
          <w:lang w:eastAsia="en-GB"/>
        </w:rPr>
        <w:t>. gada 1</w:t>
      </w:r>
      <w:r w:rsidR="0043645B" w:rsidRPr="003B0E03">
        <w:rPr>
          <w:lang w:eastAsia="en-GB"/>
        </w:rPr>
        <w:t>4</w:t>
      </w:r>
      <w:r w:rsidRPr="003B0E03">
        <w:rPr>
          <w:lang w:eastAsia="en-GB"/>
        </w:rPr>
        <w:t>. </w:t>
      </w:r>
      <w:r w:rsidR="0043645B" w:rsidRPr="003B0E03">
        <w:rPr>
          <w:lang w:eastAsia="en-GB"/>
        </w:rPr>
        <w:t>jūnija</w:t>
      </w:r>
      <w:r w:rsidR="0043645B" w:rsidRPr="003B0E03">
        <w:t xml:space="preserve"> </w:t>
      </w:r>
      <w:r w:rsidR="003B0E03">
        <w:t>pamatnostādnēm</w:t>
      </w:r>
      <w:r w:rsidR="00D24393">
        <w:t> </w:t>
      </w:r>
      <w:r w:rsidR="003B0E03" w:rsidRPr="003B0E03">
        <w:t>EBA/GL/2022/05</w:t>
      </w:r>
      <w:r w:rsidR="003B0E03">
        <w:t xml:space="preserve"> "</w:t>
      </w:r>
      <w:hyperlink r:id="rId20" w:history="1">
        <w:r w:rsidR="0043645B" w:rsidRPr="00E64F6F">
          <w:rPr>
            <w:rStyle w:val="Hyperlink"/>
            <w:color w:val="auto"/>
            <w:u w:val="none"/>
          </w:rPr>
          <w:t>Pamatnostādn</w:t>
        </w:r>
        <w:r w:rsidR="003B0E03">
          <w:rPr>
            <w:rStyle w:val="Hyperlink"/>
            <w:color w:val="auto"/>
            <w:u w:val="none"/>
          </w:rPr>
          <w:t>es</w:t>
        </w:r>
        <w:r w:rsidR="0043645B" w:rsidRPr="00E64F6F">
          <w:rPr>
            <w:rStyle w:val="Hyperlink"/>
            <w:color w:val="auto"/>
            <w:u w:val="none"/>
          </w:rPr>
          <w:t xml:space="preserve"> par politiku un procedūrām saistībā ar atbilstības pārvaldību un NILL/TFN atbilstības uzraudzības amatpersonas lomu un uzdevumiem saskaņā ar Direktīvas (ES)</w:t>
        </w:r>
        <w:r w:rsidR="003B0E03">
          <w:rPr>
            <w:rStyle w:val="Hyperlink"/>
            <w:color w:val="auto"/>
            <w:u w:val="none"/>
          </w:rPr>
          <w:t> </w:t>
        </w:r>
        <w:r w:rsidR="0043645B" w:rsidRPr="00E64F6F">
          <w:rPr>
            <w:rStyle w:val="Hyperlink"/>
            <w:color w:val="auto"/>
            <w:u w:val="none"/>
          </w:rPr>
          <w:t>2015/849 8.</w:t>
        </w:r>
        <w:r w:rsidR="00835974" w:rsidRPr="003B0E03">
          <w:t> </w:t>
        </w:r>
        <w:r w:rsidR="0043645B" w:rsidRPr="00E64F6F">
          <w:rPr>
            <w:rStyle w:val="Hyperlink"/>
            <w:color w:val="auto"/>
            <w:u w:val="none"/>
          </w:rPr>
          <w:t>pantu un VI</w:t>
        </w:r>
        <w:r w:rsidR="003B0E03">
          <w:rPr>
            <w:rStyle w:val="Hyperlink"/>
            <w:color w:val="auto"/>
            <w:u w:val="none"/>
          </w:rPr>
          <w:t> </w:t>
        </w:r>
        <w:r w:rsidR="0043645B" w:rsidRPr="00E64F6F">
          <w:rPr>
            <w:rStyle w:val="Hyperlink"/>
            <w:color w:val="auto"/>
            <w:u w:val="none"/>
          </w:rPr>
          <w:t>nodaļu</w:t>
        </w:r>
      </w:hyperlink>
      <w:r w:rsidR="003B0E03">
        <w:rPr>
          <w:rStyle w:val="Hyperlink"/>
          <w:color w:val="auto"/>
          <w:u w:val="none"/>
        </w:rPr>
        <w:t>"</w:t>
      </w:r>
      <w:r w:rsidR="000652E1" w:rsidRPr="00E64F6F">
        <w:rPr>
          <w:rStyle w:val="Hyperlink"/>
          <w:color w:val="auto"/>
          <w:u w:val="none"/>
        </w:rPr>
        <w:t>.</w:t>
      </w:r>
    </w:p>
    <w:p w14:paraId="7A59C4B5" w14:textId="77777777" w:rsidR="0080294D" w:rsidRPr="00F13DD7" w:rsidRDefault="00786020" w:rsidP="00786020">
      <w:pPr>
        <w:pStyle w:val="NApunkts1"/>
        <w:numPr>
          <w:ilvl w:val="0"/>
          <w:numId w:val="0"/>
        </w:numPr>
        <w:spacing w:before="480" w:after="480"/>
        <w:jc w:val="left"/>
      </w:pPr>
      <w:bookmarkStart w:id="104" w:name="_Hlk180076244"/>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C95BE8B" w14:textId="77777777" w:rsidTr="00C9372D">
        <w:bookmarkEnd w:id="104" w:displacedByCustomXml="next"/>
        <w:sdt>
          <w:sdtPr>
            <w:rPr>
              <w:rFonts w:cs="Times New Roman"/>
            </w:rPr>
            <w:alias w:val="Amats"/>
            <w:tag w:val="Amats"/>
            <w:id w:val="45201534"/>
            <w:lock w:val="sdtLocked"/>
            <w:placeholder>
              <w:docPart w:val="F9156B38F030498DBD6DB40B7DC66816"/>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60DC5D35" w14:textId="3CB216DE" w:rsidR="00966987" w:rsidRDefault="00E16615"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AB12BA39A9D94DDDB3BAEA4AC3FA9F97"/>
            </w:placeholder>
          </w:sdtPr>
          <w:sdtEndPr/>
          <w:sdtContent>
            <w:tc>
              <w:tcPr>
                <w:tcW w:w="3792" w:type="dxa"/>
                <w:vAlign w:val="bottom"/>
              </w:tcPr>
              <w:p w14:paraId="00F0AFD2" w14:textId="2E36DA9A" w:rsidR="00966987" w:rsidRDefault="00B95DD8" w:rsidP="00B661AA">
                <w:pPr>
                  <w:pStyle w:val="NoSpacing"/>
                  <w:ind w:right="-111"/>
                  <w:jc w:val="right"/>
                  <w:rPr>
                    <w:rFonts w:cs="Times New Roman"/>
                  </w:rPr>
                </w:pPr>
                <w:r>
                  <w:rPr>
                    <w:rFonts w:cs="Times New Roman"/>
                  </w:rPr>
                  <w:t>M.</w:t>
                </w:r>
                <w:r w:rsidR="0061359B">
                  <w:rPr>
                    <w:rFonts w:cs="Times New Roman"/>
                  </w:rPr>
                  <w:t> </w:t>
                </w:r>
                <w:r>
                  <w:rPr>
                    <w:rFonts w:cs="Times New Roman"/>
                  </w:rPr>
                  <w:t>Kazāks</w:t>
                </w:r>
              </w:p>
            </w:tc>
          </w:sdtContent>
        </w:sdt>
      </w:tr>
    </w:tbl>
    <w:p w14:paraId="200C185D" w14:textId="2FFAE6AC" w:rsidR="006D395C" w:rsidRPr="00667930" w:rsidRDefault="006D395C" w:rsidP="00363D86">
      <w:pPr>
        <w:rPr>
          <w:rFonts w:cs="Times New Roman"/>
          <w:sz w:val="2"/>
          <w:szCs w:val="2"/>
        </w:rPr>
      </w:pPr>
    </w:p>
    <w:sectPr w:rsidR="006D395C" w:rsidRPr="00667930" w:rsidSect="00810AFA">
      <w:headerReference w:type="default" r:id="rId21"/>
      <w:headerReference w:type="first" r:id="rId22"/>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2E3DAA" w14:textId="77777777" w:rsidR="0048364C" w:rsidRDefault="0048364C" w:rsidP="00AC4B00">
      <w:r>
        <w:separator/>
      </w:r>
    </w:p>
  </w:endnote>
  <w:endnote w:type="continuationSeparator" w:id="0">
    <w:p w14:paraId="220435EF" w14:textId="77777777" w:rsidR="0048364C" w:rsidRDefault="0048364C" w:rsidP="00AC4B00">
      <w:r>
        <w:continuationSeparator/>
      </w:r>
    </w:p>
  </w:endnote>
  <w:endnote w:type="continuationNotice" w:id="1">
    <w:p w14:paraId="0D42CFAE" w14:textId="77777777" w:rsidR="0048364C" w:rsidRDefault="00483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DA3EB" w14:textId="77777777" w:rsidR="0048364C" w:rsidRDefault="0048364C" w:rsidP="00AC4B00">
      <w:r>
        <w:separator/>
      </w:r>
    </w:p>
  </w:footnote>
  <w:footnote w:type="continuationSeparator" w:id="0">
    <w:p w14:paraId="727601C4" w14:textId="77777777" w:rsidR="0048364C" w:rsidRDefault="0048364C" w:rsidP="00AC4B00">
      <w:r>
        <w:continuationSeparator/>
      </w:r>
    </w:p>
  </w:footnote>
  <w:footnote w:type="continuationNotice" w:id="1">
    <w:p w14:paraId="008E6D11" w14:textId="77777777" w:rsidR="0048364C" w:rsidRDefault="004836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rPr>
    </w:sdtEndPr>
    <w:sdtContent>
      <w:p w14:paraId="07139677"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12ACE" w14:textId="67097F3F" w:rsidR="009C42A8" w:rsidRPr="009C42A8" w:rsidRDefault="0015056A" w:rsidP="00AA4809">
    <w:pPr>
      <w:pStyle w:val="Header"/>
      <w:spacing w:before="560"/>
      <w:jc w:val="center"/>
    </w:pPr>
    <w:r>
      <w:rPr>
        <w:noProof/>
      </w:rPr>
      <w:drawing>
        <wp:inline distT="0" distB="0" distL="0" distR="0" wp14:anchorId="12629300" wp14:editId="6AAE16C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0288" behindDoc="0" locked="0" layoutInCell="1" allowOverlap="1" wp14:anchorId="33ADB255" wp14:editId="299F2406">
              <wp:simplePos x="0" y="0"/>
              <wp:positionH relativeFrom="column">
                <wp:posOffset>1497965</wp:posOffset>
              </wp:positionH>
              <wp:positionV relativeFrom="paragraph">
                <wp:posOffset>184785</wp:posOffset>
              </wp:positionV>
              <wp:extent cx="2409190" cy="918210"/>
              <wp:effectExtent l="0" t="0" r="0" b="0"/>
              <wp:wrapNone/>
              <wp:docPr id="1200967871" name="Rectangle 12009678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F33D4" id="Rectangle 1200967871" o:spid="_x0000_s1026" style="position:absolute;margin-left:117.95pt;margin-top:14.55pt;width:189.7pt;height:7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B20CEB"/>
    <w:multiLevelType w:val="hybridMultilevel"/>
    <w:tmpl w:val="706A11C4"/>
    <w:lvl w:ilvl="0" w:tplc="E6A6306A">
      <w:start w:val="1"/>
      <w:numFmt w:val="decimal"/>
      <w:lvlText w:val="%1."/>
      <w:lvlJc w:val="left"/>
      <w:pPr>
        <w:ind w:left="1020" w:hanging="360"/>
      </w:pPr>
    </w:lvl>
    <w:lvl w:ilvl="1" w:tplc="D5F0F2E4">
      <w:start w:val="1"/>
      <w:numFmt w:val="decimal"/>
      <w:lvlText w:val="%2."/>
      <w:lvlJc w:val="left"/>
      <w:pPr>
        <w:ind w:left="1020" w:hanging="360"/>
      </w:pPr>
    </w:lvl>
    <w:lvl w:ilvl="2" w:tplc="E05E315A">
      <w:start w:val="1"/>
      <w:numFmt w:val="decimal"/>
      <w:lvlText w:val="%3."/>
      <w:lvlJc w:val="left"/>
      <w:pPr>
        <w:ind w:left="1020" w:hanging="360"/>
      </w:pPr>
    </w:lvl>
    <w:lvl w:ilvl="3" w:tplc="BBAC3712">
      <w:start w:val="1"/>
      <w:numFmt w:val="decimal"/>
      <w:lvlText w:val="%4."/>
      <w:lvlJc w:val="left"/>
      <w:pPr>
        <w:ind w:left="1020" w:hanging="360"/>
      </w:pPr>
    </w:lvl>
    <w:lvl w:ilvl="4" w:tplc="27A8E5A8">
      <w:start w:val="1"/>
      <w:numFmt w:val="decimal"/>
      <w:lvlText w:val="%5."/>
      <w:lvlJc w:val="left"/>
      <w:pPr>
        <w:ind w:left="1020" w:hanging="360"/>
      </w:pPr>
    </w:lvl>
    <w:lvl w:ilvl="5" w:tplc="24424E4E">
      <w:start w:val="1"/>
      <w:numFmt w:val="decimal"/>
      <w:lvlText w:val="%6."/>
      <w:lvlJc w:val="left"/>
      <w:pPr>
        <w:ind w:left="1020" w:hanging="360"/>
      </w:pPr>
    </w:lvl>
    <w:lvl w:ilvl="6" w:tplc="9A88C43A">
      <w:start w:val="1"/>
      <w:numFmt w:val="decimal"/>
      <w:lvlText w:val="%7."/>
      <w:lvlJc w:val="left"/>
      <w:pPr>
        <w:ind w:left="1020" w:hanging="360"/>
      </w:pPr>
    </w:lvl>
    <w:lvl w:ilvl="7" w:tplc="6A221D9C">
      <w:start w:val="1"/>
      <w:numFmt w:val="decimal"/>
      <w:lvlText w:val="%8."/>
      <w:lvlJc w:val="left"/>
      <w:pPr>
        <w:ind w:left="1020" w:hanging="360"/>
      </w:pPr>
    </w:lvl>
    <w:lvl w:ilvl="8" w:tplc="4F24A3E8">
      <w:start w:val="1"/>
      <w:numFmt w:val="decimal"/>
      <w:lvlText w:val="%9."/>
      <w:lvlJc w:val="left"/>
      <w:pPr>
        <w:ind w:left="1020" w:hanging="360"/>
      </w:pPr>
    </w:lvl>
  </w:abstractNum>
  <w:abstractNum w:abstractNumId="2" w15:restartNumberingAfterBreak="0">
    <w:nsid w:val="2797788E"/>
    <w:multiLevelType w:val="hybridMultilevel"/>
    <w:tmpl w:val="49104B94"/>
    <w:lvl w:ilvl="0" w:tplc="BDFE2FFC">
      <w:start w:val="1"/>
      <w:numFmt w:val="decimal"/>
      <w:lvlText w:val="%1."/>
      <w:lvlJc w:val="left"/>
      <w:pPr>
        <w:ind w:left="1020" w:hanging="360"/>
      </w:pPr>
    </w:lvl>
    <w:lvl w:ilvl="1" w:tplc="3CE0D096">
      <w:start w:val="1"/>
      <w:numFmt w:val="decimal"/>
      <w:lvlText w:val="%2."/>
      <w:lvlJc w:val="left"/>
      <w:pPr>
        <w:ind w:left="1020" w:hanging="360"/>
      </w:pPr>
    </w:lvl>
    <w:lvl w:ilvl="2" w:tplc="B70A8DC8">
      <w:start w:val="1"/>
      <w:numFmt w:val="decimal"/>
      <w:lvlText w:val="%3."/>
      <w:lvlJc w:val="left"/>
      <w:pPr>
        <w:ind w:left="1020" w:hanging="360"/>
      </w:pPr>
    </w:lvl>
    <w:lvl w:ilvl="3" w:tplc="CDC231E4">
      <w:start w:val="1"/>
      <w:numFmt w:val="decimal"/>
      <w:lvlText w:val="%4."/>
      <w:lvlJc w:val="left"/>
      <w:pPr>
        <w:ind w:left="1020" w:hanging="360"/>
      </w:pPr>
    </w:lvl>
    <w:lvl w:ilvl="4" w:tplc="7066658A">
      <w:start w:val="1"/>
      <w:numFmt w:val="decimal"/>
      <w:lvlText w:val="%5."/>
      <w:lvlJc w:val="left"/>
      <w:pPr>
        <w:ind w:left="1020" w:hanging="360"/>
      </w:pPr>
    </w:lvl>
    <w:lvl w:ilvl="5" w:tplc="CE7CE7D6">
      <w:start w:val="1"/>
      <w:numFmt w:val="decimal"/>
      <w:lvlText w:val="%6."/>
      <w:lvlJc w:val="left"/>
      <w:pPr>
        <w:ind w:left="1020" w:hanging="360"/>
      </w:pPr>
    </w:lvl>
    <w:lvl w:ilvl="6" w:tplc="BD3A1224">
      <w:start w:val="1"/>
      <w:numFmt w:val="decimal"/>
      <w:lvlText w:val="%7."/>
      <w:lvlJc w:val="left"/>
      <w:pPr>
        <w:ind w:left="1020" w:hanging="360"/>
      </w:pPr>
    </w:lvl>
    <w:lvl w:ilvl="7" w:tplc="5F7472FE">
      <w:start w:val="1"/>
      <w:numFmt w:val="decimal"/>
      <w:lvlText w:val="%8."/>
      <w:lvlJc w:val="left"/>
      <w:pPr>
        <w:ind w:left="1020" w:hanging="360"/>
      </w:pPr>
    </w:lvl>
    <w:lvl w:ilvl="8" w:tplc="DBB2E584">
      <w:start w:val="1"/>
      <w:numFmt w:val="decimal"/>
      <w:lvlText w:val="%9."/>
      <w:lvlJc w:val="left"/>
      <w:pPr>
        <w:ind w:left="1020" w:hanging="360"/>
      </w:pPr>
    </w:lvl>
  </w:abstractNum>
  <w:abstractNum w:abstractNumId="3" w15:restartNumberingAfterBreak="0">
    <w:nsid w:val="33DE7AA4"/>
    <w:multiLevelType w:val="hybridMultilevel"/>
    <w:tmpl w:val="4B94019A"/>
    <w:lvl w:ilvl="0" w:tplc="B774527E">
      <w:start w:val="1"/>
      <w:numFmt w:val="bullet"/>
      <w:lvlText w:val=""/>
      <w:lvlJc w:val="left"/>
      <w:pPr>
        <w:ind w:left="1020" w:hanging="360"/>
      </w:pPr>
      <w:rPr>
        <w:rFonts w:ascii="Symbol" w:hAnsi="Symbol"/>
      </w:rPr>
    </w:lvl>
    <w:lvl w:ilvl="1" w:tplc="3FD65B9E">
      <w:start w:val="1"/>
      <w:numFmt w:val="bullet"/>
      <w:lvlText w:val=""/>
      <w:lvlJc w:val="left"/>
      <w:pPr>
        <w:ind w:left="1020" w:hanging="360"/>
      </w:pPr>
      <w:rPr>
        <w:rFonts w:ascii="Symbol" w:hAnsi="Symbol"/>
      </w:rPr>
    </w:lvl>
    <w:lvl w:ilvl="2" w:tplc="5016DE54">
      <w:start w:val="1"/>
      <w:numFmt w:val="bullet"/>
      <w:lvlText w:val=""/>
      <w:lvlJc w:val="left"/>
      <w:pPr>
        <w:ind w:left="1020" w:hanging="360"/>
      </w:pPr>
      <w:rPr>
        <w:rFonts w:ascii="Symbol" w:hAnsi="Symbol"/>
      </w:rPr>
    </w:lvl>
    <w:lvl w:ilvl="3" w:tplc="CEAC17FE">
      <w:start w:val="1"/>
      <w:numFmt w:val="bullet"/>
      <w:lvlText w:val=""/>
      <w:lvlJc w:val="left"/>
      <w:pPr>
        <w:ind w:left="1020" w:hanging="360"/>
      </w:pPr>
      <w:rPr>
        <w:rFonts w:ascii="Symbol" w:hAnsi="Symbol"/>
      </w:rPr>
    </w:lvl>
    <w:lvl w:ilvl="4" w:tplc="BFFA7DC6">
      <w:start w:val="1"/>
      <w:numFmt w:val="bullet"/>
      <w:lvlText w:val=""/>
      <w:lvlJc w:val="left"/>
      <w:pPr>
        <w:ind w:left="1020" w:hanging="360"/>
      </w:pPr>
      <w:rPr>
        <w:rFonts w:ascii="Symbol" w:hAnsi="Symbol"/>
      </w:rPr>
    </w:lvl>
    <w:lvl w:ilvl="5" w:tplc="AE38298A">
      <w:start w:val="1"/>
      <w:numFmt w:val="bullet"/>
      <w:lvlText w:val=""/>
      <w:lvlJc w:val="left"/>
      <w:pPr>
        <w:ind w:left="1020" w:hanging="360"/>
      </w:pPr>
      <w:rPr>
        <w:rFonts w:ascii="Symbol" w:hAnsi="Symbol"/>
      </w:rPr>
    </w:lvl>
    <w:lvl w:ilvl="6" w:tplc="15BAD4B4">
      <w:start w:val="1"/>
      <w:numFmt w:val="bullet"/>
      <w:lvlText w:val=""/>
      <w:lvlJc w:val="left"/>
      <w:pPr>
        <w:ind w:left="1020" w:hanging="360"/>
      </w:pPr>
      <w:rPr>
        <w:rFonts w:ascii="Symbol" w:hAnsi="Symbol"/>
      </w:rPr>
    </w:lvl>
    <w:lvl w:ilvl="7" w:tplc="8744E50C">
      <w:start w:val="1"/>
      <w:numFmt w:val="bullet"/>
      <w:lvlText w:val=""/>
      <w:lvlJc w:val="left"/>
      <w:pPr>
        <w:ind w:left="1020" w:hanging="360"/>
      </w:pPr>
      <w:rPr>
        <w:rFonts w:ascii="Symbol" w:hAnsi="Symbol"/>
      </w:rPr>
    </w:lvl>
    <w:lvl w:ilvl="8" w:tplc="9700819E">
      <w:start w:val="1"/>
      <w:numFmt w:val="bullet"/>
      <w:lvlText w:val=""/>
      <w:lvlJc w:val="left"/>
      <w:pPr>
        <w:ind w:left="1020" w:hanging="360"/>
      </w:pPr>
      <w:rPr>
        <w:rFonts w:ascii="Symbol" w:hAnsi="Symbol"/>
      </w:rPr>
    </w:lvl>
  </w:abstractNum>
  <w:abstractNum w:abstractNumId="4" w15:restartNumberingAfterBreak="0">
    <w:nsid w:val="3D8562D6"/>
    <w:multiLevelType w:val="hybridMultilevel"/>
    <w:tmpl w:val="145C6498"/>
    <w:lvl w:ilvl="0" w:tplc="B8C84B96">
      <w:start w:val="1"/>
      <w:numFmt w:val="bullet"/>
      <w:lvlText w:val=""/>
      <w:lvlJc w:val="left"/>
      <w:pPr>
        <w:ind w:left="1440" w:hanging="360"/>
      </w:pPr>
      <w:rPr>
        <w:rFonts w:ascii="Symbol" w:hAnsi="Symbol"/>
      </w:rPr>
    </w:lvl>
    <w:lvl w:ilvl="1" w:tplc="42B6D422">
      <w:start w:val="1"/>
      <w:numFmt w:val="bullet"/>
      <w:lvlText w:val=""/>
      <w:lvlJc w:val="left"/>
      <w:pPr>
        <w:ind w:left="1440" w:hanging="360"/>
      </w:pPr>
      <w:rPr>
        <w:rFonts w:ascii="Symbol" w:hAnsi="Symbol"/>
      </w:rPr>
    </w:lvl>
    <w:lvl w:ilvl="2" w:tplc="D98A369C">
      <w:start w:val="1"/>
      <w:numFmt w:val="bullet"/>
      <w:lvlText w:val=""/>
      <w:lvlJc w:val="left"/>
      <w:pPr>
        <w:ind w:left="1440" w:hanging="360"/>
      </w:pPr>
      <w:rPr>
        <w:rFonts w:ascii="Symbol" w:hAnsi="Symbol"/>
      </w:rPr>
    </w:lvl>
    <w:lvl w:ilvl="3" w:tplc="59C8D110">
      <w:start w:val="1"/>
      <w:numFmt w:val="bullet"/>
      <w:lvlText w:val=""/>
      <w:lvlJc w:val="left"/>
      <w:pPr>
        <w:ind w:left="1440" w:hanging="360"/>
      </w:pPr>
      <w:rPr>
        <w:rFonts w:ascii="Symbol" w:hAnsi="Symbol"/>
      </w:rPr>
    </w:lvl>
    <w:lvl w:ilvl="4" w:tplc="EF3ED6F8">
      <w:start w:val="1"/>
      <w:numFmt w:val="bullet"/>
      <w:lvlText w:val=""/>
      <w:lvlJc w:val="left"/>
      <w:pPr>
        <w:ind w:left="1440" w:hanging="360"/>
      </w:pPr>
      <w:rPr>
        <w:rFonts w:ascii="Symbol" w:hAnsi="Symbol"/>
      </w:rPr>
    </w:lvl>
    <w:lvl w:ilvl="5" w:tplc="A9EE8B76">
      <w:start w:val="1"/>
      <w:numFmt w:val="bullet"/>
      <w:lvlText w:val=""/>
      <w:lvlJc w:val="left"/>
      <w:pPr>
        <w:ind w:left="1440" w:hanging="360"/>
      </w:pPr>
      <w:rPr>
        <w:rFonts w:ascii="Symbol" w:hAnsi="Symbol"/>
      </w:rPr>
    </w:lvl>
    <w:lvl w:ilvl="6" w:tplc="A8205E12">
      <w:start w:val="1"/>
      <w:numFmt w:val="bullet"/>
      <w:lvlText w:val=""/>
      <w:lvlJc w:val="left"/>
      <w:pPr>
        <w:ind w:left="1440" w:hanging="360"/>
      </w:pPr>
      <w:rPr>
        <w:rFonts w:ascii="Symbol" w:hAnsi="Symbol"/>
      </w:rPr>
    </w:lvl>
    <w:lvl w:ilvl="7" w:tplc="6F1862D8">
      <w:start w:val="1"/>
      <w:numFmt w:val="bullet"/>
      <w:lvlText w:val=""/>
      <w:lvlJc w:val="left"/>
      <w:pPr>
        <w:ind w:left="1440" w:hanging="360"/>
      </w:pPr>
      <w:rPr>
        <w:rFonts w:ascii="Symbol" w:hAnsi="Symbol"/>
      </w:rPr>
    </w:lvl>
    <w:lvl w:ilvl="8" w:tplc="729C3096">
      <w:start w:val="1"/>
      <w:numFmt w:val="bullet"/>
      <w:lvlText w:val=""/>
      <w:lvlJc w:val="left"/>
      <w:pPr>
        <w:ind w:left="1440" w:hanging="360"/>
      </w:pPr>
      <w:rPr>
        <w:rFonts w:ascii="Symbol" w:hAnsi="Symbol"/>
      </w:rPr>
    </w:lvl>
  </w:abstractNum>
  <w:abstractNum w:abstractNumId="5" w15:restartNumberingAfterBreak="0">
    <w:nsid w:val="40DE4E7E"/>
    <w:multiLevelType w:val="hybridMultilevel"/>
    <w:tmpl w:val="4276210E"/>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6DA5D8C"/>
    <w:multiLevelType w:val="multilevel"/>
    <w:tmpl w:val="3CE22BF0"/>
    <w:lvl w:ilvl="0">
      <w:start w:val="1"/>
      <w:numFmt w:val="decimal"/>
      <w:suff w:val="space"/>
      <w:lvlText w:val="%1."/>
      <w:lvlJc w:val="left"/>
      <w:pPr>
        <w:ind w:left="0" w:firstLine="0"/>
      </w:pPr>
      <w:rPr>
        <w:rFonts w:hint="default"/>
      </w:rPr>
    </w:lvl>
    <w:lvl w:ilvl="1">
      <w:start w:val="1"/>
      <w:numFmt w:val="decimal"/>
      <w:pStyle w:val="NAapaksnodala"/>
      <w:suff w:val="space"/>
      <w:lvlText w:val="%1.%2."/>
      <w:lvlJc w:val="left"/>
      <w:pPr>
        <w:ind w:left="425" w:firstLine="0"/>
      </w:pPr>
      <w:rPr>
        <w:rFonts w:hint="default"/>
        <w:b/>
        <w:bCs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74A26C9"/>
    <w:multiLevelType w:val="hybridMultilevel"/>
    <w:tmpl w:val="783AB8F4"/>
    <w:lvl w:ilvl="0" w:tplc="86A25B42">
      <w:numFmt w:val="bullet"/>
      <w:lvlText w:val=""/>
      <w:lvlJc w:val="left"/>
      <w:pPr>
        <w:ind w:left="720" w:hanging="360"/>
      </w:pPr>
      <w:rPr>
        <w:rFonts w:ascii="Symbol" w:eastAsiaTheme="minorEastAsia"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17F4319"/>
    <w:multiLevelType w:val="hybridMultilevel"/>
    <w:tmpl w:val="A502BDD0"/>
    <w:lvl w:ilvl="0" w:tplc="628AC7E8">
      <w:start w:val="1"/>
      <w:numFmt w:val="decimal"/>
      <w:lvlText w:val="%1."/>
      <w:lvlJc w:val="left"/>
      <w:pPr>
        <w:ind w:left="1020" w:hanging="360"/>
      </w:pPr>
    </w:lvl>
    <w:lvl w:ilvl="1" w:tplc="98A2F67A">
      <w:start w:val="1"/>
      <w:numFmt w:val="decimal"/>
      <w:lvlText w:val="%2."/>
      <w:lvlJc w:val="left"/>
      <w:pPr>
        <w:ind w:left="1020" w:hanging="360"/>
      </w:pPr>
    </w:lvl>
    <w:lvl w:ilvl="2" w:tplc="671AB24E">
      <w:start w:val="1"/>
      <w:numFmt w:val="decimal"/>
      <w:lvlText w:val="%3."/>
      <w:lvlJc w:val="left"/>
      <w:pPr>
        <w:ind w:left="1020" w:hanging="360"/>
      </w:pPr>
    </w:lvl>
    <w:lvl w:ilvl="3" w:tplc="E5ACBF02">
      <w:start w:val="1"/>
      <w:numFmt w:val="decimal"/>
      <w:lvlText w:val="%4."/>
      <w:lvlJc w:val="left"/>
      <w:pPr>
        <w:ind w:left="1020" w:hanging="360"/>
      </w:pPr>
    </w:lvl>
    <w:lvl w:ilvl="4" w:tplc="279E44B0">
      <w:start w:val="1"/>
      <w:numFmt w:val="decimal"/>
      <w:lvlText w:val="%5."/>
      <w:lvlJc w:val="left"/>
      <w:pPr>
        <w:ind w:left="1020" w:hanging="360"/>
      </w:pPr>
    </w:lvl>
    <w:lvl w:ilvl="5" w:tplc="73420BD0">
      <w:start w:val="1"/>
      <w:numFmt w:val="decimal"/>
      <w:lvlText w:val="%6."/>
      <w:lvlJc w:val="left"/>
      <w:pPr>
        <w:ind w:left="1020" w:hanging="360"/>
      </w:pPr>
    </w:lvl>
    <w:lvl w:ilvl="6" w:tplc="9E0CC1A4">
      <w:start w:val="1"/>
      <w:numFmt w:val="decimal"/>
      <w:lvlText w:val="%7."/>
      <w:lvlJc w:val="left"/>
      <w:pPr>
        <w:ind w:left="1020" w:hanging="360"/>
      </w:pPr>
    </w:lvl>
    <w:lvl w:ilvl="7" w:tplc="69F8E8C2">
      <w:start w:val="1"/>
      <w:numFmt w:val="decimal"/>
      <w:lvlText w:val="%8."/>
      <w:lvlJc w:val="left"/>
      <w:pPr>
        <w:ind w:left="1020" w:hanging="360"/>
      </w:pPr>
    </w:lvl>
    <w:lvl w:ilvl="8" w:tplc="DEF6241E">
      <w:start w:val="1"/>
      <w:numFmt w:val="decimal"/>
      <w:lvlText w:val="%9."/>
      <w:lvlJc w:val="left"/>
      <w:pPr>
        <w:ind w:left="1020" w:hanging="360"/>
      </w:pPr>
    </w:lvl>
  </w:abstractNum>
  <w:abstractNum w:abstractNumId="9"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284"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5CD6340"/>
    <w:multiLevelType w:val="hybridMultilevel"/>
    <w:tmpl w:val="D76E4194"/>
    <w:lvl w:ilvl="0" w:tplc="26CCAA98">
      <w:start w:val="1"/>
      <w:numFmt w:val="bullet"/>
      <w:lvlText w:val=""/>
      <w:lvlJc w:val="left"/>
      <w:pPr>
        <w:ind w:left="1020" w:hanging="360"/>
      </w:pPr>
      <w:rPr>
        <w:rFonts w:ascii="Symbol" w:hAnsi="Symbol"/>
      </w:rPr>
    </w:lvl>
    <w:lvl w:ilvl="1" w:tplc="07F83682">
      <w:start w:val="1"/>
      <w:numFmt w:val="bullet"/>
      <w:lvlText w:val=""/>
      <w:lvlJc w:val="left"/>
      <w:pPr>
        <w:ind w:left="1020" w:hanging="360"/>
      </w:pPr>
      <w:rPr>
        <w:rFonts w:ascii="Symbol" w:hAnsi="Symbol"/>
      </w:rPr>
    </w:lvl>
    <w:lvl w:ilvl="2" w:tplc="A6A45EEE">
      <w:start w:val="1"/>
      <w:numFmt w:val="bullet"/>
      <w:lvlText w:val=""/>
      <w:lvlJc w:val="left"/>
      <w:pPr>
        <w:ind w:left="1020" w:hanging="360"/>
      </w:pPr>
      <w:rPr>
        <w:rFonts w:ascii="Symbol" w:hAnsi="Symbol"/>
      </w:rPr>
    </w:lvl>
    <w:lvl w:ilvl="3" w:tplc="693EEDC8">
      <w:start w:val="1"/>
      <w:numFmt w:val="bullet"/>
      <w:lvlText w:val=""/>
      <w:lvlJc w:val="left"/>
      <w:pPr>
        <w:ind w:left="1020" w:hanging="360"/>
      </w:pPr>
      <w:rPr>
        <w:rFonts w:ascii="Symbol" w:hAnsi="Symbol"/>
      </w:rPr>
    </w:lvl>
    <w:lvl w:ilvl="4" w:tplc="C99C23DE">
      <w:start w:val="1"/>
      <w:numFmt w:val="bullet"/>
      <w:lvlText w:val=""/>
      <w:lvlJc w:val="left"/>
      <w:pPr>
        <w:ind w:left="1020" w:hanging="360"/>
      </w:pPr>
      <w:rPr>
        <w:rFonts w:ascii="Symbol" w:hAnsi="Symbol"/>
      </w:rPr>
    </w:lvl>
    <w:lvl w:ilvl="5" w:tplc="4780457A">
      <w:start w:val="1"/>
      <w:numFmt w:val="bullet"/>
      <w:lvlText w:val=""/>
      <w:lvlJc w:val="left"/>
      <w:pPr>
        <w:ind w:left="1020" w:hanging="360"/>
      </w:pPr>
      <w:rPr>
        <w:rFonts w:ascii="Symbol" w:hAnsi="Symbol"/>
      </w:rPr>
    </w:lvl>
    <w:lvl w:ilvl="6" w:tplc="BB8219DC">
      <w:start w:val="1"/>
      <w:numFmt w:val="bullet"/>
      <w:lvlText w:val=""/>
      <w:lvlJc w:val="left"/>
      <w:pPr>
        <w:ind w:left="1020" w:hanging="360"/>
      </w:pPr>
      <w:rPr>
        <w:rFonts w:ascii="Symbol" w:hAnsi="Symbol"/>
      </w:rPr>
    </w:lvl>
    <w:lvl w:ilvl="7" w:tplc="667E5E04">
      <w:start w:val="1"/>
      <w:numFmt w:val="bullet"/>
      <w:lvlText w:val=""/>
      <w:lvlJc w:val="left"/>
      <w:pPr>
        <w:ind w:left="1020" w:hanging="360"/>
      </w:pPr>
      <w:rPr>
        <w:rFonts w:ascii="Symbol" w:hAnsi="Symbol"/>
      </w:rPr>
    </w:lvl>
    <w:lvl w:ilvl="8" w:tplc="188C3B4C">
      <w:start w:val="1"/>
      <w:numFmt w:val="bullet"/>
      <w:lvlText w:val=""/>
      <w:lvlJc w:val="left"/>
      <w:pPr>
        <w:ind w:left="1020" w:hanging="360"/>
      </w:pPr>
      <w:rPr>
        <w:rFonts w:ascii="Symbol" w:hAnsi="Symbol"/>
      </w:rPr>
    </w:lvl>
  </w:abstractNum>
  <w:abstractNum w:abstractNumId="11" w15:restartNumberingAfterBreak="0">
    <w:nsid w:val="5773151C"/>
    <w:multiLevelType w:val="hybridMultilevel"/>
    <w:tmpl w:val="F0E6482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3815A5C"/>
    <w:multiLevelType w:val="hybridMultilevel"/>
    <w:tmpl w:val="7B04C0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378700858">
    <w:abstractNumId w:val="6"/>
  </w:num>
  <w:num w:numId="2" w16cid:durableId="107361700">
    <w:abstractNumId w:val="9"/>
  </w:num>
  <w:num w:numId="3" w16cid:durableId="997805834">
    <w:abstractNumId w:val="0"/>
  </w:num>
  <w:num w:numId="4" w16cid:durableId="803734876">
    <w:abstractNumId w:val="6"/>
  </w:num>
  <w:num w:numId="5" w16cid:durableId="917052956">
    <w:abstractNumId w:val="2"/>
  </w:num>
  <w:num w:numId="6" w16cid:durableId="1771661300">
    <w:abstractNumId w:val="8"/>
  </w:num>
  <w:num w:numId="7" w16cid:durableId="2026057888">
    <w:abstractNumId w:val="12"/>
  </w:num>
  <w:num w:numId="8" w16cid:durableId="2115510673">
    <w:abstractNumId w:val="7"/>
  </w:num>
  <w:num w:numId="9" w16cid:durableId="1135487878">
    <w:abstractNumId w:val="5"/>
  </w:num>
  <w:num w:numId="10" w16cid:durableId="1893495578">
    <w:abstractNumId w:val="6"/>
  </w:num>
  <w:num w:numId="11" w16cid:durableId="215357376">
    <w:abstractNumId w:val="6"/>
  </w:num>
  <w:num w:numId="12" w16cid:durableId="1024750242">
    <w:abstractNumId w:val="6"/>
  </w:num>
  <w:num w:numId="13" w16cid:durableId="1477069321">
    <w:abstractNumId w:val="6"/>
  </w:num>
  <w:num w:numId="14" w16cid:durableId="211885946">
    <w:abstractNumId w:val="6"/>
  </w:num>
  <w:num w:numId="15" w16cid:durableId="1831603857">
    <w:abstractNumId w:val="11"/>
  </w:num>
  <w:num w:numId="16" w16cid:durableId="2010938524">
    <w:abstractNumId w:val="6"/>
  </w:num>
  <w:num w:numId="17" w16cid:durableId="1121992228">
    <w:abstractNumId w:val="1"/>
  </w:num>
  <w:num w:numId="18" w16cid:durableId="228662201">
    <w:abstractNumId w:val="6"/>
  </w:num>
  <w:num w:numId="19" w16cid:durableId="1753116639">
    <w:abstractNumId w:val="6"/>
  </w:num>
  <w:num w:numId="20" w16cid:durableId="50812964">
    <w:abstractNumId w:val="6"/>
  </w:num>
  <w:num w:numId="21" w16cid:durableId="1618368692">
    <w:abstractNumId w:val="6"/>
  </w:num>
  <w:num w:numId="22" w16cid:durableId="309360111">
    <w:abstractNumId w:val="6"/>
  </w:num>
  <w:num w:numId="23" w16cid:durableId="63991424">
    <w:abstractNumId w:val="6"/>
  </w:num>
  <w:num w:numId="24" w16cid:durableId="143284259">
    <w:abstractNumId w:val="3"/>
  </w:num>
  <w:num w:numId="25" w16cid:durableId="653950513">
    <w:abstractNumId w:val="10"/>
  </w:num>
  <w:num w:numId="26" w16cid:durableId="2110075245">
    <w:abstractNumId w:val="6"/>
  </w:num>
  <w:num w:numId="27" w16cid:durableId="575282600">
    <w:abstractNumId w:val="4"/>
  </w:num>
  <w:num w:numId="28" w16cid:durableId="1228809871">
    <w:abstractNumId w:val="9"/>
  </w:num>
  <w:num w:numId="29" w16cid:durableId="2145728846">
    <w:abstractNumId w:val="9"/>
  </w:num>
  <w:num w:numId="30" w16cid:durableId="1084230725">
    <w:abstractNumId w:val="9"/>
  </w:num>
  <w:num w:numId="31" w16cid:durableId="259026719">
    <w:abstractNumId w:val="9"/>
  </w:num>
  <w:num w:numId="32" w16cid:durableId="687952835">
    <w:abstractNumId w:val="9"/>
  </w:num>
  <w:num w:numId="33" w16cid:durableId="2143575861">
    <w:abstractNumId w:val="9"/>
  </w:num>
  <w:num w:numId="34" w16cid:durableId="1254440082">
    <w:abstractNumId w:val="9"/>
  </w:num>
  <w:num w:numId="35" w16cid:durableId="1848444019">
    <w:abstractNumId w:val="9"/>
  </w:num>
  <w:num w:numId="36" w16cid:durableId="660161750">
    <w:abstractNumId w:val="9"/>
  </w:num>
  <w:num w:numId="37" w16cid:durableId="828598675">
    <w:abstractNumId w:val="9"/>
  </w:num>
  <w:num w:numId="38" w16cid:durableId="1772582323">
    <w:abstractNumId w:val="9"/>
  </w:num>
  <w:num w:numId="39" w16cid:durableId="1084646273">
    <w:abstractNumId w:val="9"/>
  </w:num>
  <w:num w:numId="40" w16cid:durableId="872546726">
    <w:abstractNumId w:val="9"/>
  </w:num>
  <w:num w:numId="41" w16cid:durableId="515120753">
    <w:abstractNumId w:val="9"/>
  </w:num>
  <w:num w:numId="42" w16cid:durableId="1578317647">
    <w:abstractNumId w:val="9"/>
  </w:num>
  <w:num w:numId="43" w16cid:durableId="1115753012">
    <w:abstractNumId w:val="9"/>
  </w:num>
  <w:num w:numId="44" w16cid:durableId="1637489591">
    <w:abstractNumId w:val="9"/>
  </w:num>
  <w:num w:numId="45" w16cid:durableId="742607053">
    <w:abstractNumId w:val="9"/>
  </w:num>
  <w:num w:numId="46" w16cid:durableId="776405948">
    <w:abstractNumId w:val="9"/>
  </w:num>
  <w:num w:numId="47" w16cid:durableId="626594364">
    <w:abstractNumId w:val="9"/>
  </w:num>
  <w:num w:numId="48" w16cid:durableId="1135030497">
    <w:abstractNumId w:val="9"/>
  </w:num>
  <w:num w:numId="49" w16cid:durableId="363409599">
    <w:abstractNumId w:val="9"/>
  </w:num>
  <w:num w:numId="50" w16cid:durableId="1363943761">
    <w:abstractNumId w:val="9"/>
  </w:num>
  <w:num w:numId="51" w16cid:durableId="1450851793">
    <w:abstractNumId w:val="9"/>
  </w:num>
  <w:num w:numId="52" w16cid:durableId="1055085561">
    <w:abstractNumId w:val="9"/>
  </w:num>
  <w:num w:numId="53" w16cid:durableId="257252332">
    <w:abstractNumId w:val="9"/>
  </w:num>
  <w:num w:numId="54" w16cid:durableId="84764955">
    <w:abstractNumId w:val="9"/>
  </w:num>
  <w:num w:numId="55" w16cid:durableId="952706966">
    <w:abstractNumId w:val="9"/>
  </w:num>
  <w:num w:numId="56" w16cid:durableId="936332011">
    <w:abstractNumId w:val="9"/>
  </w:num>
  <w:num w:numId="57" w16cid:durableId="760835131">
    <w:abstractNumId w:val="9"/>
  </w:num>
  <w:num w:numId="58" w16cid:durableId="360711006">
    <w:abstractNumId w:val="9"/>
  </w:num>
  <w:num w:numId="59" w16cid:durableId="979185499">
    <w:abstractNumId w:val="9"/>
  </w:num>
  <w:num w:numId="60" w16cid:durableId="2050952121">
    <w:abstractNumId w:val="9"/>
  </w:num>
  <w:num w:numId="61" w16cid:durableId="1423918989">
    <w:abstractNumId w:val="9"/>
  </w:num>
  <w:num w:numId="62" w16cid:durableId="2003119891">
    <w:abstractNumId w:val="9"/>
  </w:num>
  <w:num w:numId="63" w16cid:durableId="1328899596">
    <w:abstractNumId w:val="9"/>
  </w:num>
  <w:num w:numId="64" w16cid:durableId="1004165394">
    <w:abstractNumId w:val="9"/>
  </w:num>
  <w:num w:numId="65" w16cid:durableId="1770466165">
    <w:abstractNumId w:val="9"/>
  </w:num>
  <w:num w:numId="66" w16cid:durableId="122047066">
    <w:abstractNumId w:val="9"/>
  </w:num>
  <w:num w:numId="67" w16cid:durableId="1101100484">
    <w:abstractNumId w:val="9"/>
  </w:num>
  <w:num w:numId="68" w16cid:durableId="1117406143">
    <w:abstractNumId w:val="9"/>
  </w:num>
  <w:num w:numId="69" w16cid:durableId="1554730475">
    <w:abstractNumId w:val="9"/>
  </w:num>
  <w:num w:numId="70" w16cid:durableId="123274653">
    <w:abstractNumId w:val="9"/>
  </w:num>
  <w:num w:numId="71" w16cid:durableId="45879631">
    <w:abstractNumId w:val="9"/>
  </w:num>
  <w:num w:numId="72" w16cid:durableId="992759303">
    <w:abstractNumId w:val="9"/>
  </w:num>
  <w:num w:numId="73" w16cid:durableId="1410543229">
    <w:abstractNumId w:val="9"/>
  </w:num>
  <w:num w:numId="74" w16cid:durableId="1623684935">
    <w:abstractNumId w:val="9"/>
  </w:num>
  <w:num w:numId="75" w16cid:durableId="776950333">
    <w:abstractNumId w:val="9"/>
  </w:num>
  <w:num w:numId="76" w16cid:durableId="408043714">
    <w:abstractNumId w:val="9"/>
  </w:num>
  <w:num w:numId="77" w16cid:durableId="721713051">
    <w:abstractNumId w:val="9"/>
  </w:num>
  <w:num w:numId="78" w16cid:durableId="2138141099">
    <w:abstractNumId w:val="9"/>
  </w:num>
  <w:num w:numId="79" w16cid:durableId="11299050">
    <w:abstractNumId w:val="9"/>
  </w:num>
  <w:num w:numId="80" w16cid:durableId="1009060301">
    <w:abstractNumId w:val="9"/>
  </w:num>
  <w:num w:numId="81" w16cid:durableId="2092386479">
    <w:abstractNumId w:val="9"/>
  </w:num>
  <w:num w:numId="82" w16cid:durableId="1562397824">
    <w:abstractNumId w:val="9"/>
  </w:num>
  <w:num w:numId="83" w16cid:durableId="1335261065">
    <w:abstractNumId w:val="9"/>
  </w:num>
  <w:num w:numId="84" w16cid:durableId="48311830">
    <w:abstractNumId w:val="9"/>
  </w:num>
  <w:num w:numId="85" w16cid:durableId="1453596909">
    <w:abstractNumId w:val="9"/>
  </w:num>
  <w:num w:numId="86" w16cid:durableId="1367946389">
    <w:abstractNumId w:val="9"/>
  </w:num>
  <w:num w:numId="87" w16cid:durableId="1242367772">
    <w:abstractNumId w:val="9"/>
  </w:num>
  <w:num w:numId="88" w16cid:durableId="492532046">
    <w:abstractNumId w:val="9"/>
  </w:num>
  <w:num w:numId="89" w16cid:durableId="1857688748">
    <w:abstractNumId w:val="9"/>
  </w:num>
  <w:num w:numId="90" w16cid:durableId="1796438400">
    <w:abstractNumId w:val="9"/>
  </w:num>
  <w:num w:numId="91" w16cid:durableId="660348378">
    <w:abstractNumId w:val="9"/>
  </w:num>
  <w:num w:numId="92" w16cid:durableId="1463694654">
    <w:abstractNumId w:val="9"/>
  </w:num>
  <w:num w:numId="93" w16cid:durableId="2090300021">
    <w:abstractNumId w:val="9"/>
  </w:num>
  <w:num w:numId="94" w16cid:durableId="83958315">
    <w:abstractNumId w:val="9"/>
  </w:num>
  <w:num w:numId="95" w16cid:durableId="744297898">
    <w:abstractNumId w:val="9"/>
  </w:num>
  <w:num w:numId="96" w16cid:durableId="1077749220">
    <w:abstractNumId w:val="9"/>
  </w:num>
  <w:num w:numId="97" w16cid:durableId="1877113617">
    <w:abstractNumId w:val="9"/>
  </w:num>
  <w:num w:numId="98" w16cid:durableId="637996431">
    <w:abstractNumId w:val="9"/>
  </w:num>
  <w:num w:numId="99" w16cid:durableId="1908375197">
    <w:abstractNumId w:val="9"/>
  </w:num>
  <w:num w:numId="100" w16cid:durableId="1209688716">
    <w:abstractNumId w:val="9"/>
  </w:num>
  <w:num w:numId="101" w16cid:durableId="1362248466">
    <w:abstractNumId w:val="9"/>
  </w:num>
  <w:num w:numId="102" w16cid:durableId="260987512">
    <w:abstractNumId w:val="9"/>
  </w:num>
  <w:num w:numId="103" w16cid:durableId="374505456">
    <w:abstractNumId w:val="9"/>
  </w:num>
  <w:num w:numId="104" w16cid:durableId="54010492">
    <w:abstractNumId w:val="9"/>
  </w:num>
  <w:num w:numId="105" w16cid:durableId="994720038">
    <w:abstractNumId w:val="9"/>
  </w:num>
  <w:num w:numId="106" w16cid:durableId="791900996">
    <w:abstractNumId w:val="9"/>
  </w:num>
  <w:num w:numId="107" w16cid:durableId="126973712">
    <w:abstractNumId w:val="9"/>
  </w:num>
  <w:num w:numId="108" w16cid:durableId="1073625579">
    <w:abstractNumId w:val="9"/>
  </w:num>
  <w:num w:numId="109" w16cid:durableId="1647279797">
    <w:abstractNumId w:val="9"/>
  </w:num>
  <w:num w:numId="110" w16cid:durableId="1524976280">
    <w:abstractNumId w:val="9"/>
  </w:num>
  <w:num w:numId="111" w16cid:durableId="1973710760">
    <w:abstractNumId w:val="9"/>
  </w:num>
  <w:num w:numId="112" w16cid:durableId="649791584">
    <w:abstractNumId w:val="9"/>
  </w:num>
  <w:num w:numId="113" w16cid:durableId="1788819213">
    <w:abstractNumId w:val="9"/>
  </w:num>
  <w:num w:numId="114" w16cid:durableId="955715543">
    <w:abstractNumId w:val="9"/>
  </w:num>
  <w:num w:numId="115" w16cid:durableId="1939366867">
    <w:abstractNumId w:val="9"/>
  </w:num>
  <w:num w:numId="116" w16cid:durableId="30035111">
    <w:abstractNumId w:val="9"/>
  </w:num>
  <w:num w:numId="117" w16cid:durableId="668749454">
    <w:abstractNumId w:val="9"/>
  </w:num>
  <w:num w:numId="118" w16cid:durableId="205142887">
    <w:abstractNumId w:val="9"/>
  </w:num>
  <w:num w:numId="119" w16cid:durableId="316963493">
    <w:abstractNumId w:val="9"/>
  </w:num>
  <w:num w:numId="120" w16cid:durableId="1212574127">
    <w:abstractNumId w:val="9"/>
  </w:num>
  <w:num w:numId="121" w16cid:durableId="368071961">
    <w:abstractNumId w:val="9"/>
  </w:num>
  <w:num w:numId="122" w16cid:durableId="602953850">
    <w:abstractNumId w:val="9"/>
  </w:num>
  <w:num w:numId="123" w16cid:durableId="1486508825">
    <w:abstractNumId w:val="9"/>
  </w:num>
  <w:num w:numId="124" w16cid:durableId="608195037">
    <w:abstractNumId w:val="9"/>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C53"/>
    <w:rsid w:val="00000B7A"/>
    <w:rsid w:val="00000E59"/>
    <w:rsid w:val="000028D8"/>
    <w:rsid w:val="00002B1A"/>
    <w:rsid w:val="00003926"/>
    <w:rsid w:val="0000488F"/>
    <w:rsid w:val="00005F46"/>
    <w:rsid w:val="00007741"/>
    <w:rsid w:val="0001049F"/>
    <w:rsid w:val="00010A0B"/>
    <w:rsid w:val="0001250D"/>
    <w:rsid w:val="00013CBD"/>
    <w:rsid w:val="000157B1"/>
    <w:rsid w:val="000175D8"/>
    <w:rsid w:val="00017A8C"/>
    <w:rsid w:val="00017C12"/>
    <w:rsid w:val="00020893"/>
    <w:rsid w:val="00020BCE"/>
    <w:rsid w:val="000222A7"/>
    <w:rsid w:val="00030726"/>
    <w:rsid w:val="000313E8"/>
    <w:rsid w:val="0003159F"/>
    <w:rsid w:val="00031895"/>
    <w:rsid w:val="00032F04"/>
    <w:rsid w:val="000349B5"/>
    <w:rsid w:val="00034FEE"/>
    <w:rsid w:val="000358B6"/>
    <w:rsid w:val="00035CE2"/>
    <w:rsid w:val="000371B8"/>
    <w:rsid w:val="00037B16"/>
    <w:rsid w:val="000400D7"/>
    <w:rsid w:val="0004103F"/>
    <w:rsid w:val="00041406"/>
    <w:rsid w:val="000415F5"/>
    <w:rsid w:val="00041D59"/>
    <w:rsid w:val="00041EE4"/>
    <w:rsid w:val="00042198"/>
    <w:rsid w:val="0004442E"/>
    <w:rsid w:val="00045FF2"/>
    <w:rsid w:val="00050B71"/>
    <w:rsid w:val="000517FB"/>
    <w:rsid w:val="000533F3"/>
    <w:rsid w:val="000552D7"/>
    <w:rsid w:val="00056448"/>
    <w:rsid w:val="00060B21"/>
    <w:rsid w:val="00060D2F"/>
    <w:rsid w:val="000643B0"/>
    <w:rsid w:val="00064A47"/>
    <w:rsid w:val="000652D2"/>
    <w:rsid w:val="000652E1"/>
    <w:rsid w:val="00065BEE"/>
    <w:rsid w:val="000667BC"/>
    <w:rsid w:val="00066BB3"/>
    <w:rsid w:val="000718EF"/>
    <w:rsid w:val="000752B3"/>
    <w:rsid w:val="000752BA"/>
    <w:rsid w:val="0007668D"/>
    <w:rsid w:val="00076CF8"/>
    <w:rsid w:val="00077E33"/>
    <w:rsid w:val="0008182C"/>
    <w:rsid w:val="00083080"/>
    <w:rsid w:val="00083C14"/>
    <w:rsid w:val="00084FDB"/>
    <w:rsid w:val="00085443"/>
    <w:rsid w:val="00085CB8"/>
    <w:rsid w:val="00087543"/>
    <w:rsid w:val="00087601"/>
    <w:rsid w:val="00087898"/>
    <w:rsid w:val="00087C92"/>
    <w:rsid w:val="0009009D"/>
    <w:rsid w:val="00090362"/>
    <w:rsid w:val="000903FE"/>
    <w:rsid w:val="000909AB"/>
    <w:rsid w:val="000909AC"/>
    <w:rsid w:val="00091331"/>
    <w:rsid w:val="00095B4B"/>
    <w:rsid w:val="000967B6"/>
    <w:rsid w:val="00097206"/>
    <w:rsid w:val="000973A6"/>
    <w:rsid w:val="00097BBA"/>
    <w:rsid w:val="000A0160"/>
    <w:rsid w:val="000A5B12"/>
    <w:rsid w:val="000A72D7"/>
    <w:rsid w:val="000B215B"/>
    <w:rsid w:val="000B41DB"/>
    <w:rsid w:val="000B499E"/>
    <w:rsid w:val="000B4DA2"/>
    <w:rsid w:val="000B5395"/>
    <w:rsid w:val="000B5DF4"/>
    <w:rsid w:val="000B5FE7"/>
    <w:rsid w:val="000B60CE"/>
    <w:rsid w:val="000B74CA"/>
    <w:rsid w:val="000C00AC"/>
    <w:rsid w:val="000C28D7"/>
    <w:rsid w:val="000C2FD7"/>
    <w:rsid w:val="000C4065"/>
    <w:rsid w:val="000C46F2"/>
    <w:rsid w:val="000C6175"/>
    <w:rsid w:val="000C65B9"/>
    <w:rsid w:val="000C6A7B"/>
    <w:rsid w:val="000C6B1A"/>
    <w:rsid w:val="000D023C"/>
    <w:rsid w:val="000D0743"/>
    <w:rsid w:val="000D18A5"/>
    <w:rsid w:val="000D28A3"/>
    <w:rsid w:val="000D2D59"/>
    <w:rsid w:val="000D37E8"/>
    <w:rsid w:val="000D398A"/>
    <w:rsid w:val="000D4265"/>
    <w:rsid w:val="000E0C5C"/>
    <w:rsid w:val="000E37FE"/>
    <w:rsid w:val="000E3A3F"/>
    <w:rsid w:val="000E4379"/>
    <w:rsid w:val="000E4B6C"/>
    <w:rsid w:val="000F2DA3"/>
    <w:rsid w:val="000F32C2"/>
    <w:rsid w:val="000F5258"/>
    <w:rsid w:val="000F6ABF"/>
    <w:rsid w:val="00100087"/>
    <w:rsid w:val="001001CB"/>
    <w:rsid w:val="00101867"/>
    <w:rsid w:val="00101A3D"/>
    <w:rsid w:val="001026BB"/>
    <w:rsid w:val="00103AEA"/>
    <w:rsid w:val="00103E57"/>
    <w:rsid w:val="00106C86"/>
    <w:rsid w:val="00107B55"/>
    <w:rsid w:val="00115CEE"/>
    <w:rsid w:val="00117840"/>
    <w:rsid w:val="00120265"/>
    <w:rsid w:val="00120632"/>
    <w:rsid w:val="0012074D"/>
    <w:rsid w:val="00120DEC"/>
    <w:rsid w:val="00121747"/>
    <w:rsid w:val="0012233F"/>
    <w:rsid w:val="00122542"/>
    <w:rsid w:val="0012285C"/>
    <w:rsid w:val="00122DAC"/>
    <w:rsid w:val="00123001"/>
    <w:rsid w:val="00123885"/>
    <w:rsid w:val="0012499A"/>
    <w:rsid w:val="001279F9"/>
    <w:rsid w:val="00127ADC"/>
    <w:rsid w:val="00127AEA"/>
    <w:rsid w:val="00127B13"/>
    <w:rsid w:val="00130109"/>
    <w:rsid w:val="00130A00"/>
    <w:rsid w:val="00130CA3"/>
    <w:rsid w:val="0013101D"/>
    <w:rsid w:val="00131B48"/>
    <w:rsid w:val="00132DD9"/>
    <w:rsid w:val="00133D74"/>
    <w:rsid w:val="0013499A"/>
    <w:rsid w:val="0013512D"/>
    <w:rsid w:val="001353A3"/>
    <w:rsid w:val="00136642"/>
    <w:rsid w:val="00140D6E"/>
    <w:rsid w:val="001413BE"/>
    <w:rsid w:val="00145D4F"/>
    <w:rsid w:val="0014617C"/>
    <w:rsid w:val="001463B5"/>
    <w:rsid w:val="001476CA"/>
    <w:rsid w:val="0015056A"/>
    <w:rsid w:val="00150F35"/>
    <w:rsid w:val="00151802"/>
    <w:rsid w:val="0015245A"/>
    <w:rsid w:val="00152D39"/>
    <w:rsid w:val="001537FF"/>
    <w:rsid w:val="00154AB9"/>
    <w:rsid w:val="001551A7"/>
    <w:rsid w:val="00156A66"/>
    <w:rsid w:val="0015707E"/>
    <w:rsid w:val="00157888"/>
    <w:rsid w:val="001578BA"/>
    <w:rsid w:val="0016036D"/>
    <w:rsid w:val="001604FD"/>
    <w:rsid w:val="0016187C"/>
    <w:rsid w:val="00162799"/>
    <w:rsid w:val="00162EFB"/>
    <w:rsid w:val="00165718"/>
    <w:rsid w:val="001670E7"/>
    <w:rsid w:val="00167D6C"/>
    <w:rsid w:val="001708BC"/>
    <w:rsid w:val="00172E4B"/>
    <w:rsid w:val="00173612"/>
    <w:rsid w:val="00174F99"/>
    <w:rsid w:val="001768A5"/>
    <w:rsid w:val="001800FB"/>
    <w:rsid w:val="00180A30"/>
    <w:rsid w:val="00184230"/>
    <w:rsid w:val="00184D35"/>
    <w:rsid w:val="0018780D"/>
    <w:rsid w:val="00187A27"/>
    <w:rsid w:val="0019391A"/>
    <w:rsid w:val="00193BF9"/>
    <w:rsid w:val="00194AFD"/>
    <w:rsid w:val="001962CD"/>
    <w:rsid w:val="001972D3"/>
    <w:rsid w:val="00197D83"/>
    <w:rsid w:val="001A0174"/>
    <w:rsid w:val="001A3412"/>
    <w:rsid w:val="001A3DC3"/>
    <w:rsid w:val="001A57E5"/>
    <w:rsid w:val="001A61CD"/>
    <w:rsid w:val="001A656A"/>
    <w:rsid w:val="001A7950"/>
    <w:rsid w:val="001B0476"/>
    <w:rsid w:val="001B2E85"/>
    <w:rsid w:val="001B52E2"/>
    <w:rsid w:val="001B5D7D"/>
    <w:rsid w:val="001B6255"/>
    <w:rsid w:val="001C0328"/>
    <w:rsid w:val="001C2237"/>
    <w:rsid w:val="001C34C3"/>
    <w:rsid w:val="001C3795"/>
    <w:rsid w:val="001C4EFB"/>
    <w:rsid w:val="001C50AB"/>
    <w:rsid w:val="001C55AA"/>
    <w:rsid w:val="001C5760"/>
    <w:rsid w:val="001C7B09"/>
    <w:rsid w:val="001D3773"/>
    <w:rsid w:val="001D6A55"/>
    <w:rsid w:val="001E013D"/>
    <w:rsid w:val="001E1B67"/>
    <w:rsid w:val="001E1E4F"/>
    <w:rsid w:val="001E2275"/>
    <w:rsid w:val="001E3982"/>
    <w:rsid w:val="001E51F5"/>
    <w:rsid w:val="001F047E"/>
    <w:rsid w:val="001F0BAB"/>
    <w:rsid w:val="001F1993"/>
    <w:rsid w:val="001F23D8"/>
    <w:rsid w:val="001F27A8"/>
    <w:rsid w:val="001F322C"/>
    <w:rsid w:val="001F3EF5"/>
    <w:rsid w:val="001F6625"/>
    <w:rsid w:val="001F75DD"/>
    <w:rsid w:val="00200577"/>
    <w:rsid w:val="002016F8"/>
    <w:rsid w:val="00202B1D"/>
    <w:rsid w:val="00202E08"/>
    <w:rsid w:val="00203300"/>
    <w:rsid w:val="002037FD"/>
    <w:rsid w:val="00204ED8"/>
    <w:rsid w:val="00205725"/>
    <w:rsid w:val="002058AD"/>
    <w:rsid w:val="00206772"/>
    <w:rsid w:val="00206B1C"/>
    <w:rsid w:val="002079B3"/>
    <w:rsid w:val="002101A9"/>
    <w:rsid w:val="00210E70"/>
    <w:rsid w:val="0021277A"/>
    <w:rsid w:val="00212B64"/>
    <w:rsid w:val="002140F6"/>
    <w:rsid w:val="00214FDC"/>
    <w:rsid w:val="00215055"/>
    <w:rsid w:val="00215938"/>
    <w:rsid w:val="0021684C"/>
    <w:rsid w:val="00217AF0"/>
    <w:rsid w:val="00217DDE"/>
    <w:rsid w:val="00220EE1"/>
    <w:rsid w:val="0022147E"/>
    <w:rsid w:val="002220E9"/>
    <w:rsid w:val="002221A5"/>
    <w:rsid w:val="00222B1F"/>
    <w:rsid w:val="002234D3"/>
    <w:rsid w:val="0022361E"/>
    <w:rsid w:val="00223DA4"/>
    <w:rsid w:val="0022626C"/>
    <w:rsid w:val="00227271"/>
    <w:rsid w:val="00227E7E"/>
    <w:rsid w:val="002300DB"/>
    <w:rsid w:val="0023463E"/>
    <w:rsid w:val="00235A32"/>
    <w:rsid w:val="0023631A"/>
    <w:rsid w:val="00236389"/>
    <w:rsid w:val="00240630"/>
    <w:rsid w:val="0024076D"/>
    <w:rsid w:val="00241318"/>
    <w:rsid w:val="00242CA9"/>
    <w:rsid w:val="002439EE"/>
    <w:rsid w:val="00243A10"/>
    <w:rsid w:val="00243C78"/>
    <w:rsid w:val="00243DB6"/>
    <w:rsid w:val="002457A2"/>
    <w:rsid w:val="00245C8D"/>
    <w:rsid w:val="0024650B"/>
    <w:rsid w:val="00253E0A"/>
    <w:rsid w:val="002558A6"/>
    <w:rsid w:val="00255A0F"/>
    <w:rsid w:val="00255B68"/>
    <w:rsid w:val="00256028"/>
    <w:rsid w:val="00256C8B"/>
    <w:rsid w:val="00257156"/>
    <w:rsid w:val="00263BA8"/>
    <w:rsid w:val="00264CA1"/>
    <w:rsid w:val="0026630C"/>
    <w:rsid w:val="002666BD"/>
    <w:rsid w:val="0026765A"/>
    <w:rsid w:val="00267B86"/>
    <w:rsid w:val="00270EAE"/>
    <w:rsid w:val="0027248F"/>
    <w:rsid w:val="0027250E"/>
    <w:rsid w:val="002728B2"/>
    <w:rsid w:val="00272C9A"/>
    <w:rsid w:val="00273A34"/>
    <w:rsid w:val="0027508E"/>
    <w:rsid w:val="002755E0"/>
    <w:rsid w:val="002774E1"/>
    <w:rsid w:val="00277808"/>
    <w:rsid w:val="002814E9"/>
    <w:rsid w:val="00281B35"/>
    <w:rsid w:val="00281D07"/>
    <w:rsid w:val="0028314C"/>
    <w:rsid w:val="00283611"/>
    <w:rsid w:val="0028397B"/>
    <w:rsid w:val="00283D24"/>
    <w:rsid w:val="00287F21"/>
    <w:rsid w:val="002901B1"/>
    <w:rsid w:val="00290258"/>
    <w:rsid w:val="00290451"/>
    <w:rsid w:val="00292A51"/>
    <w:rsid w:val="002933D8"/>
    <w:rsid w:val="00293CC9"/>
    <w:rsid w:val="002946F2"/>
    <w:rsid w:val="00297775"/>
    <w:rsid w:val="002A0B6E"/>
    <w:rsid w:val="002A117E"/>
    <w:rsid w:val="002A1450"/>
    <w:rsid w:val="002A5303"/>
    <w:rsid w:val="002A656A"/>
    <w:rsid w:val="002A6F15"/>
    <w:rsid w:val="002A79BF"/>
    <w:rsid w:val="002A7E0C"/>
    <w:rsid w:val="002B0933"/>
    <w:rsid w:val="002B0B29"/>
    <w:rsid w:val="002B1848"/>
    <w:rsid w:val="002B18BF"/>
    <w:rsid w:val="002B2AE9"/>
    <w:rsid w:val="002B3904"/>
    <w:rsid w:val="002B3C4A"/>
    <w:rsid w:val="002B3C93"/>
    <w:rsid w:val="002B5365"/>
    <w:rsid w:val="002B5F7B"/>
    <w:rsid w:val="002B6C8D"/>
    <w:rsid w:val="002B6D2D"/>
    <w:rsid w:val="002B7BCF"/>
    <w:rsid w:val="002C0725"/>
    <w:rsid w:val="002C08EB"/>
    <w:rsid w:val="002C3E95"/>
    <w:rsid w:val="002C49A8"/>
    <w:rsid w:val="002C4EA1"/>
    <w:rsid w:val="002C5C1D"/>
    <w:rsid w:val="002C6955"/>
    <w:rsid w:val="002C6CC2"/>
    <w:rsid w:val="002C6FD2"/>
    <w:rsid w:val="002C707B"/>
    <w:rsid w:val="002C71C3"/>
    <w:rsid w:val="002D0B13"/>
    <w:rsid w:val="002D1D65"/>
    <w:rsid w:val="002D2E4D"/>
    <w:rsid w:val="002D58FE"/>
    <w:rsid w:val="002D5DB9"/>
    <w:rsid w:val="002D6D82"/>
    <w:rsid w:val="002D7C52"/>
    <w:rsid w:val="002E0790"/>
    <w:rsid w:val="002E1B62"/>
    <w:rsid w:val="002E297E"/>
    <w:rsid w:val="002E6808"/>
    <w:rsid w:val="002F2138"/>
    <w:rsid w:val="002F2C1D"/>
    <w:rsid w:val="002F3B80"/>
    <w:rsid w:val="002F46EA"/>
    <w:rsid w:val="002F6068"/>
    <w:rsid w:val="00301089"/>
    <w:rsid w:val="00302278"/>
    <w:rsid w:val="00302790"/>
    <w:rsid w:val="00302AC4"/>
    <w:rsid w:val="00306BD4"/>
    <w:rsid w:val="003112A4"/>
    <w:rsid w:val="00313293"/>
    <w:rsid w:val="00313334"/>
    <w:rsid w:val="00314B2B"/>
    <w:rsid w:val="00314BC5"/>
    <w:rsid w:val="003155DB"/>
    <w:rsid w:val="003160EC"/>
    <w:rsid w:val="003161D2"/>
    <w:rsid w:val="00316CE1"/>
    <w:rsid w:val="00321841"/>
    <w:rsid w:val="0032198A"/>
    <w:rsid w:val="003224FF"/>
    <w:rsid w:val="003247A0"/>
    <w:rsid w:val="003253AF"/>
    <w:rsid w:val="00325F05"/>
    <w:rsid w:val="00326D7F"/>
    <w:rsid w:val="00330A82"/>
    <w:rsid w:val="003326CF"/>
    <w:rsid w:val="003331BA"/>
    <w:rsid w:val="003346BD"/>
    <w:rsid w:val="00334BEC"/>
    <w:rsid w:val="003353F6"/>
    <w:rsid w:val="00335EF7"/>
    <w:rsid w:val="00336D99"/>
    <w:rsid w:val="0034052D"/>
    <w:rsid w:val="003421D8"/>
    <w:rsid w:val="00342C04"/>
    <w:rsid w:val="00347933"/>
    <w:rsid w:val="00347CFE"/>
    <w:rsid w:val="00347DFE"/>
    <w:rsid w:val="003556BF"/>
    <w:rsid w:val="00357921"/>
    <w:rsid w:val="00357C62"/>
    <w:rsid w:val="00361413"/>
    <w:rsid w:val="003615CD"/>
    <w:rsid w:val="00361CC1"/>
    <w:rsid w:val="003623BD"/>
    <w:rsid w:val="00363D86"/>
    <w:rsid w:val="0036474B"/>
    <w:rsid w:val="00364830"/>
    <w:rsid w:val="00364FAA"/>
    <w:rsid w:val="00366379"/>
    <w:rsid w:val="00367F88"/>
    <w:rsid w:val="00370112"/>
    <w:rsid w:val="00370456"/>
    <w:rsid w:val="00371679"/>
    <w:rsid w:val="00372181"/>
    <w:rsid w:val="0037254D"/>
    <w:rsid w:val="00372BD1"/>
    <w:rsid w:val="00373AEA"/>
    <w:rsid w:val="003744A7"/>
    <w:rsid w:val="003746E2"/>
    <w:rsid w:val="003746FB"/>
    <w:rsid w:val="00375A51"/>
    <w:rsid w:val="00375BAD"/>
    <w:rsid w:val="00375E49"/>
    <w:rsid w:val="00376091"/>
    <w:rsid w:val="00376186"/>
    <w:rsid w:val="0037621C"/>
    <w:rsid w:val="00376524"/>
    <w:rsid w:val="003801CD"/>
    <w:rsid w:val="003813B0"/>
    <w:rsid w:val="00381A9C"/>
    <w:rsid w:val="0038374E"/>
    <w:rsid w:val="003841D3"/>
    <w:rsid w:val="00384559"/>
    <w:rsid w:val="0038707B"/>
    <w:rsid w:val="00387367"/>
    <w:rsid w:val="00390246"/>
    <w:rsid w:val="00393344"/>
    <w:rsid w:val="003934DF"/>
    <w:rsid w:val="00393BA5"/>
    <w:rsid w:val="003943EB"/>
    <w:rsid w:val="00397AE2"/>
    <w:rsid w:val="003A02DE"/>
    <w:rsid w:val="003A2894"/>
    <w:rsid w:val="003A2C80"/>
    <w:rsid w:val="003A586C"/>
    <w:rsid w:val="003A66A0"/>
    <w:rsid w:val="003A6C53"/>
    <w:rsid w:val="003B0E03"/>
    <w:rsid w:val="003B3129"/>
    <w:rsid w:val="003B47F6"/>
    <w:rsid w:val="003B4A47"/>
    <w:rsid w:val="003B5257"/>
    <w:rsid w:val="003C0294"/>
    <w:rsid w:val="003C0DE6"/>
    <w:rsid w:val="003C1EF2"/>
    <w:rsid w:val="003C3017"/>
    <w:rsid w:val="003C3803"/>
    <w:rsid w:val="003C3E89"/>
    <w:rsid w:val="003C4225"/>
    <w:rsid w:val="003C42A7"/>
    <w:rsid w:val="003D136C"/>
    <w:rsid w:val="003D19D6"/>
    <w:rsid w:val="003D41C0"/>
    <w:rsid w:val="003D5927"/>
    <w:rsid w:val="003D6E2E"/>
    <w:rsid w:val="003D728B"/>
    <w:rsid w:val="003E0FBE"/>
    <w:rsid w:val="003E22E5"/>
    <w:rsid w:val="003E32FB"/>
    <w:rsid w:val="003E46F5"/>
    <w:rsid w:val="003E47EE"/>
    <w:rsid w:val="003E4C1C"/>
    <w:rsid w:val="003E4F4E"/>
    <w:rsid w:val="003E65BA"/>
    <w:rsid w:val="003F0AD1"/>
    <w:rsid w:val="003F0C6F"/>
    <w:rsid w:val="003F2FDF"/>
    <w:rsid w:val="003F5877"/>
    <w:rsid w:val="003F6BA1"/>
    <w:rsid w:val="003F767F"/>
    <w:rsid w:val="004017AC"/>
    <w:rsid w:val="0040288B"/>
    <w:rsid w:val="00402B09"/>
    <w:rsid w:val="00403741"/>
    <w:rsid w:val="0040386A"/>
    <w:rsid w:val="00403EEB"/>
    <w:rsid w:val="00405DF6"/>
    <w:rsid w:val="00406D1B"/>
    <w:rsid w:val="00407367"/>
    <w:rsid w:val="00410E88"/>
    <w:rsid w:val="00413DCF"/>
    <w:rsid w:val="00416820"/>
    <w:rsid w:val="00417B9C"/>
    <w:rsid w:val="00417E23"/>
    <w:rsid w:val="004201EA"/>
    <w:rsid w:val="004202E8"/>
    <w:rsid w:val="00421BB0"/>
    <w:rsid w:val="0042222B"/>
    <w:rsid w:val="004239C6"/>
    <w:rsid w:val="00424B4E"/>
    <w:rsid w:val="00425EAB"/>
    <w:rsid w:val="00426901"/>
    <w:rsid w:val="00427B33"/>
    <w:rsid w:val="0043126C"/>
    <w:rsid w:val="004329FA"/>
    <w:rsid w:val="00433165"/>
    <w:rsid w:val="00434174"/>
    <w:rsid w:val="00434AD3"/>
    <w:rsid w:val="00435DAA"/>
    <w:rsid w:val="0043645B"/>
    <w:rsid w:val="00440CAF"/>
    <w:rsid w:val="00443467"/>
    <w:rsid w:val="0044362D"/>
    <w:rsid w:val="0044392F"/>
    <w:rsid w:val="00443DA0"/>
    <w:rsid w:val="00443FC6"/>
    <w:rsid w:val="00443FE9"/>
    <w:rsid w:val="00445EC4"/>
    <w:rsid w:val="00446099"/>
    <w:rsid w:val="00446BBB"/>
    <w:rsid w:val="00446C2B"/>
    <w:rsid w:val="00450762"/>
    <w:rsid w:val="00453645"/>
    <w:rsid w:val="00454CEB"/>
    <w:rsid w:val="0045614F"/>
    <w:rsid w:val="004570F5"/>
    <w:rsid w:val="004579EE"/>
    <w:rsid w:val="00460949"/>
    <w:rsid w:val="00462459"/>
    <w:rsid w:val="004632D2"/>
    <w:rsid w:val="00463CDD"/>
    <w:rsid w:val="00465395"/>
    <w:rsid w:val="00465683"/>
    <w:rsid w:val="00472D40"/>
    <w:rsid w:val="00472DC9"/>
    <w:rsid w:val="004732A3"/>
    <w:rsid w:val="004736FE"/>
    <w:rsid w:val="004747F9"/>
    <w:rsid w:val="00475F82"/>
    <w:rsid w:val="00476F43"/>
    <w:rsid w:val="0047731F"/>
    <w:rsid w:val="00480FA1"/>
    <w:rsid w:val="0048237B"/>
    <w:rsid w:val="00483643"/>
    <w:rsid w:val="0048364C"/>
    <w:rsid w:val="004838FB"/>
    <w:rsid w:val="00483939"/>
    <w:rsid w:val="00483FBD"/>
    <w:rsid w:val="00485C42"/>
    <w:rsid w:val="00485D81"/>
    <w:rsid w:val="004879A3"/>
    <w:rsid w:val="0049035A"/>
    <w:rsid w:val="00490B4C"/>
    <w:rsid w:val="0049138C"/>
    <w:rsid w:val="004939C7"/>
    <w:rsid w:val="00493D39"/>
    <w:rsid w:val="00493F43"/>
    <w:rsid w:val="0049437A"/>
    <w:rsid w:val="004944FB"/>
    <w:rsid w:val="0049610C"/>
    <w:rsid w:val="004970A0"/>
    <w:rsid w:val="0049761E"/>
    <w:rsid w:val="00497891"/>
    <w:rsid w:val="004A1A81"/>
    <w:rsid w:val="004A1DC5"/>
    <w:rsid w:val="004A2B56"/>
    <w:rsid w:val="004A2F6F"/>
    <w:rsid w:val="004A41E6"/>
    <w:rsid w:val="004A46D7"/>
    <w:rsid w:val="004A4BDE"/>
    <w:rsid w:val="004A4C3D"/>
    <w:rsid w:val="004B56F2"/>
    <w:rsid w:val="004B6CF1"/>
    <w:rsid w:val="004B756C"/>
    <w:rsid w:val="004B7DCA"/>
    <w:rsid w:val="004C16D2"/>
    <w:rsid w:val="004C18EE"/>
    <w:rsid w:val="004C23F5"/>
    <w:rsid w:val="004C49D7"/>
    <w:rsid w:val="004C4C38"/>
    <w:rsid w:val="004C4E5B"/>
    <w:rsid w:val="004C5E26"/>
    <w:rsid w:val="004C66C5"/>
    <w:rsid w:val="004C74A6"/>
    <w:rsid w:val="004C7692"/>
    <w:rsid w:val="004C7DDD"/>
    <w:rsid w:val="004C7E05"/>
    <w:rsid w:val="004D143E"/>
    <w:rsid w:val="004D6658"/>
    <w:rsid w:val="004E004E"/>
    <w:rsid w:val="004E03FA"/>
    <w:rsid w:val="004E0445"/>
    <w:rsid w:val="004E286E"/>
    <w:rsid w:val="004E3633"/>
    <w:rsid w:val="004E4CF5"/>
    <w:rsid w:val="004E51A9"/>
    <w:rsid w:val="004E58DB"/>
    <w:rsid w:val="004E60FC"/>
    <w:rsid w:val="004F0405"/>
    <w:rsid w:val="004F0BAC"/>
    <w:rsid w:val="004F1342"/>
    <w:rsid w:val="004F181F"/>
    <w:rsid w:val="004F37C0"/>
    <w:rsid w:val="004F4E6C"/>
    <w:rsid w:val="004F507B"/>
    <w:rsid w:val="004F50BB"/>
    <w:rsid w:val="004F5AC3"/>
    <w:rsid w:val="004F5BDE"/>
    <w:rsid w:val="004F6BA2"/>
    <w:rsid w:val="004F7A1A"/>
    <w:rsid w:val="00501695"/>
    <w:rsid w:val="00501895"/>
    <w:rsid w:val="00501E95"/>
    <w:rsid w:val="00503ED1"/>
    <w:rsid w:val="00504233"/>
    <w:rsid w:val="005050A8"/>
    <w:rsid w:val="0050710A"/>
    <w:rsid w:val="0050723E"/>
    <w:rsid w:val="00511F22"/>
    <w:rsid w:val="0051309B"/>
    <w:rsid w:val="0051441B"/>
    <w:rsid w:val="0051524A"/>
    <w:rsid w:val="00516383"/>
    <w:rsid w:val="0051668E"/>
    <w:rsid w:val="00516ADF"/>
    <w:rsid w:val="0052058B"/>
    <w:rsid w:val="00521F36"/>
    <w:rsid w:val="00527DE2"/>
    <w:rsid w:val="00527EFA"/>
    <w:rsid w:val="00530FC3"/>
    <w:rsid w:val="0053316A"/>
    <w:rsid w:val="005336BD"/>
    <w:rsid w:val="005358C0"/>
    <w:rsid w:val="00535B61"/>
    <w:rsid w:val="0053695B"/>
    <w:rsid w:val="00540F98"/>
    <w:rsid w:val="00541140"/>
    <w:rsid w:val="005419BD"/>
    <w:rsid w:val="0054283B"/>
    <w:rsid w:val="00543568"/>
    <w:rsid w:val="005456AC"/>
    <w:rsid w:val="005462C6"/>
    <w:rsid w:val="00550D65"/>
    <w:rsid w:val="00551997"/>
    <w:rsid w:val="00552953"/>
    <w:rsid w:val="005537BF"/>
    <w:rsid w:val="00555BA5"/>
    <w:rsid w:val="00556064"/>
    <w:rsid w:val="00560BD9"/>
    <w:rsid w:val="005613C1"/>
    <w:rsid w:val="00561663"/>
    <w:rsid w:val="005631DD"/>
    <w:rsid w:val="0056401D"/>
    <w:rsid w:val="00565BB7"/>
    <w:rsid w:val="00567796"/>
    <w:rsid w:val="005709DA"/>
    <w:rsid w:val="005713BA"/>
    <w:rsid w:val="005714B5"/>
    <w:rsid w:val="00571A90"/>
    <w:rsid w:val="00572C21"/>
    <w:rsid w:val="0057372D"/>
    <w:rsid w:val="00576D4F"/>
    <w:rsid w:val="00576F48"/>
    <w:rsid w:val="005778F7"/>
    <w:rsid w:val="00580956"/>
    <w:rsid w:val="00581EF2"/>
    <w:rsid w:val="005832FA"/>
    <w:rsid w:val="005854A1"/>
    <w:rsid w:val="005866EB"/>
    <w:rsid w:val="00591CD2"/>
    <w:rsid w:val="00592144"/>
    <w:rsid w:val="0059530F"/>
    <w:rsid w:val="005A062E"/>
    <w:rsid w:val="005A13A1"/>
    <w:rsid w:val="005A22DF"/>
    <w:rsid w:val="005A2478"/>
    <w:rsid w:val="005A31F6"/>
    <w:rsid w:val="005A4217"/>
    <w:rsid w:val="005A4747"/>
    <w:rsid w:val="005A5592"/>
    <w:rsid w:val="005B116D"/>
    <w:rsid w:val="005B46CC"/>
    <w:rsid w:val="005B46F0"/>
    <w:rsid w:val="005B477E"/>
    <w:rsid w:val="005B58A5"/>
    <w:rsid w:val="005B63F1"/>
    <w:rsid w:val="005B737F"/>
    <w:rsid w:val="005B7560"/>
    <w:rsid w:val="005C0FF7"/>
    <w:rsid w:val="005C198D"/>
    <w:rsid w:val="005C3D74"/>
    <w:rsid w:val="005C43B0"/>
    <w:rsid w:val="005C4655"/>
    <w:rsid w:val="005C4F9F"/>
    <w:rsid w:val="005C660E"/>
    <w:rsid w:val="005C6628"/>
    <w:rsid w:val="005C6F8D"/>
    <w:rsid w:val="005D0AE2"/>
    <w:rsid w:val="005D12D7"/>
    <w:rsid w:val="005D1E8A"/>
    <w:rsid w:val="005D1F6D"/>
    <w:rsid w:val="005D2228"/>
    <w:rsid w:val="005D2A4A"/>
    <w:rsid w:val="005D4152"/>
    <w:rsid w:val="005D6C0A"/>
    <w:rsid w:val="005D6D27"/>
    <w:rsid w:val="005D784F"/>
    <w:rsid w:val="005E1C73"/>
    <w:rsid w:val="005E2085"/>
    <w:rsid w:val="005E298F"/>
    <w:rsid w:val="005E3712"/>
    <w:rsid w:val="005E44C0"/>
    <w:rsid w:val="005E49E1"/>
    <w:rsid w:val="005E6190"/>
    <w:rsid w:val="005F214B"/>
    <w:rsid w:val="005F27B1"/>
    <w:rsid w:val="005F3ACB"/>
    <w:rsid w:val="005F43FB"/>
    <w:rsid w:val="005F617D"/>
    <w:rsid w:val="005F65BC"/>
    <w:rsid w:val="005F7622"/>
    <w:rsid w:val="00600B7D"/>
    <w:rsid w:val="00601804"/>
    <w:rsid w:val="00603B3B"/>
    <w:rsid w:val="00605E7B"/>
    <w:rsid w:val="00607EB8"/>
    <w:rsid w:val="0061043D"/>
    <w:rsid w:val="00610800"/>
    <w:rsid w:val="006120B9"/>
    <w:rsid w:val="00612101"/>
    <w:rsid w:val="006122B9"/>
    <w:rsid w:val="00612A46"/>
    <w:rsid w:val="0061303A"/>
    <w:rsid w:val="0061359B"/>
    <w:rsid w:val="00614225"/>
    <w:rsid w:val="00614423"/>
    <w:rsid w:val="0061489C"/>
    <w:rsid w:val="00614C96"/>
    <w:rsid w:val="00616B2F"/>
    <w:rsid w:val="00617549"/>
    <w:rsid w:val="006177A0"/>
    <w:rsid w:val="0062038C"/>
    <w:rsid w:val="00620539"/>
    <w:rsid w:val="006214C2"/>
    <w:rsid w:val="00622045"/>
    <w:rsid w:val="00623252"/>
    <w:rsid w:val="00623282"/>
    <w:rsid w:val="00626D42"/>
    <w:rsid w:val="00627F06"/>
    <w:rsid w:val="006305DC"/>
    <w:rsid w:val="00630A07"/>
    <w:rsid w:val="00630F93"/>
    <w:rsid w:val="006316BC"/>
    <w:rsid w:val="006323C6"/>
    <w:rsid w:val="00633F36"/>
    <w:rsid w:val="00634976"/>
    <w:rsid w:val="0063515C"/>
    <w:rsid w:val="0063585D"/>
    <w:rsid w:val="00636140"/>
    <w:rsid w:val="00637096"/>
    <w:rsid w:val="00637101"/>
    <w:rsid w:val="006372FD"/>
    <w:rsid w:val="00640AAF"/>
    <w:rsid w:val="0064261B"/>
    <w:rsid w:val="00643D82"/>
    <w:rsid w:val="00645010"/>
    <w:rsid w:val="006460B5"/>
    <w:rsid w:val="00647309"/>
    <w:rsid w:val="0065003D"/>
    <w:rsid w:val="00650596"/>
    <w:rsid w:val="00650BB3"/>
    <w:rsid w:val="006517C8"/>
    <w:rsid w:val="00651D08"/>
    <w:rsid w:val="006520A2"/>
    <w:rsid w:val="0065232F"/>
    <w:rsid w:val="006541B5"/>
    <w:rsid w:val="00654DBB"/>
    <w:rsid w:val="00656B3C"/>
    <w:rsid w:val="0065791D"/>
    <w:rsid w:val="00662DAB"/>
    <w:rsid w:val="006631F3"/>
    <w:rsid w:val="00664140"/>
    <w:rsid w:val="00664236"/>
    <w:rsid w:val="00664815"/>
    <w:rsid w:val="00664BD4"/>
    <w:rsid w:val="00665983"/>
    <w:rsid w:val="00665AE4"/>
    <w:rsid w:val="00665AE9"/>
    <w:rsid w:val="00665E4A"/>
    <w:rsid w:val="00667280"/>
    <w:rsid w:val="00667930"/>
    <w:rsid w:val="006712DD"/>
    <w:rsid w:val="006736CC"/>
    <w:rsid w:val="00675132"/>
    <w:rsid w:val="00675599"/>
    <w:rsid w:val="0067726B"/>
    <w:rsid w:val="00681AAF"/>
    <w:rsid w:val="00683194"/>
    <w:rsid w:val="0068332E"/>
    <w:rsid w:val="00683CC1"/>
    <w:rsid w:val="0068400E"/>
    <w:rsid w:val="00684769"/>
    <w:rsid w:val="00686539"/>
    <w:rsid w:val="006877C9"/>
    <w:rsid w:val="00687E2E"/>
    <w:rsid w:val="00687EBE"/>
    <w:rsid w:val="00690FBE"/>
    <w:rsid w:val="006915A3"/>
    <w:rsid w:val="00693E32"/>
    <w:rsid w:val="00693F36"/>
    <w:rsid w:val="006943A6"/>
    <w:rsid w:val="00695AB9"/>
    <w:rsid w:val="0069681B"/>
    <w:rsid w:val="00696B2F"/>
    <w:rsid w:val="006A0961"/>
    <w:rsid w:val="006A0AD1"/>
    <w:rsid w:val="006A2F2C"/>
    <w:rsid w:val="006A4014"/>
    <w:rsid w:val="006B0381"/>
    <w:rsid w:val="006B34E1"/>
    <w:rsid w:val="006B651C"/>
    <w:rsid w:val="006C06FD"/>
    <w:rsid w:val="006C12DF"/>
    <w:rsid w:val="006C1EF8"/>
    <w:rsid w:val="006C2E5E"/>
    <w:rsid w:val="006C59BC"/>
    <w:rsid w:val="006D0CFF"/>
    <w:rsid w:val="006D1476"/>
    <w:rsid w:val="006D1774"/>
    <w:rsid w:val="006D395C"/>
    <w:rsid w:val="006D4C49"/>
    <w:rsid w:val="006D5248"/>
    <w:rsid w:val="006D6BC1"/>
    <w:rsid w:val="006D737F"/>
    <w:rsid w:val="006E12F6"/>
    <w:rsid w:val="006E135F"/>
    <w:rsid w:val="006E185B"/>
    <w:rsid w:val="006E283C"/>
    <w:rsid w:val="006E3150"/>
    <w:rsid w:val="006E3255"/>
    <w:rsid w:val="006E4ACF"/>
    <w:rsid w:val="006E555F"/>
    <w:rsid w:val="006E5615"/>
    <w:rsid w:val="006E59B9"/>
    <w:rsid w:val="006E5A00"/>
    <w:rsid w:val="006F3F44"/>
    <w:rsid w:val="006F5854"/>
    <w:rsid w:val="006F6463"/>
    <w:rsid w:val="006F72AD"/>
    <w:rsid w:val="006F75D8"/>
    <w:rsid w:val="00700C3F"/>
    <w:rsid w:val="007016D0"/>
    <w:rsid w:val="00701F08"/>
    <w:rsid w:val="00702109"/>
    <w:rsid w:val="00702B59"/>
    <w:rsid w:val="00702BC9"/>
    <w:rsid w:val="00702BE0"/>
    <w:rsid w:val="00704600"/>
    <w:rsid w:val="00706336"/>
    <w:rsid w:val="0071065B"/>
    <w:rsid w:val="00712EEF"/>
    <w:rsid w:val="007134EA"/>
    <w:rsid w:val="00713A5C"/>
    <w:rsid w:val="0071689D"/>
    <w:rsid w:val="0071709E"/>
    <w:rsid w:val="00720419"/>
    <w:rsid w:val="00720EAF"/>
    <w:rsid w:val="00722C79"/>
    <w:rsid w:val="00723141"/>
    <w:rsid w:val="007231DD"/>
    <w:rsid w:val="00723203"/>
    <w:rsid w:val="00724679"/>
    <w:rsid w:val="00725229"/>
    <w:rsid w:val="00725EBB"/>
    <w:rsid w:val="00727484"/>
    <w:rsid w:val="00727891"/>
    <w:rsid w:val="00730D00"/>
    <w:rsid w:val="00731AF4"/>
    <w:rsid w:val="007324CD"/>
    <w:rsid w:val="0073312E"/>
    <w:rsid w:val="00733E68"/>
    <w:rsid w:val="007353A4"/>
    <w:rsid w:val="00735D7E"/>
    <w:rsid w:val="00736278"/>
    <w:rsid w:val="00736EF5"/>
    <w:rsid w:val="0073767E"/>
    <w:rsid w:val="00740A29"/>
    <w:rsid w:val="0074177E"/>
    <w:rsid w:val="00741A87"/>
    <w:rsid w:val="00742D4D"/>
    <w:rsid w:val="00743E80"/>
    <w:rsid w:val="007445F2"/>
    <w:rsid w:val="007460AA"/>
    <w:rsid w:val="0074644B"/>
    <w:rsid w:val="00746FE1"/>
    <w:rsid w:val="00747537"/>
    <w:rsid w:val="00752172"/>
    <w:rsid w:val="00752421"/>
    <w:rsid w:val="007577AE"/>
    <w:rsid w:val="00760656"/>
    <w:rsid w:val="00760C4C"/>
    <w:rsid w:val="00766A33"/>
    <w:rsid w:val="007706AA"/>
    <w:rsid w:val="00770A7C"/>
    <w:rsid w:val="00770F04"/>
    <w:rsid w:val="00771CB0"/>
    <w:rsid w:val="007748C6"/>
    <w:rsid w:val="0077573E"/>
    <w:rsid w:val="00776284"/>
    <w:rsid w:val="00776D36"/>
    <w:rsid w:val="00781832"/>
    <w:rsid w:val="00781D55"/>
    <w:rsid w:val="00782356"/>
    <w:rsid w:val="0078371D"/>
    <w:rsid w:val="00783733"/>
    <w:rsid w:val="0078438A"/>
    <w:rsid w:val="00785121"/>
    <w:rsid w:val="00786020"/>
    <w:rsid w:val="00786A62"/>
    <w:rsid w:val="0079205D"/>
    <w:rsid w:val="007922C2"/>
    <w:rsid w:val="00793FCF"/>
    <w:rsid w:val="007940D9"/>
    <w:rsid w:val="007941BB"/>
    <w:rsid w:val="00795BB1"/>
    <w:rsid w:val="007969A4"/>
    <w:rsid w:val="00797647"/>
    <w:rsid w:val="007A05A7"/>
    <w:rsid w:val="007A06DE"/>
    <w:rsid w:val="007A179E"/>
    <w:rsid w:val="007A1A8E"/>
    <w:rsid w:val="007A2005"/>
    <w:rsid w:val="007A312D"/>
    <w:rsid w:val="007A3DC1"/>
    <w:rsid w:val="007A4159"/>
    <w:rsid w:val="007A4DD6"/>
    <w:rsid w:val="007A4F58"/>
    <w:rsid w:val="007A5E5B"/>
    <w:rsid w:val="007A6121"/>
    <w:rsid w:val="007A683B"/>
    <w:rsid w:val="007A68CE"/>
    <w:rsid w:val="007A6E20"/>
    <w:rsid w:val="007B02B7"/>
    <w:rsid w:val="007B0441"/>
    <w:rsid w:val="007B19DB"/>
    <w:rsid w:val="007B249A"/>
    <w:rsid w:val="007B3AD2"/>
    <w:rsid w:val="007B5ACC"/>
    <w:rsid w:val="007B5EEB"/>
    <w:rsid w:val="007B7A03"/>
    <w:rsid w:val="007B7D55"/>
    <w:rsid w:val="007C1838"/>
    <w:rsid w:val="007C6357"/>
    <w:rsid w:val="007D0300"/>
    <w:rsid w:val="007D052A"/>
    <w:rsid w:val="007D1023"/>
    <w:rsid w:val="007D124D"/>
    <w:rsid w:val="007D12E8"/>
    <w:rsid w:val="007D370F"/>
    <w:rsid w:val="007D4136"/>
    <w:rsid w:val="007D5DBD"/>
    <w:rsid w:val="007D5E3E"/>
    <w:rsid w:val="007E0331"/>
    <w:rsid w:val="007E03FB"/>
    <w:rsid w:val="007E0E5F"/>
    <w:rsid w:val="007E1C05"/>
    <w:rsid w:val="007E2B60"/>
    <w:rsid w:val="007E2E10"/>
    <w:rsid w:val="007E343C"/>
    <w:rsid w:val="007E4F20"/>
    <w:rsid w:val="007E539E"/>
    <w:rsid w:val="007E6A58"/>
    <w:rsid w:val="007E6B6F"/>
    <w:rsid w:val="007E7900"/>
    <w:rsid w:val="007F021D"/>
    <w:rsid w:val="007F0CED"/>
    <w:rsid w:val="007F2179"/>
    <w:rsid w:val="007F376E"/>
    <w:rsid w:val="007F4A16"/>
    <w:rsid w:val="007F51AD"/>
    <w:rsid w:val="007F7A00"/>
    <w:rsid w:val="00801E1F"/>
    <w:rsid w:val="0080294D"/>
    <w:rsid w:val="00803199"/>
    <w:rsid w:val="00803C74"/>
    <w:rsid w:val="00804B78"/>
    <w:rsid w:val="00806142"/>
    <w:rsid w:val="008061E7"/>
    <w:rsid w:val="00807824"/>
    <w:rsid w:val="00810AFA"/>
    <w:rsid w:val="0081398D"/>
    <w:rsid w:val="008149DE"/>
    <w:rsid w:val="00815622"/>
    <w:rsid w:val="008157D8"/>
    <w:rsid w:val="00817293"/>
    <w:rsid w:val="0081749C"/>
    <w:rsid w:val="00817AA4"/>
    <w:rsid w:val="00825776"/>
    <w:rsid w:val="00825B09"/>
    <w:rsid w:val="00826500"/>
    <w:rsid w:val="00827BDB"/>
    <w:rsid w:val="00832150"/>
    <w:rsid w:val="00833613"/>
    <w:rsid w:val="008354DB"/>
    <w:rsid w:val="00835974"/>
    <w:rsid w:val="00836ACF"/>
    <w:rsid w:val="008372A7"/>
    <w:rsid w:val="008407AD"/>
    <w:rsid w:val="00840949"/>
    <w:rsid w:val="0084266D"/>
    <w:rsid w:val="008437AC"/>
    <w:rsid w:val="008447BE"/>
    <w:rsid w:val="0084482C"/>
    <w:rsid w:val="0085163E"/>
    <w:rsid w:val="00851EC9"/>
    <w:rsid w:val="008548A6"/>
    <w:rsid w:val="008557C1"/>
    <w:rsid w:val="00855DE3"/>
    <w:rsid w:val="00855EA6"/>
    <w:rsid w:val="0085644D"/>
    <w:rsid w:val="00856D78"/>
    <w:rsid w:val="00857100"/>
    <w:rsid w:val="008575CE"/>
    <w:rsid w:val="00857E76"/>
    <w:rsid w:val="00861600"/>
    <w:rsid w:val="008648B4"/>
    <w:rsid w:val="00864DBE"/>
    <w:rsid w:val="00865863"/>
    <w:rsid w:val="00866CE4"/>
    <w:rsid w:val="00866FC4"/>
    <w:rsid w:val="00867B41"/>
    <w:rsid w:val="00871C01"/>
    <w:rsid w:val="008727CF"/>
    <w:rsid w:val="008738FB"/>
    <w:rsid w:val="008758ED"/>
    <w:rsid w:val="00876468"/>
    <w:rsid w:val="00876EA2"/>
    <w:rsid w:val="008833C1"/>
    <w:rsid w:val="00883402"/>
    <w:rsid w:val="008846E2"/>
    <w:rsid w:val="00884B05"/>
    <w:rsid w:val="008857ED"/>
    <w:rsid w:val="00890D66"/>
    <w:rsid w:val="00891D5F"/>
    <w:rsid w:val="0089343B"/>
    <w:rsid w:val="00895C14"/>
    <w:rsid w:val="00896373"/>
    <w:rsid w:val="008966F1"/>
    <w:rsid w:val="008973FB"/>
    <w:rsid w:val="00897FEA"/>
    <w:rsid w:val="008A1385"/>
    <w:rsid w:val="008A2A36"/>
    <w:rsid w:val="008A6443"/>
    <w:rsid w:val="008B0B3A"/>
    <w:rsid w:val="008B1D6C"/>
    <w:rsid w:val="008B3FE1"/>
    <w:rsid w:val="008B5C4E"/>
    <w:rsid w:val="008B6566"/>
    <w:rsid w:val="008B67BA"/>
    <w:rsid w:val="008B708A"/>
    <w:rsid w:val="008B762A"/>
    <w:rsid w:val="008B79F4"/>
    <w:rsid w:val="008C01C9"/>
    <w:rsid w:val="008C194D"/>
    <w:rsid w:val="008C26DB"/>
    <w:rsid w:val="008C30A8"/>
    <w:rsid w:val="008D0E55"/>
    <w:rsid w:val="008D156C"/>
    <w:rsid w:val="008D246D"/>
    <w:rsid w:val="008D307A"/>
    <w:rsid w:val="008D502F"/>
    <w:rsid w:val="008D77BF"/>
    <w:rsid w:val="008E0CF5"/>
    <w:rsid w:val="008E1DE3"/>
    <w:rsid w:val="008E3139"/>
    <w:rsid w:val="008E38B1"/>
    <w:rsid w:val="008E58FD"/>
    <w:rsid w:val="008E5F53"/>
    <w:rsid w:val="008F0EDE"/>
    <w:rsid w:val="008F19F2"/>
    <w:rsid w:val="008F2706"/>
    <w:rsid w:val="008F2B90"/>
    <w:rsid w:val="008F31F3"/>
    <w:rsid w:val="008F34C1"/>
    <w:rsid w:val="008F59B9"/>
    <w:rsid w:val="008F736D"/>
    <w:rsid w:val="008F7639"/>
    <w:rsid w:val="00900084"/>
    <w:rsid w:val="009008F6"/>
    <w:rsid w:val="009027FD"/>
    <w:rsid w:val="00902D77"/>
    <w:rsid w:val="00902E30"/>
    <w:rsid w:val="009033A1"/>
    <w:rsid w:val="009042E9"/>
    <w:rsid w:val="00904B25"/>
    <w:rsid w:val="00905373"/>
    <w:rsid w:val="00907DB9"/>
    <w:rsid w:val="00911ABE"/>
    <w:rsid w:val="00912A0B"/>
    <w:rsid w:val="00913262"/>
    <w:rsid w:val="00913610"/>
    <w:rsid w:val="0091362B"/>
    <w:rsid w:val="00914E2B"/>
    <w:rsid w:val="00916B68"/>
    <w:rsid w:val="009174B7"/>
    <w:rsid w:val="00923054"/>
    <w:rsid w:val="00924B4F"/>
    <w:rsid w:val="00925590"/>
    <w:rsid w:val="00925BDE"/>
    <w:rsid w:val="00926D2C"/>
    <w:rsid w:val="0093051D"/>
    <w:rsid w:val="009318F0"/>
    <w:rsid w:val="00933165"/>
    <w:rsid w:val="0093384E"/>
    <w:rsid w:val="00933E21"/>
    <w:rsid w:val="009340B0"/>
    <w:rsid w:val="00934ACC"/>
    <w:rsid w:val="00936CB4"/>
    <w:rsid w:val="00937AA2"/>
    <w:rsid w:val="009400BA"/>
    <w:rsid w:val="00940919"/>
    <w:rsid w:val="009417F1"/>
    <w:rsid w:val="009422AA"/>
    <w:rsid w:val="00943207"/>
    <w:rsid w:val="00943C24"/>
    <w:rsid w:val="00944856"/>
    <w:rsid w:val="00944D35"/>
    <w:rsid w:val="00944EE2"/>
    <w:rsid w:val="0094605C"/>
    <w:rsid w:val="009468BB"/>
    <w:rsid w:val="00947BC0"/>
    <w:rsid w:val="009500B0"/>
    <w:rsid w:val="009526B2"/>
    <w:rsid w:val="00952F99"/>
    <w:rsid w:val="00953F29"/>
    <w:rsid w:val="00954310"/>
    <w:rsid w:val="009552F5"/>
    <w:rsid w:val="00960140"/>
    <w:rsid w:val="00960E54"/>
    <w:rsid w:val="00961260"/>
    <w:rsid w:val="00962320"/>
    <w:rsid w:val="00962872"/>
    <w:rsid w:val="00962DED"/>
    <w:rsid w:val="00962F4A"/>
    <w:rsid w:val="0096345A"/>
    <w:rsid w:val="0096453A"/>
    <w:rsid w:val="00965298"/>
    <w:rsid w:val="00965370"/>
    <w:rsid w:val="009656FB"/>
    <w:rsid w:val="00965AAB"/>
    <w:rsid w:val="00966987"/>
    <w:rsid w:val="00966F41"/>
    <w:rsid w:val="00966FB8"/>
    <w:rsid w:val="00971D8D"/>
    <w:rsid w:val="009722BE"/>
    <w:rsid w:val="009744C0"/>
    <w:rsid w:val="00976893"/>
    <w:rsid w:val="0098176E"/>
    <w:rsid w:val="009840B0"/>
    <w:rsid w:val="00984545"/>
    <w:rsid w:val="00985408"/>
    <w:rsid w:val="00985755"/>
    <w:rsid w:val="00985E6C"/>
    <w:rsid w:val="009872AB"/>
    <w:rsid w:val="00987542"/>
    <w:rsid w:val="009910F4"/>
    <w:rsid w:val="00991D6F"/>
    <w:rsid w:val="00992D1A"/>
    <w:rsid w:val="0099386E"/>
    <w:rsid w:val="00994CA7"/>
    <w:rsid w:val="00996E2F"/>
    <w:rsid w:val="00997022"/>
    <w:rsid w:val="009A0F50"/>
    <w:rsid w:val="009A13DB"/>
    <w:rsid w:val="009A22A3"/>
    <w:rsid w:val="009A37CE"/>
    <w:rsid w:val="009A3A6F"/>
    <w:rsid w:val="009A43CE"/>
    <w:rsid w:val="009A5024"/>
    <w:rsid w:val="009A5464"/>
    <w:rsid w:val="009A5CD7"/>
    <w:rsid w:val="009A60AB"/>
    <w:rsid w:val="009B07BE"/>
    <w:rsid w:val="009B0E9F"/>
    <w:rsid w:val="009B3685"/>
    <w:rsid w:val="009B3A77"/>
    <w:rsid w:val="009B43B4"/>
    <w:rsid w:val="009B4FAE"/>
    <w:rsid w:val="009B6768"/>
    <w:rsid w:val="009B67C5"/>
    <w:rsid w:val="009B7B30"/>
    <w:rsid w:val="009C01BD"/>
    <w:rsid w:val="009C0C6B"/>
    <w:rsid w:val="009C154B"/>
    <w:rsid w:val="009C226C"/>
    <w:rsid w:val="009C42A8"/>
    <w:rsid w:val="009C4563"/>
    <w:rsid w:val="009C5DD8"/>
    <w:rsid w:val="009C6B46"/>
    <w:rsid w:val="009C7D8F"/>
    <w:rsid w:val="009D092D"/>
    <w:rsid w:val="009D1A9E"/>
    <w:rsid w:val="009D4935"/>
    <w:rsid w:val="009D5607"/>
    <w:rsid w:val="009D5F39"/>
    <w:rsid w:val="009D71F5"/>
    <w:rsid w:val="009D72B5"/>
    <w:rsid w:val="009D72C8"/>
    <w:rsid w:val="009E4374"/>
    <w:rsid w:val="009E4DCA"/>
    <w:rsid w:val="009E74F1"/>
    <w:rsid w:val="009E7AF1"/>
    <w:rsid w:val="009F22EA"/>
    <w:rsid w:val="009F2935"/>
    <w:rsid w:val="009F2B3E"/>
    <w:rsid w:val="009F353A"/>
    <w:rsid w:val="009F3AF0"/>
    <w:rsid w:val="009F5FC8"/>
    <w:rsid w:val="009F6BE9"/>
    <w:rsid w:val="00A02585"/>
    <w:rsid w:val="00A02C7D"/>
    <w:rsid w:val="00A045C3"/>
    <w:rsid w:val="00A04B32"/>
    <w:rsid w:val="00A05AA5"/>
    <w:rsid w:val="00A10C5E"/>
    <w:rsid w:val="00A11C60"/>
    <w:rsid w:val="00A12770"/>
    <w:rsid w:val="00A13EC0"/>
    <w:rsid w:val="00A14880"/>
    <w:rsid w:val="00A15B59"/>
    <w:rsid w:val="00A24CF1"/>
    <w:rsid w:val="00A254CD"/>
    <w:rsid w:val="00A25C80"/>
    <w:rsid w:val="00A25EC7"/>
    <w:rsid w:val="00A261F1"/>
    <w:rsid w:val="00A26A99"/>
    <w:rsid w:val="00A27D97"/>
    <w:rsid w:val="00A30867"/>
    <w:rsid w:val="00A34D8B"/>
    <w:rsid w:val="00A35387"/>
    <w:rsid w:val="00A3618D"/>
    <w:rsid w:val="00A3657F"/>
    <w:rsid w:val="00A36876"/>
    <w:rsid w:val="00A42AAD"/>
    <w:rsid w:val="00A453ED"/>
    <w:rsid w:val="00A456B7"/>
    <w:rsid w:val="00A45842"/>
    <w:rsid w:val="00A47BEA"/>
    <w:rsid w:val="00A5009E"/>
    <w:rsid w:val="00A5017B"/>
    <w:rsid w:val="00A52AFC"/>
    <w:rsid w:val="00A52FB2"/>
    <w:rsid w:val="00A53721"/>
    <w:rsid w:val="00A55830"/>
    <w:rsid w:val="00A55861"/>
    <w:rsid w:val="00A55D91"/>
    <w:rsid w:val="00A56918"/>
    <w:rsid w:val="00A56E6A"/>
    <w:rsid w:val="00A571FE"/>
    <w:rsid w:val="00A57995"/>
    <w:rsid w:val="00A601B4"/>
    <w:rsid w:val="00A60ADC"/>
    <w:rsid w:val="00A61218"/>
    <w:rsid w:val="00A63974"/>
    <w:rsid w:val="00A64981"/>
    <w:rsid w:val="00A652C1"/>
    <w:rsid w:val="00A65CD5"/>
    <w:rsid w:val="00A66760"/>
    <w:rsid w:val="00A6719B"/>
    <w:rsid w:val="00A673B7"/>
    <w:rsid w:val="00A7160D"/>
    <w:rsid w:val="00A719CA"/>
    <w:rsid w:val="00A72A98"/>
    <w:rsid w:val="00A732BE"/>
    <w:rsid w:val="00A73300"/>
    <w:rsid w:val="00A74323"/>
    <w:rsid w:val="00A75033"/>
    <w:rsid w:val="00A7597B"/>
    <w:rsid w:val="00A771B6"/>
    <w:rsid w:val="00A81C6C"/>
    <w:rsid w:val="00A833B0"/>
    <w:rsid w:val="00A835FB"/>
    <w:rsid w:val="00A83F6D"/>
    <w:rsid w:val="00A849D3"/>
    <w:rsid w:val="00A8595F"/>
    <w:rsid w:val="00A85D20"/>
    <w:rsid w:val="00A8700D"/>
    <w:rsid w:val="00A87BB4"/>
    <w:rsid w:val="00A90C4D"/>
    <w:rsid w:val="00A91993"/>
    <w:rsid w:val="00A919CC"/>
    <w:rsid w:val="00A92544"/>
    <w:rsid w:val="00A97B33"/>
    <w:rsid w:val="00A97FDB"/>
    <w:rsid w:val="00AA020F"/>
    <w:rsid w:val="00AA0C13"/>
    <w:rsid w:val="00AA0D56"/>
    <w:rsid w:val="00AA1C50"/>
    <w:rsid w:val="00AA217F"/>
    <w:rsid w:val="00AA31BA"/>
    <w:rsid w:val="00AA3C35"/>
    <w:rsid w:val="00AA4809"/>
    <w:rsid w:val="00AA5097"/>
    <w:rsid w:val="00AA67E7"/>
    <w:rsid w:val="00AB2C44"/>
    <w:rsid w:val="00AB2ECB"/>
    <w:rsid w:val="00AB4241"/>
    <w:rsid w:val="00AB4B87"/>
    <w:rsid w:val="00AB62E4"/>
    <w:rsid w:val="00AB72C5"/>
    <w:rsid w:val="00AB7A0A"/>
    <w:rsid w:val="00AC0752"/>
    <w:rsid w:val="00AC2349"/>
    <w:rsid w:val="00AC290E"/>
    <w:rsid w:val="00AC33F8"/>
    <w:rsid w:val="00AC39A6"/>
    <w:rsid w:val="00AC3DCA"/>
    <w:rsid w:val="00AC4AF5"/>
    <w:rsid w:val="00AC4B00"/>
    <w:rsid w:val="00AC4C78"/>
    <w:rsid w:val="00AC5AB2"/>
    <w:rsid w:val="00AC70A7"/>
    <w:rsid w:val="00AD050E"/>
    <w:rsid w:val="00AD1AD4"/>
    <w:rsid w:val="00AD2A5B"/>
    <w:rsid w:val="00AD64C6"/>
    <w:rsid w:val="00AD65E6"/>
    <w:rsid w:val="00AD6C27"/>
    <w:rsid w:val="00AE0CE8"/>
    <w:rsid w:val="00AE1268"/>
    <w:rsid w:val="00AE2D6B"/>
    <w:rsid w:val="00AE3B5D"/>
    <w:rsid w:val="00AE55E5"/>
    <w:rsid w:val="00AE64D7"/>
    <w:rsid w:val="00AE6614"/>
    <w:rsid w:val="00AF3E16"/>
    <w:rsid w:val="00AF69E1"/>
    <w:rsid w:val="00AF6D95"/>
    <w:rsid w:val="00B004CD"/>
    <w:rsid w:val="00B0062E"/>
    <w:rsid w:val="00B00973"/>
    <w:rsid w:val="00B0194E"/>
    <w:rsid w:val="00B0612B"/>
    <w:rsid w:val="00B12B55"/>
    <w:rsid w:val="00B137D8"/>
    <w:rsid w:val="00B15295"/>
    <w:rsid w:val="00B15DB1"/>
    <w:rsid w:val="00B16854"/>
    <w:rsid w:val="00B20C43"/>
    <w:rsid w:val="00B22E69"/>
    <w:rsid w:val="00B24772"/>
    <w:rsid w:val="00B24C24"/>
    <w:rsid w:val="00B25AC0"/>
    <w:rsid w:val="00B25BB4"/>
    <w:rsid w:val="00B266EE"/>
    <w:rsid w:val="00B30862"/>
    <w:rsid w:val="00B31152"/>
    <w:rsid w:val="00B31CE7"/>
    <w:rsid w:val="00B3452D"/>
    <w:rsid w:val="00B36935"/>
    <w:rsid w:val="00B400EE"/>
    <w:rsid w:val="00B41461"/>
    <w:rsid w:val="00B41F9B"/>
    <w:rsid w:val="00B42744"/>
    <w:rsid w:val="00B42CF2"/>
    <w:rsid w:val="00B439ED"/>
    <w:rsid w:val="00B44706"/>
    <w:rsid w:val="00B45218"/>
    <w:rsid w:val="00B45698"/>
    <w:rsid w:val="00B46199"/>
    <w:rsid w:val="00B464FF"/>
    <w:rsid w:val="00B478A3"/>
    <w:rsid w:val="00B47C01"/>
    <w:rsid w:val="00B52CF5"/>
    <w:rsid w:val="00B54A55"/>
    <w:rsid w:val="00B60E0D"/>
    <w:rsid w:val="00B62E46"/>
    <w:rsid w:val="00B64088"/>
    <w:rsid w:val="00B641E4"/>
    <w:rsid w:val="00B6546B"/>
    <w:rsid w:val="00B661AA"/>
    <w:rsid w:val="00B66D68"/>
    <w:rsid w:val="00B70658"/>
    <w:rsid w:val="00B70A3A"/>
    <w:rsid w:val="00B70CFE"/>
    <w:rsid w:val="00B7300B"/>
    <w:rsid w:val="00B74068"/>
    <w:rsid w:val="00B74BDD"/>
    <w:rsid w:val="00B74CC9"/>
    <w:rsid w:val="00B74F83"/>
    <w:rsid w:val="00B77B33"/>
    <w:rsid w:val="00B84931"/>
    <w:rsid w:val="00B858DB"/>
    <w:rsid w:val="00B85AA1"/>
    <w:rsid w:val="00B85E98"/>
    <w:rsid w:val="00B86158"/>
    <w:rsid w:val="00B91624"/>
    <w:rsid w:val="00B92115"/>
    <w:rsid w:val="00B930FD"/>
    <w:rsid w:val="00B9509E"/>
    <w:rsid w:val="00B95A0D"/>
    <w:rsid w:val="00B95DD8"/>
    <w:rsid w:val="00B977DF"/>
    <w:rsid w:val="00BA3562"/>
    <w:rsid w:val="00BA3E44"/>
    <w:rsid w:val="00BA3F23"/>
    <w:rsid w:val="00BA56FD"/>
    <w:rsid w:val="00BA7F77"/>
    <w:rsid w:val="00BB0A87"/>
    <w:rsid w:val="00BB0FE4"/>
    <w:rsid w:val="00BB1065"/>
    <w:rsid w:val="00BB192D"/>
    <w:rsid w:val="00BB311D"/>
    <w:rsid w:val="00BB3763"/>
    <w:rsid w:val="00BB3C53"/>
    <w:rsid w:val="00BB7231"/>
    <w:rsid w:val="00BB7E41"/>
    <w:rsid w:val="00BC06F1"/>
    <w:rsid w:val="00BC149E"/>
    <w:rsid w:val="00BC3493"/>
    <w:rsid w:val="00BC3A7A"/>
    <w:rsid w:val="00BC5289"/>
    <w:rsid w:val="00BC6F9B"/>
    <w:rsid w:val="00BC77D1"/>
    <w:rsid w:val="00BC7A73"/>
    <w:rsid w:val="00BC7B5D"/>
    <w:rsid w:val="00BD00A3"/>
    <w:rsid w:val="00BD0D4D"/>
    <w:rsid w:val="00BD3F4A"/>
    <w:rsid w:val="00BD3FB8"/>
    <w:rsid w:val="00BD4F03"/>
    <w:rsid w:val="00BD54EE"/>
    <w:rsid w:val="00BE1E55"/>
    <w:rsid w:val="00BE2AC5"/>
    <w:rsid w:val="00BE2B9C"/>
    <w:rsid w:val="00BE2FFD"/>
    <w:rsid w:val="00BE4202"/>
    <w:rsid w:val="00BE5998"/>
    <w:rsid w:val="00BE7232"/>
    <w:rsid w:val="00BE7C9C"/>
    <w:rsid w:val="00BF0E8D"/>
    <w:rsid w:val="00BF138D"/>
    <w:rsid w:val="00BF41BD"/>
    <w:rsid w:val="00BF4A7A"/>
    <w:rsid w:val="00BF4EAD"/>
    <w:rsid w:val="00BF7242"/>
    <w:rsid w:val="00C01DA2"/>
    <w:rsid w:val="00C026C2"/>
    <w:rsid w:val="00C05A08"/>
    <w:rsid w:val="00C12561"/>
    <w:rsid w:val="00C12734"/>
    <w:rsid w:val="00C13664"/>
    <w:rsid w:val="00C14482"/>
    <w:rsid w:val="00C14B93"/>
    <w:rsid w:val="00C15124"/>
    <w:rsid w:val="00C20687"/>
    <w:rsid w:val="00C2284A"/>
    <w:rsid w:val="00C23B80"/>
    <w:rsid w:val="00C23D14"/>
    <w:rsid w:val="00C247C7"/>
    <w:rsid w:val="00C25BAB"/>
    <w:rsid w:val="00C266DA"/>
    <w:rsid w:val="00C27240"/>
    <w:rsid w:val="00C277EE"/>
    <w:rsid w:val="00C31E0F"/>
    <w:rsid w:val="00C340E1"/>
    <w:rsid w:val="00C36624"/>
    <w:rsid w:val="00C3666C"/>
    <w:rsid w:val="00C36C4B"/>
    <w:rsid w:val="00C37EF9"/>
    <w:rsid w:val="00C37F0D"/>
    <w:rsid w:val="00C40C15"/>
    <w:rsid w:val="00C41208"/>
    <w:rsid w:val="00C42386"/>
    <w:rsid w:val="00C43124"/>
    <w:rsid w:val="00C4519E"/>
    <w:rsid w:val="00C46E6C"/>
    <w:rsid w:val="00C47260"/>
    <w:rsid w:val="00C506F2"/>
    <w:rsid w:val="00C50737"/>
    <w:rsid w:val="00C519D1"/>
    <w:rsid w:val="00C53B09"/>
    <w:rsid w:val="00C54D54"/>
    <w:rsid w:val="00C5530F"/>
    <w:rsid w:val="00C5553E"/>
    <w:rsid w:val="00C563A6"/>
    <w:rsid w:val="00C56CDF"/>
    <w:rsid w:val="00C57CD8"/>
    <w:rsid w:val="00C60280"/>
    <w:rsid w:val="00C60654"/>
    <w:rsid w:val="00C63A84"/>
    <w:rsid w:val="00C63D55"/>
    <w:rsid w:val="00C63F08"/>
    <w:rsid w:val="00C64E4E"/>
    <w:rsid w:val="00C658CC"/>
    <w:rsid w:val="00C71117"/>
    <w:rsid w:val="00C73633"/>
    <w:rsid w:val="00C748BE"/>
    <w:rsid w:val="00C75F5F"/>
    <w:rsid w:val="00C76010"/>
    <w:rsid w:val="00C76899"/>
    <w:rsid w:val="00C80331"/>
    <w:rsid w:val="00C80945"/>
    <w:rsid w:val="00C809DC"/>
    <w:rsid w:val="00C81884"/>
    <w:rsid w:val="00C82CD0"/>
    <w:rsid w:val="00C82F47"/>
    <w:rsid w:val="00C84963"/>
    <w:rsid w:val="00C84E9D"/>
    <w:rsid w:val="00C86059"/>
    <w:rsid w:val="00C86947"/>
    <w:rsid w:val="00C87E4F"/>
    <w:rsid w:val="00C90C55"/>
    <w:rsid w:val="00C9372D"/>
    <w:rsid w:val="00C956EA"/>
    <w:rsid w:val="00C96898"/>
    <w:rsid w:val="00CA028E"/>
    <w:rsid w:val="00CA0B3E"/>
    <w:rsid w:val="00CA0D29"/>
    <w:rsid w:val="00CA1F56"/>
    <w:rsid w:val="00CA2D8F"/>
    <w:rsid w:val="00CA30B8"/>
    <w:rsid w:val="00CA33A8"/>
    <w:rsid w:val="00CA46E8"/>
    <w:rsid w:val="00CA4E87"/>
    <w:rsid w:val="00CA5AD1"/>
    <w:rsid w:val="00CA5D1E"/>
    <w:rsid w:val="00CA69CF"/>
    <w:rsid w:val="00CA78AB"/>
    <w:rsid w:val="00CA7CA8"/>
    <w:rsid w:val="00CB2D3C"/>
    <w:rsid w:val="00CB3FB2"/>
    <w:rsid w:val="00CB60DB"/>
    <w:rsid w:val="00CB6D01"/>
    <w:rsid w:val="00CB7168"/>
    <w:rsid w:val="00CB7253"/>
    <w:rsid w:val="00CC0CBA"/>
    <w:rsid w:val="00CC0E90"/>
    <w:rsid w:val="00CC18A1"/>
    <w:rsid w:val="00CC26DD"/>
    <w:rsid w:val="00CC346D"/>
    <w:rsid w:val="00CC367A"/>
    <w:rsid w:val="00CC65CB"/>
    <w:rsid w:val="00CC7A56"/>
    <w:rsid w:val="00CD0750"/>
    <w:rsid w:val="00CD0B0B"/>
    <w:rsid w:val="00CD19D4"/>
    <w:rsid w:val="00CD44AA"/>
    <w:rsid w:val="00CD51A1"/>
    <w:rsid w:val="00CD55DD"/>
    <w:rsid w:val="00CD6647"/>
    <w:rsid w:val="00CD76EB"/>
    <w:rsid w:val="00CD7E7E"/>
    <w:rsid w:val="00CE0397"/>
    <w:rsid w:val="00CE2C85"/>
    <w:rsid w:val="00CE33D9"/>
    <w:rsid w:val="00CE3846"/>
    <w:rsid w:val="00CE3D0A"/>
    <w:rsid w:val="00CE3FD6"/>
    <w:rsid w:val="00CE492E"/>
    <w:rsid w:val="00CE68D5"/>
    <w:rsid w:val="00CE69F8"/>
    <w:rsid w:val="00CE702E"/>
    <w:rsid w:val="00CE74C5"/>
    <w:rsid w:val="00CF00B7"/>
    <w:rsid w:val="00CF0F27"/>
    <w:rsid w:val="00CF43D0"/>
    <w:rsid w:val="00CF4F73"/>
    <w:rsid w:val="00CF61CB"/>
    <w:rsid w:val="00CF6323"/>
    <w:rsid w:val="00CF7AE3"/>
    <w:rsid w:val="00D02335"/>
    <w:rsid w:val="00D02655"/>
    <w:rsid w:val="00D02919"/>
    <w:rsid w:val="00D03DB7"/>
    <w:rsid w:val="00D051BC"/>
    <w:rsid w:val="00D0717E"/>
    <w:rsid w:val="00D07390"/>
    <w:rsid w:val="00D109D0"/>
    <w:rsid w:val="00D10A26"/>
    <w:rsid w:val="00D11DD8"/>
    <w:rsid w:val="00D133D2"/>
    <w:rsid w:val="00D140B2"/>
    <w:rsid w:val="00D14B2A"/>
    <w:rsid w:val="00D15C46"/>
    <w:rsid w:val="00D16249"/>
    <w:rsid w:val="00D20E94"/>
    <w:rsid w:val="00D210C3"/>
    <w:rsid w:val="00D21117"/>
    <w:rsid w:val="00D22B9D"/>
    <w:rsid w:val="00D22BFF"/>
    <w:rsid w:val="00D24393"/>
    <w:rsid w:val="00D26119"/>
    <w:rsid w:val="00D30385"/>
    <w:rsid w:val="00D30704"/>
    <w:rsid w:val="00D31057"/>
    <w:rsid w:val="00D31F51"/>
    <w:rsid w:val="00D32A3C"/>
    <w:rsid w:val="00D32B41"/>
    <w:rsid w:val="00D34372"/>
    <w:rsid w:val="00D35D95"/>
    <w:rsid w:val="00D37744"/>
    <w:rsid w:val="00D418FB"/>
    <w:rsid w:val="00D424D8"/>
    <w:rsid w:val="00D427A0"/>
    <w:rsid w:val="00D441FB"/>
    <w:rsid w:val="00D44260"/>
    <w:rsid w:val="00D44E16"/>
    <w:rsid w:val="00D509A8"/>
    <w:rsid w:val="00D50B51"/>
    <w:rsid w:val="00D50F3A"/>
    <w:rsid w:val="00D5232A"/>
    <w:rsid w:val="00D52BDB"/>
    <w:rsid w:val="00D530D6"/>
    <w:rsid w:val="00D54EC1"/>
    <w:rsid w:val="00D55A9A"/>
    <w:rsid w:val="00D60A1D"/>
    <w:rsid w:val="00D61C6D"/>
    <w:rsid w:val="00D62085"/>
    <w:rsid w:val="00D62338"/>
    <w:rsid w:val="00D6549B"/>
    <w:rsid w:val="00D656B3"/>
    <w:rsid w:val="00D67C6D"/>
    <w:rsid w:val="00D7160E"/>
    <w:rsid w:val="00D71A30"/>
    <w:rsid w:val="00D722CC"/>
    <w:rsid w:val="00D72E41"/>
    <w:rsid w:val="00D73229"/>
    <w:rsid w:val="00D737F7"/>
    <w:rsid w:val="00D75FF5"/>
    <w:rsid w:val="00D775C9"/>
    <w:rsid w:val="00D80918"/>
    <w:rsid w:val="00D81EF9"/>
    <w:rsid w:val="00D8547A"/>
    <w:rsid w:val="00D85824"/>
    <w:rsid w:val="00D9015F"/>
    <w:rsid w:val="00D90E5A"/>
    <w:rsid w:val="00D93D15"/>
    <w:rsid w:val="00D940C7"/>
    <w:rsid w:val="00D94D58"/>
    <w:rsid w:val="00D94F77"/>
    <w:rsid w:val="00D95601"/>
    <w:rsid w:val="00D9574A"/>
    <w:rsid w:val="00D95BF5"/>
    <w:rsid w:val="00D95F8A"/>
    <w:rsid w:val="00D96BE9"/>
    <w:rsid w:val="00D96DA1"/>
    <w:rsid w:val="00D97D59"/>
    <w:rsid w:val="00DA1088"/>
    <w:rsid w:val="00DA199D"/>
    <w:rsid w:val="00DA2182"/>
    <w:rsid w:val="00DA22DE"/>
    <w:rsid w:val="00DA3487"/>
    <w:rsid w:val="00DA5451"/>
    <w:rsid w:val="00DA5F67"/>
    <w:rsid w:val="00DA60D2"/>
    <w:rsid w:val="00DB015D"/>
    <w:rsid w:val="00DB06EF"/>
    <w:rsid w:val="00DB095C"/>
    <w:rsid w:val="00DB0DC7"/>
    <w:rsid w:val="00DB204B"/>
    <w:rsid w:val="00DB28F7"/>
    <w:rsid w:val="00DB3541"/>
    <w:rsid w:val="00DB372E"/>
    <w:rsid w:val="00DB385B"/>
    <w:rsid w:val="00DB3AA7"/>
    <w:rsid w:val="00DB4C94"/>
    <w:rsid w:val="00DB503E"/>
    <w:rsid w:val="00DB541B"/>
    <w:rsid w:val="00DB5EA4"/>
    <w:rsid w:val="00DB6282"/>
    <w:rsid w:val="00DB6F4D"/>
    <w:rsid w:val="00DB784C"/>
    <w:rsid w:val="00DC00A9"/>
    <w:rsid w:val="00DC0208"/>
    <w:rsid w:val="00DC0B39"/>
    <w:rsid w:val="00DC112C"/>
    <w:rsid w:val="00DC1A44"/>
    <w:rsid w:val="00DC206E"/>
    <w:rsid w:val="00DC26D4"/>
    <w:rsid w:val="00DC40BB"/>
    <w:rsid w:val="00DC44EC"/>
    <w:rsid w:val="00DC465F"/>
    <w:rsid w:val="00DC47A9"/>
    <w:rsid w:val="00DC5870"/>
    <w:rsid w:val="00DC6117"/>
    <w:rsid w:val="00DC6BFC"/>
    <w:rsid w:val="00DD0FD2"/>
    <w:rsid w:val="00DD1C53"/>
    <w:rsid w:val="00DD1DFA"/>
    <w:rsid w:val="00DD587D"/>
    <w:rsid w:val="00DD5D18"/>
    <w:rsid w:val="00DD7A00"/>
    <w:rsid w:val="00DE040B"/>
    <w:rsid w:val="00DE0581"/>
    <w:rsid w:val="00DE084B"/>
    <w:rsid w:val="00DE3861"/>
    <w:rsid w:val="00DE5483"/>
    <w:rsid w:val="00DE5516"/>
    <w:rsid w:val="00DE5C65"/>
    <w:rsid w:val="00DE667F"/>
    <w:rsid w:val="00DE72E3"/>
    <w:rsid w:val="00DE7D50"/>
    <w:rsid w:val="00DF000A"/>
    <w:rsid w:val="00DF2527"/>
    <w:rsid w:val="00DF2DFE"/>
    <w:rsid w:val="00DF3C7B"/>
    <w:rsid w:val="00DF4A7D"/>
    <w:rsid w:val="00E00DFC"/>
    <w:rsid w:val="00E01DD9"/>
    <w:rsid w:val="00E03830"/>
    <w:rsid w:val="00E0665F"/>
    <w:rsid w:val="00E10A78"/>
    <w:rsid w:val="00E11AC0"/>
    <w:rsid w:val="00E11CB7"/>
    <w:rsid w:val="00E12F1D"/>
    <w:rsid w:val="00E135B7"/>
    <w:rsid w:val="00E14C3B"/>
    <w:rsid w:val="00E16365"/>
    <w:rsid w:val="00E16615"/>
    <w:rsid w:val="00E1685F"/>
    <w:rsid w:val="00E16DC6"/>
    <w:rsid w:val="00E17512"/>
    <w:rsid w:val="00E17BC8"/>
    <w:rsid w:val="00E224D5"/>
    <w:rsid w:val="00E2358B"/>
    <w:rsid w:val="00E237CC"/>
    <w:rsid w:val="00E24E35"/>
    <w:rsid w:val="00E25BF4"/>
    <w:rsid w:val="00E25ED0"/>
    <w:rsid w:val="00E26A43"/>
    <w:rsid w:val="00E27335"/>
    <w:rsid w:val="00E31288"/>
    <w:rsid w:val="00E3140C"/>
    <w:rsid w:val="00E3144F"/>
    <w:rsid w:val="00E32622"/>
    <w:rsid w:val="00E331CB"/>
    <w:rsid w:val="00E340AF"/>
    <w:rsid w:val="00E349C1"/>
    <w:rsid w:val="00E34AB2"/>
    <w:rsid w:val="00E34DC8"/>
    <w:rsid w:val="00E3557F"/>
    <w:rsid w:val="00E35BE1"/>
    <w:rsid w:val="00E36793"/>
    <w:rsid w:val="00E42448"/>
    <w:rsid w:val="00E444B3"/>
    <w:rsid w:val="00E458A4"/>
    <w:rsid w:val="00E45CF6"/>
    <w:rsid w:val="00E53B99"/>
    <w:rsid w:val="00E54F05"/>
    <w:rsid w:val="00E5557E"/>
    <w:rsid w:val="00E55EBA"/>
    <w:rsid w:val="00E57F72"/>
    <w:rsid w:val="00E60967"/>
    <w:rsid w:val="00E617E5"/>
    <w:rsid w:val="00E62A69"/>
    <w:rsid w:val="00E63C9F"/>
    <w:rsid w:val="00E641A1"/>
    <w:rsid w:val="00E64769"/>
    <w:rsid w:val="00E64F1A"/>
    <w:rsid w:val="00E64F6F"/>
    <w:rsid w:val="00E663DA"/>
    <w:rsid w:val="00E71625"/>
    <w:rsid w:val="00E71C6C"/>
    <w:rsid w:val="00E73605"/>
    <w:rsid w:val="00E753D8"/>
    <w:rsid w:val="00E7578C"/>
    <w:rsid w:val="00E761A1"/>
    <w:rsid w:val="00E818D0"/>
    <w:rsid w:val="00E825B3"/>
    <w:rsid w:val="00E82C32"/>
    <w:rsid w:val="00E85C20"/>
    <w:rsid w:val="00E872A2"/>
    <w:rsid w:val="00E87B1E"/>
    <w:rsid w:val="00E9106F"/>
    <w:rsid w:val="00E91447"/>
    <w:rsid w:val="00E92042"/>
    <w:rsid w:val="00E969A7"/>
    <w:rsid w:val="00E97815"/>
    <w:rsid w:val="00EA0BCA"/>
    <w:rsid w:val="00EA5E24"/>
    <w:rsid w:val="00EA6668"/>
    <w:rsid w:val="00EA7ECC"/>
    <w:rsid w:val="00EB051A"/>
    <w:rsid w:val="00EB1CC6"/>
    <w:rsid w:val="00EB2779"/>
    <w:rsid w:val="00EB2C41"/>
    <w:rsid w:val="00EB3A45"/>
    <w:rsid w:val="00EB5161"/>
    <w:rsid w:val="00EB644F"/>
    <w:rsid w:val="00EB6C52"/>
    <w:rsid w:val="00EB6FEC"/>
    <w:rsid w:val="00EB71A7"/>
    <w:rsid w:val="00EB733D"/>
    <w:rsid w:val="00EC284E"/>
    <w:rsid w:val="00EC368B"/>
    <w:rsid w:val="00EC430E"/>
    <w:rsid w:val="00EC65FD"/>
    <w:rsid w:val="00ED0F07"/>
    <w:rsid w:val="00ED101C"/>
    <w:rsid w:val="00ED13D2"/>
    <w:rsid w:val="00ED2A90"/>
    <w:rsid w:val="00ED6FC0"/>
    <w:rsid w:val="00ED7294"/>
    <w:rsid w:val="00EE05F0"/>
    <w:rsid w:val="00EE1223"/>
    <w:rsid w:val="00EE1CA1"/>
    <w:rsid w:val="00EE556B"/>
    <w:rsid w:val="00EE64DB"/>
    <w:rsid w:val="00EF0B95"/>
    <w:rsid w:val="00EF13DF"/>
    <w:rsid w:val="00EF30A4"/>
    <w:rsid w:val="00F010A3"/>
    <w:rsid w:val="00F01610"/>
    <w:rsid w:val="00F018B2"/>
    <w:rsid w:val="00F04277"/>
    <w:rsid w:val="00F0564B"/>
    <w:rsid w:val="00F07885"/>
    <w:rsid w:val="00F12849"/>
    <w:rsid w:val="00F13DD7"/>
    <w:rsid w:val="00F15528"/>
    <w:rsid w:val="00F15B5B"/>
    <w:rsid w:val="00F17A4C"/>
    <w:rsid w:val="00F20268"/>
    <w:rsid w:val="00F226C9"/>
    <w:rsid w:val="00F23591"/>
    <w:rsid w:val="00F25698"/>
    <w:rsid w:val="00F2606F"/>
    <w:rsid w:val="00F26B33"/>
    <w:rsid w:val="00F26E1C"/>
    <w:rsid w:val="00F30394"/>
    <w:rsid w:val="00F306D8"/>
    <w:rsid w:val="00F30773"/>
    <w:rsid w:val="00F30F87"/>
    <w:rsid w:val="00F32446"/>
    <w:rsid w:val="00F32A58"/>
    <w:rsid w:val="00F34823"/>
    <w:rsid w:val="00F366E8"/>
    <w:rsid w:val="00F370AF"/>
    <w:rsid w:val="00F371B2"/>
    <w:rsid w:val="00F4139F"/>
    <w:rsid w:val="00F43024"/>
    <w:rsid w:val="00F43C7C"/>
    <w:rsid w:val="00F4425E"/>
    <w:rsid w:val="00F448E4"/>
    <w:rsid w:val="00F44D4C"/>
    <w:rsid w:val="00F45B3A"/>
    <w:rsid w:val="00F46072"/>
    <w:rsid w:val="00F46087"/>
    <w:rsid w:val="00F51202"/>
    <w:rsid w:val="00F52FF1"/>
    <w:rsid w:val="00F55DE9"/>
    <w:rsid w:val="00F604E7"/>
    <w:rsid w:val="00F615BC"/>
    <w:rsid w:val="00F61DAE"/>
    <w:rsid w:val="00F61F34"/>
    <w:rsid w:val="00F627E5"/>
    <w:rsid w:val="00F639B6"/>
    <w:rsid w:val="00F64B08"/>
    <w:rsid w:val="00F66ABF"/>
    <w:rsid w:val="00F674EA"/>
    <w:rsid w:val="00F67547"/>
    <w:rsid w:val="00F74431"/>
    <w:rsid w:val="00F7448B"/>
    <w:rsid w:val="00F748EC"/>
    <w:rsid w:val="00F74BC9"/>
    <w:rsid w:val="00F74F08"/>
    <w:rsid w:val="00F750AA"/>
    <w:rsid w:val="00F75A2C"/>
    <w:rsid w:val="00F75B5F"/>
    <w:rsid w:val="00F76456"/>
    <w:rsid w:val="00F768FA"/>
    <w:rsid w:val="00F76EFD"/>
    <w:rsid w:val="00F842B2"/>
    <w:rsid w:val="00F84CD0"/>
    <w:rsid w:val="00F85045"/>
    <w:rsid w:val="00F866ED"/>
    <w:rsid w:val="00F87C37"/>
    <w:rsid w:val="00F87EBA"/>
    <w:rsid w:val="00F91ECF"/>
    <w:rsid w:val="00F91EDA"/>
    <w:rsid w:val="00F9482B"/>
    <w:rsid w:val="00F94D13"/>
    <w:rsid w:val="00F95378"/>
    <w:rsid w:val="00F97163"/>
    <w:rsid w:val="00F97808"/>
    <w:rsid w:val="00F97C34"/>
    <w:rsid w:val="00FA0291"/>
    <w:rsid w:val="00FA02D4"/>
    <w:rsid w:val="00FA32EC"/>
    <w:rsid w:val="00FA4DED"/>
    <w:rsid w:val="00FA5110"/>
    <w:rsid w:val="00FA530A"/>
    <w:rsid w:val="00FA5743"/>
    <w:rsid w:val="00FA61AE"/>
    <w:rsid w:val="00FA689C"/>
    <w:rsid w:val="00FA76CF"/>
    <w:rsid w:val="00FA7AE0"/>
    <w:rsid w:val="00FA7F26"/>
    <w:rsid w:val="00FB0024"/>
    <w:rsid w:val="00FB1572"/>
    <w:rsid w:val="00FB1A43"/>
    <w:rsid w:val="00FB24E1"/>
    <w:rsid w:val="00FB45D7"/>
    <w:rsid w:val="00FB45E8"/>
    <w:rsid w:val="00FB5A07"/>
    <w:rsid w:val="00FB5D3E"/>
    <w:rsid w:val="00FB65A9"/>
    <w:rsid w:val="00FB692F"/>
    <w:rsid w:val="00FC03B9"/>
    <w:rsid w:val="00FC11EB"/>
    <w:rsid w:val="00FC27CD"/>
    <w:rsid w:val="00FC30EE"/>
    <w:rsid w:val="00FC36B1"/>
    <w:rsid w:val="00FC4D65"/>
    <w:rsid w:val="00FC700E"/>
    <w:rsid w:val="00FC70C7"/>
    <w:rsid w:val="00FD0B10"/>
    <w:rsid w:val="00FD27D2"/>
    <w:rsid w:val="00FD2FD9"/>
    <w:rsid w:val="00FD7444"/>
    <w:rsid w:val="00FE0CFC"/>
    <w:rsid w:val="00FE1A02"/>
    <w:rsid w:val="00FE2334"/>
    <w:rsid w:val="00FE39EB"/>
    <w:rsid w:val="00FE3E76"/>
    <w:rsid w:val="00FE4DE2"/>
    <w:rsid w:val="00FE69B5"/>
    <w:rsid w:val="00FE78A4"/>
    <w:rsid w:val="00FF1830"/>
    <w:rsid w:val="00FF18D3"/>
    <w:rsid w:val="00FF2D6B"/>
    <w:rsid w:val="00FF2FE6"/>
    <w:rsid w:val="00FF65C5"/>
    <w:rsid w:val="00FF785D"/>
    <w:rsid w:val="1711FB64"/>
    <w:rsid w:val="1D119503"/>
    <w:rsid w:val="35E01581"/>
    <w:rsid w:val="390ABFE2"/>
    <w:rsid w:val="54CAB3DC"/>
    <w:rsid w:val="60781963"/>
    <w:rsid w:val="6B87553B"/>
    <w:rsid w:val="70E2E36E"/>
    <w:rsid w:val="752D1B9F"/>
    <w:rsid w:val="7F3D39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95C937"/>
  <w15:docId w15:val="{4A0AE59C-B8A8-4ED1-8CCE-336001083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817AA4"/>
    <w:pPr>
      <w:keepNext/>
      <w:keepLines/>
      <w:spacing w:before="240"/>
      <w:jc w:val="both"/>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3"/>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character" w:styleId="CommentReference">
    <w:name w:val="annotation reference"/>
    <w:basedOn w:val="DefaultParagraphFont"/>
    <w:uiPriority w:val="99"/>
    <w:semiHidden/>
    <w:unhideWhenUsed/>
    <w:rsid w:val="00A87BB4"/>
    <w:rPr>
      <w:sz w:val="16"/>
      <w:szCs w:val="16"/>
    </w:rPr>
  </w:style>
  <w:style w:type="paragraph" w:styleId="CommentText">
    <w:name w:val="annotation text"/>
    <w:basedOn w:val="Normal"/>
    <w:link w:val="CommentTextChar"/>
    <w:uiPriority w:val="99"/>
    <w:unhideWhenUsed/>
    <w:rsid w:val="00A87BB4"/>
    <w:rPr>
      <w:sz w:val="20"/>
      <w:szCs w:val="20"/>
    </w:rPr>
  </w:style>
  <w:style w:type="character" w:customStyle="1" w:styleId="CommentTextChar">
    <w:name w:val="Comment Text Char"/>
    <w:basedOn w:val="DefaultParagraphFont"/>
    <w:link w:val="CommentText"/>
    <w:uiPriority w:val="99"/>
    <w:rsid w:val="00A87B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87BB4"/>
    <w:rPr>
      <w:b/>
      <w:bCs/>
    </w:rPr>
  </w:style>
  <w:style w:type="character" w:customStyle="1" w:styleId="CommentSubjectChar">
    <w:name w:val="Comment Subject Char"/>
    <w:basedOn w:val="CommentTextChar"/>
    <w:link w:val="CommentSubject"/>
    <w:uiPriority w:val="99"/>
    <w:semiHidden/>
    <w:rsid w:val="00A87BB4"/>
    <w:rPr>
      <w:rFonts w:ascii="Times New Roman" w:hAnsi="Times New Roman"/>
      <w:b/>
      <w:bCs/>
      <w:sz w:val="20"/>
      <w:szCs w:val="20"/>
    </w:rPr>
  </w:style>
  <w:style w:type="paragraph" w:customStyle="1" w:styleId="tv213">
    <w:name w:val="tv213"/>
    <w:basedOn w:val="Normal"/>
    <w:rsid w:val="002F3B80"/>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2F3B80"/>
    <w:rPr>
      <w:color w:val="0000FF"/>
      <w:u w:val="single"/>
    </w:rPr>
  </w:style>
  <w:style w:type="paragraph" w:styleId="Revision">
    <w:name w:val="Revision"/>
    <w:hidden/>
    <w:uiPriority w:val="99"/>
    <w:semiHidden/>
    <w:rsid w:val="00A5009E"/>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FC11EB"/>
    <w:rPr>
      <w:color w:val="605E5C"/>
      <w:shd w:val="clear" w:color="auto" w:fill="E1DFDD"/>
    </w:rPr>
  </w:style>
  <w:style w:type="character" w:styleId="FollowedHyperlink">
    <w:name w:val="FollowedHyperlink"/>
    <w:basedOn w:val="DefaultParagraphFont"/>
    <w:uiPriority w:val="99"/>
    <w:semiHidden/>
    <w:unhideWhenUsed/>
    <w:rsid w:val="00825776"/>
    <w:rPr>
      <w:color w:val="800080" w:themeColor="followedHyperlink"/>
      <w:u w:val="single"/>
    </w:rPr>
  </w:style>
  <w:style w:type="character" w:customStyle="1" w:styleId="cf01">
    <w:name w:val="cf01"/>
    <w:basedOn w:val="DefaultParagraphFont"/>
    <w:rsid w:val="00740A29"/>
    <w:rPr>
      <w:rFonts w:ascii="Segoe UI" w:hAnsi="Segoe UI" w:cs="Segoe UI" w:hint="default"/>
      <w:sz w:val="18"/>
      <w:szCs w:val="18"/>
    </w:rPr>
  </w:style>
  <w:style w:type="character" w:customStyle="1" w:styleId="cf11">
    <w:name w:val="cf11"/>
    <w:basedOn w:val="DefaultParagraphFont"/>
    <w:rsid w:val="00497891"/>
    <w:rPr>
      <w:rFonts w:ascii="Segoe UI" w:hAnsi="Segoe UI" w:cs="Segoe UI" w:hint="default"/>
      <w:sz w:val="18"/>
      <w:szCs w:val="18"/>
    </w:rPr>
  </w:style>
  <w:style w:type="character" w:customStyle="1" w:styleId="cf21">
    <w:name w:val="cf21"/>
    <w:basedOn w:val="DefaultParagraphFont"/>
    <w:rsid w:val="00497891"/>
    <w:rPr>
      <w:rFonts w:ascii="Segoe UI" w:hAnsi="Segoe UI" w:cs="Segoe UI" w:hint="default"/>
      <w:sz w:val="18"/>
      <w:szCs w:val="18"/>
    </w:rPr>
  </w:style>
  <w:style w:type="paragraph" w:styleId="FootnoteText">
    <w:name w:val="footnote text"/>
    <w:basedOn w:val="Normal"/>
    <w:link w:val="FootnoteTextChar"/>
    <w:uiPriority w:val="99"/>
    <w:semiHidden/>
    <w:unhideWhenUsed/>
    <w:rsid w:val="00162799"/>
    <w:rPr>
      <w:sz w:val="20"/>
      <w:szCs w:val="20"/>
    </w:rPr>
  </w:style>
  <w:style w:type="character" w:customStyle="1" w:styleId="FootnoteTextChar">
    <w:name w:val="Footnote Text Char"/>
    <w:basedOn w:val="DefaultParagraphFont"/>
    <w:link w:val="FootnoteText"/>
    <w:uiPriority w:val="99"/>
    <w:semiHidden/>
    <w:rsid w:val="00162799"/>
    <w:rPr>
      <w:rFonts w:ascii="Times New Roman" w:hAnsi="Times New Roman"/>
      <w:sz w:val="20"/>
      <w:szCs w:val="20"/>
    </w:rPr>
  </w:style>
  <w:style w:type="character" w:styleId="FootnoteReference">
    <w:name w:val="footnote reference"/>
    <w:basedOn w:val="DefaultParagraphFont"/>
    <w:uiPriority w:val="99"/>
    <w:semiHidden/>
    <w:unhideWhenUsed/>
    <w:rsid w:val="00162799"/>
    <w:rPr>
      <w:vertAlign w:val="superscript"/>
    </w:rPr>
  </w:style>
  <w:style w:type="character" w:styleId="Strong">
    <w:name w:val="Strong"/>
    <w:basedOn w:val="DefaultParagraphFont"/>
    <w:uiPriority w:val="22"/>
    <w:qFormat/>
    <w:rsid w:val="00CE2C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82166">
      <w:bodyDiv w:val="1"/>
      <w:marLeft w:val="0"/>
      <w:marRight w:val="0"/>
      <w:marTop w:val="0"/>
      <w:marBottom w:val="0"/>
      <w:divBdr>
        <w:top w:val="none" w:sz="0" w:space="0" w:color="auto"/>
        <w:left w:val="none" w:sz="0" w:space="0" w:color="auto"/>
        <w:bottom w:val="none" w:sz="0" w:space="0" w:color="auto"/>
        <w:right w:val="none" w:sz="0" w:space="0" w:color="auto"/>
      </w:divBdr>
      <w:divsChild>
        <w:div w:id="645203825">
          <w:marLeft w:val="0"/>
          <w:marRight w:val="0"/>
          <w:marTop w:val="0"/>
          <w:marBottom w:val="0"/>
          <w:divBdr>
            <w:top w:val="none" w:sz="0" w:space="0" w:color="auto"/>
            <w:left w:val="none" w:sz="0" w:space="0" w:color="auto"/>
            <w:bottom w:val="none" w:sz="0" w:space="0" w:color="auto"/>
            <w:right w:val="none" w:sz="0" w:space="0" w:color="auto"/>
          </w:divBdr>
        </w:div>
        <w:div w:id="686296949">
          <w:marLeft w:val="0"/>
          <w:marRight w:val="0"/>
          <w:marTop w:val="0"/>
          <w:marBottom w:val="0"/>
          <w:divBdr>
            <w:top w:val="none" w:sz="0" w:space="0" w:color="auto"/>
            <w:left w:val="none" w:sz="0" w:space="0" w:color="auto"/>
            <w:bottom w:val="none" w:sz="0" w:space="0" w:color="auto"/>
            <w:right w:val="none" w:sz="0" w:space="0" w:color="auto"/>
          </w:divBdr>
        </w:div>
        <w:div w:id="768626858">
          <w:marLeft w:val="0"/>
          <w:marRight w:val="0"/>
          <w:marTop w:val="0"/>
          <w:marBottom w:val="0"/>
          <w:divBdr>
            <w:top w:val="none" w:sz="0" w:space="0" w:color="auto"/>
            <w:left w:val="none" w:sz="0" w:space="0" w:color="auto"/>
            <w:bottom w:val="none" w:sz="0" w:space="0" w:color="auto"/>
            <w:right w:val="none" w:sz="0" w:space="0" w:color="auto"/>
          </w:divBdr>
        </w:div>
        <w:div w:id="904149395">
          <w:marLeft w:val="0"/>
          <w:marRight w:val="0"/>
          <w:marTop w:val="0"/>
          <w:marBottom w:val="0"/>
          <w:divBdr>
            <w:top w:val="none" w:sz="0" w:space="0" w:color="auto"/>
            <w:left w:val="none" w:sz="0" w:space="0" w:color="auto"/>
            <w:bottom w:val="none" w:sz="0" w:space="0" w:color="auto"/>
            <w:right w:val="none" w:sz="0" w:space="0" w:color="auto"/>
          </w:divBdr>
        </w:div>
        <w:div w:id="914783589">
          <w:marLeft w:val="0"/>
          <w:marRight w:val="0"/>
          <w:marTop w:val="0"/>
          <w:marBottom w:val="0"/>
          <w:divBdr>
            <w:top w:val="none" w:sz="0" w:space="0" w:color="auto"/>
            <w:left w:val="none" w:sz="0" w:space="0" w:color="auto"/>
            <w:bottom w:val="none" w:sz="0" w:space="0" w:color="auto"/>
            <w:right w:val="none" w:sz="0" w:space="0" w:color="auto"/>
          </w:divBdr>
        </w:div>
        <w:div w:id="942568421">
          <w:marLeft w:val="0"/>
          <w:marRight w:val="0"/>
          <w:marTop w:val="0"/>
          <w:marBottom w:val="0"/>
          <w:divBdr>
            <w:top w:val="none" w:sz="0" w:space="0" w:color="auto"/>
            <w:left w:val="none" w:sz="0" w:space="0" w:color="auto"/>
            <w:bottom w:val="none" w:sz="0" w:space="0" w:color="auto"/>
            <w:right w:val="none" w:sz="0" w:space="0" w:color="auto"/>
          </w:divBdr>
        </w:div>
        <w:div w:id="1031154138">
          <w:marLeft w:val="0"/>
          <w:marRight w:val="0"/>
          <w:marTop w:val="0"/>
          <w:marBottom w:val="0"/>
          <w:divBdr>
            <w:top w:val="none" w:sz="0" w:space="0" w:color="auto"/>
            <w:left w:val="none" w:sz="0" w:space="0" w:color="auto"/>
            <w:bottom w:val="none" w:sz="0" w:space="0" w:color="auto"/>
            <w:right w:val="none" w:sz="0" w:space="0" w:color="auto"/>
          </w:divBdr>
        </w:div>
        <w:div w:id="1264875830">
          <w:marLeft w:val="0"/>
          <w:marRight w:val="0"/>
          <w:marTop w:val="0"/>
          <w:marBottom w:val="0"/>
          <w:divBdr>
            <w:top w:val="none" w:sz="0" w:space="0" w:color="auto"/>
            <w:left w:val="none" w:sz="0" w:space="0" w:color="auto"/>
            <w:bottom w:val="none" w:sz="0" w:space="0" w:color="auto"/>
            <w:right w:val="none" w:sz="0" w:space="0" w:color="auto"/>
          </w:divBdr>
        </w:div>
        <w:div w:id="1410152960">
          <w:marLeft w:val="0"/>
          <w:marRight w:val="0"/>
          <w:marTop w:val="0"/>
          <w:marBottom w:val="0"/>
          <w:divBdr>
            <w:top w:val="none" w:sz="0" w:space="0" w:color="auto"/>
            <w:left w:val="none" w:sz="0" w:space="0" w:color="auto"/>
            <w:bottom w:val="none" w:sz="0" w:space="0" w:color="auto"/>
            <w:right w:val="none" w:sz="0" w:space="0" w:color="auto"/>
          </w:divBdr>
        </w:div>
        <w:div w:id="2077850273">
          <w:marLeft w:val="0"/>
          <w:marRight w:val="0"/>
          <w:marTop w:val="0"/>
          <w:marBottom w:val="0"/>
          <w:divBdr>
            <w:top w:val="none" w:sz="0" w:space="0" w:color="auto"/>
            <w:left w:val="none" w:sz="0" w:space="0" w:color="auto"/>
            <w:bottom w:val="none" w:sz="0" w:space="0" w:color="auto"/>
            <w:right w:val="none" w:sz="0" w:space="0" w:color="auto"/>
          </w:divBdr>
        </w:div>
      </w:divsChild>
    </w:div>
    <w:div w:id="86315449">
      <w:bodyDiv w:val="1"/>
      <w:marLeft w:val="0"/>
      <w:marRight w:val="0"/>
      <w:marTop w:val="0"/>
      <w:marBottom w:val="0"/>
      <w:divBdr>
        <w:top w:val="none" w:sz="0" w:space="0" w:color="auto"/>
        <w:left w:val="none" w:sz="0" w:space="0" w:color="auto"/>
        <w:bottom w:val="none" w:sz="0" w:space="0" w:color="auto"/>
        <w:right w:val="none" w:sz="0" w:space="0" w:color="auto"/>
      </w:divBdr>
    </w:div>
    <w:div w:id="88936234">
      <w:bodyDiv w:val="1"/>
      <w:marLeft w:val="0"/>
      <w:marRight w:val="0"/>
      <w:marTop w:val="0"/>
      <w:marBottom w:val="0"/>
      <w:divBdr>
        <w:top w:val="none" w:sz="0" w:space="0" w:color="auto"/>
        <w:left w:val="none" w:sz="0" w:space="0" w:color="auto"/>
        <w:bottom w:val="none" w:sz="0" w:space="0" w:color="auto"/>
        <w:right w:val="none" w:sz="0" w:space="0" w:color="auto"/>
      </w:divBdr>
      <w:divsChild>
        <w:div w:id="413433588">
          <w:marLeft w:val="0"/>
          <w:marRight w:val="0"/>
          <w:marTop w:val="0"/>
          <w:marBottom w:val="0"/>
          <w:divBdr>
            <w:top w:val="none" w:sz="0" w:space="0" w:color="auto"/>
            <w:left w:val="none" w:sz="0" w:space="0" w:color="auto"/>
            <w:bottom w:val="none" w:sz="0" w:space="0" w:color="auto"/>
            <w:right w:val="none" w:sz="0" w:space="0" w:color="auto"/>
          </w:divBdr>
        </w:div>
        <w:div w:id="292365280">
          <w:marLeft w:val="0"/>
          <w:marRight w:val="0"/>
          <w:marTop w:val="0"/>
          <w:marBottom w:val="0"/>
          <w:divBdr>
            <w:top w:val="none" w:sz="0" w:space="0" w:color="auto"/>
            <w:left w:val="none" w:sz="0" w:space="0" w:color="auto"/>
            <w:bottom w:val="none" w:sz="0" w:space="0" w:color="auto"/>
            <w:right w:val="none" w:sz="0" w:space="0" w:color="auto"/>
          </w:divBdr>
        </w:div>
        <w:div w:id="1488981207">
          <w:marLeft w:val="0"/>
          <w:marRight w:val="0"/>
          <w:marTop w:val="0"/>
          <w:marBottom w:val="0"/>
          <w:divBdr>
            <w:top w:val="none" w:sz="0" w:space="0" w:color="auto"/>
            <w:left w:val="none" w:sz="0" w:space="0" w:color="auto"/>
            <w:bottom w:val="none" w:sz="0" w:space="0" w:color="auto"/>
            <w:right w:val="none" w:sz="0" w:space="0" w:color="auto"/>
          </w:divBdr>
        </w:div>
        <w:div w:id="496268807">
          <w:marLeft w:val="0"/>
          <w:marRight w:val="0"/>
          <w:marTop w:val="0"/>
          <w:marBottom w:val="0"/>
          <w:divBdr>
            <w:top w:val="none" w:sz="0" w:space="0" w:color="auto"/>
            <w:left w:val="none" w:sz="0" w:space="0" w:color="auto"/>
            <w:bottom w:val="none" w:sz="0" w:space="0" w:color="auto"/>
            <w:right w:val="none" w:sz="0" w:space="0" w:color="auto"/>
          </w:divBdr>
        </w:div>
        <w:div w:id="632835219">
          <w:marLeft w:val="0"/>
          <w:marRight w:val="0"/>
          <w:marTop w:val="0"/>
          <w:marBottom w:val="0"/>
          <w:divBdr>
            <w:top w:val="none" w:sz="0" w:space="0" w:color="auto"/>
            <w:left w:val="none" w:sz="0" w:space="0" w:color="auto"/>
            <w:bottom w:val="none" w:sz="0" w:space="0" w:color="auto"/>
            <w:right w:val="none" w:sz="0" w:space="0" w:color="auto"/>
          </w:divBdr>
        </w:div>
        <w:div w:id="1432434395">
          <w:marLeft w:val="0"/>
          <w:marRight w:val="0"/>
          <w:marTop w:val="0"/>
          <w:marBottom w:val="0"/>
          <w:divBdr>
            <w:top w:val="none" w:sz="0" w:space="0" w:color="auto"/>
            <w:left w:val="none" w:sz="0" w:space="0" w:color="auto"/>
            <w:bottom w:val="none" w:sz="0" w:space="0" w:color="auto"/>
            <w:right w:val="none" w:sz="0" w:space="0" w:color="auto"/>
          </w:divBdr>
        </w:div>
        <w:div w:id="2094620365">
          <w:marLeft w:val="0"/>
          <w:marRight w:val="0"/>
          <w:marTop w:val="0"/>
          <w:marBottom w:val="0"/>
          <w:divBdr>
            <w:top w:val="none" w:sz="0" w:space="0" w:color="auto"/>
            <w:left w:val="none" w:sz="0" w:space="0" w:color="auto"/>
            <w:bottom w:val="none" w:sz="0" w:space="0" w:color="auto"/>
            <w:right w:val="none" w:sz="0" w:space="0" w:color="auto"/>
          </w:divBdr>
        </w:div>
        <w:div w:id="1960603523">
          <w:marLeft w:val="0"/>
          <w:marRight w:val="0"/>
          <w:marTop w:val="240"/>
          <w:marBottom w:val="0"/>
          <w:divBdr>
            <w:top w:val="none" w:sz="0" w:space="0" w:color="auto"/>
            <w:left w:val="none" w:sz="0" w:space="0" w:color="auto"/>
            <w:bottom w:val="none" w:sz="0" w:space="0" w:color="auto"/>
            <w:right w:val="none" w:sz="0" w:space="0" w:color="auto"/>
          </w:divBdr>
        </w:div>
        <w:div w:id="524638892">
          <w:marLeft w:val="0"/>
          <w:marRight w:val="0"/>
          <w:marTop w:val="0"/>
          <w:marBottom w:val="0"/>
          <w:divBdr>
            <w:top w:val="none" w:sz="0" w:space="0" w:color="auto"/>
            <w:left w:val="none" w:sz="0" w:space="0" w:color="auto"/>
            <w:bottom w:val="none" w:sz="0" w:space="0" w:color="auto"/>
            <w:right w:val="none" w:sz="0" w:space="0" w:color="auto"/>
          </w:divBdr>
        </w:div>
        <w:div w:id="466900537">
          <w:marLeft w:val="0"/>
          <w:marRight w:val="0"/>
          <w:marTop w:val="0"/>
          <w:marBottom w:val="0"/>
          <w:divBdr>
            <w:top w:val="none" w:sz="0" w:space="0" w:color="auto"/>
            <w:left w:val="none" w:sz="0" w:space="0" w:color="auto"/>
            <w:bottom w:val="none" w:sz="0" w:space="0" w:color="auto"/>
            <w:right w:val="none" w:sz="0" w:space="0" w:color="auto"/>
          </w:divBdr>
        </w:div>
        <w:div w:id="1472940308">
          <w:marLeft w:val="0"/>
          <w:marRight w:val="0"/>
          <w:marTop w:val="0"/>
          <w:marBottom w:val="0"/>
          <w:divBdr>
            <w:top w:val="none" w:sz="0" w:space="0" w:color="auto"/>
            <w:left w:val="none" w:sz="0" w:space="0" w:color="auto"/>
            <w:bottom w:val="none" w:sz="0" w:space="0" w:color="auto"/>
            <w:right w:val="none" w:sz="0" w:space="0" w:color="auto"/>
          </w:divBdr>
        </w:div>
        <w:div w:id="811218743">
          <w:marLeft w:val="0"/>
          <w:marRight w:val="0"/>
          <w:marTop w:val="0"/>
          <w:marBottom w:val="0"/>
          <w:divBdr>
            <w:top w:val="none" w:sz="0" w:space="0" w:color="auto"/>
            <w:left w:val="none" w:sz="0" w:space="0" w:color="auto"/>
            <w:bottom w:val="none" w:sz="0" w:space="0" w:color="auto"/>
            <w:right w:val="none" w:sz="0" w:space="0" w:color="auto"/>
          </w:divBdr>
        </w:div>
        <w:div w:id="1433355498">
          <w:marLeft w:val="0"/>
          <w:marRight w:val="0"/>
          <w:marTop w:val="0"/>
          <w:marBottom w:val="0"/>
          <w:divBdr>
            <w:top w:val="none" w:sz="0" w:space="0" w:color="auto"/>
            <w:left w:val="none" w:sz="0" w:space="0" w:color="auto"/>
            <w:bottom w:val="none" w:sz="0" w:space="0" w:color="auto"/>
            <w:right w:val="none" w:sz="0" w:space="0" w:color="auto"/>
          </w:divBdr>
        </w:div>
        <w:div w:id="1368065688">
          <w:marLeft w:val="0"/>
          <w:marRight w:val="0"/>
          <w:marTop w:val="0"/>
          <w:marBottom w:val="0"/>
          <w:divBdr>
            <w:top w:val="none" w:sz="0" w:space="0" w:color="auto"/>
            <w:left w:val="none" w:sz="0" w:space="0" w:color="auto"/>
            <w:bottom w:val="none" w:sz="0" w:space="0" w:color="auto"/>
            <w:right w:val="none" w:sz="0" w:space="0" w:color="auto"/>
          </w:divBdr>
        </w:div>
        <w:div w:id="44304822">
          <w:marLeft w:val="0"/>
          <w:marRight w:val="0"/>
          <w:marTop w:val="0"/>
          <w:marBottom w:val="0"/>
          <w:divBdr>
            <w:top w:val="none" w:sz="0" w:space="0" w:color="auto"/>
            <w:left w:val="none" w:sz="0" w:space="0" w:color="auto"/>
            <w:bottom w:val="none" w:sz="0" w:space="0" w:color="auto"/>
            <w:right w:val="none" w:sz="0" w:space="0" w:color="auto"/>
          </w:divBdr>
        </w:div>
        <w:div w:id="638463686">
          <w:marLeft w:val="0"/>
          <w:marRight w:val="0"/>
          <w:marTop w:val="0"/>
          <w:marBottom w:val="0"/>
          <w:divBdr>
            <w:top w:val="none" w:sz="0" w:space="0" w:color="auto"/>
            <w:left w:val="none" w:sz="0" w:space="0" w:color="auto"/>
            <w:bottom w:val="none" w:sz="0" w:space="0" w:color="auto"/>
            <w:right w:val="none" w:sz="0" w:space="0" w:color="auto"/>
          </w:divBdr>
        </w:div>
        <w:div w:id="1693460945">
          <w:marLeft w:val="0"/>
          <w:marRight w:val="0"/>
          <w:marTop w:val="0"/>
          <w:marBottom w:val="0"/>
          <w:divBdr>
            <w:top w:val="none" w:sz="0" w:space="0" w:color="auto"/>
            <w:left w:val="none" w:sz="0" w:space="0" w:color="auto"/>
            <w:bottom w:val="none" w:sz="0" w:space="0" w:color="auto"/>
            <w:right w:val="none" w:sz="0" w:space="0" w:color="auto"/>
          </w:divBdr>
        </w:div>
        <w:div w:id="1060712716">
          <w:marLeft w:val="0"/>
          <w:marRight w:val="0"/>
          <w:marTop w:val="0"/>
          <w:marBottom w:val="0"/>
          <w:divBdr>
            <w:top w:val="none" w:sz="0" w:space="0" w:color="auto"/>
            <w:left w:val="none" w:sz="0" w:space="0" w:color="auto"/>
            <w:bottom w:val="none" w:sz="0" w:space="0" w:color="auto"/>
            <w:right w:val="none" w:sz="0" w:space="0" w:color="auto"/>
          </w:divBdr>
        </w:div>
        <w:div w:id="511651067">
          <w:marLeft w:val="0"/>
          <w:marRight w:val="0"/>
          <w:marTop w:val="0"/>
          <w:marBottom w:val="0"/>
          <w:divBdr>
            <w:top w:val="none" w:sz="0" w:space="0" w:color="auto"/>
            <w:left w:val="none" w:sz="0" w:space="0" w:color="auto"/>
            <w:bottom w:val="none" w:sz="0" w:space="0" w:color="auto"/>
            <w:right w:val="none" w:sz="0" w:space="0" w:color="auto"/>
          </w:divBdr>
        </w:div>
        <w:div w:id="690494948">
          <w:marLeft w:val="0"/>
          <w:marRight w:val="0"/>
          <w:marTop w:val="0"/>
          <w:marBottom w:val="0"/>
          <w:divBdr>
            <w:top w:val="none" w:sz="0" w:space="0" w:color="auto"/>
            <w:left w:val="none" w:sz="0" w:space="0" w:color="auto"/>
            <w:bottom w:val="none" w:sz="0" w:space="0" w:color="auto"/>
            <w:right w:val="none" w:sz="0" w:space="0" w:color="auto"/>
          </w:divBdr>
        </w:div>
        <w:div w:id="1163739094">
          <w:marLeft w:val="0"/>
          <w:marRight w:val="0"/>
          <w:marTop w:val="0"/>
          <w:marBottom w:val="0"/>
          <w:divBdr>
            <w:top w:val="none" w:sz="0" w:space="0" w:color="auto"/>
            <w:left w:val="none" w:sz="0" w:space="0" w:color="auto"/>
            <w:bottom w:val="none" w:sz="0" w:space="0" w:color="auto"/>
            <w:right w:val="none" w:sz="0" w:space="0" w:color="auto"/>
          </w:divBdr>
        </w:div>
        <w:div w:id="195969383">
          <w:marLeft w:val="0"/>
          <w:marRight w:val="0"/>
          <w:marTop w:val="240"/>
          <w:marBottom w:val="0"/>
          <w:divBdr>
            <w:top w:val="none" w:sz="0" w:space="0" w:color="auto"/>
            <w:left w:val="none" w:sz="0" w:space="0" w:color="auto"/>
            <w:bottom w:val="none" w:sz="0" w:space="0" w:color="auto"/>
            <w:right w:val="none" w:sz="0" w:space="0" w:color="auto"/>
          </w:divBdr>
        </w:div>
        <w:div w:id="858278649">
          <w:marLeft w:val="0"/>
          <w:marRight w:val="0"/>
          <w:marTop w:val="0"/>
          <w:marBottom w:val="0"/>
          <w:divBdr>
            <w:top w:val="none" w:sz="0" w:space="0" w:color="auto"/>
            <w:left w:val="none" w:sz="0" w:space="0" w:color="auto"/>
            <w:bottom w:val="none" w:sz="0" w:space="0" w:color="auto"/>
            <w:right w:val="none" w:sz="0" w:space="0" w:color="auto"/>
          </w:divBdr>
        </w:div>
        <w:div w:id="1559439278">
          <w:marLeft w:val="0"/>
          <w:marRight w:val="0"/>
          <w:marTop w:val="240"/>
          <w:marBottom w:val="0"/>
          <w:divBdr>
            <w:top w:val="none" w:sz="0" w:space="0" w:color="auto"/>
            <w:left w:val="none" w:sz="0" w:space="0" w:color="auto"/>
            <w:bottom w:val="none" w:sz="0" w:space="0" w:color="auto"/>
            <w:right w:val="none" w:sz="0" w:space="0" w:color="auto"/>
          </w:divBdr>
        </w:div>
        <w:div w:id="1454441710">
          <w:marLeft w:val="0"/>
          <w:marRight w:val="0"/>
          <w:marTop w:val="0"/>
          <w:marBottom w:val="0"/>
          <w:divBdr>
            <w:top w:val="none" w:sz="0" w:space="0" w:color="auto"/>
            <w:left w:val="none" w:sz="0" w:space="0" w:color="auto"/>
            <w:bottom w:val="none" w:sz="0" w:space="0" w:color="auto"/>
            <w:right w:val="none" w:sz="0" w:space="0" w:color="auto"/>
          </w:divBdr>
        </w:div>
        <w:div w:id="966203542">
          <w:marLeft w:val="0"/>
          <w:marRight w:val="0"/>
          <w:marTop w:val="0"/>
          <w:marBottom w:val="0"/>
          <w:divBdr>
            <w:top w:val="none" w:sz="0" w:space="0" w:color="auto"/>
            <w:left w:val="none" w:sz="0" w:space="0" w:color="auto"/>
            <w:bottom w:val="none" w:sz="0" w:space="0" w:color="auto"/>
            <w:right w:val="none" w:sz="0" w:space="0" w:color="auto"/>
          </w:divBdr>
        </w:div>
        <w:div w:id="935869447">
          <w:marLeft w:val="0"/>
          <w:marRight w:val="0"/>
          <w:marTop w:val="240"/>
          <w:marBottom w:val="0"/>
          <w:divBdr>
            <w:top w:val="none" w:sz="0" w:space="0" w:color="auto"/>
            <w:left w:val="none" w:sz="0" w:space="0" w:color="auto"/>
            <w:bottom w:val="none" w:sz="0" w:space="0" w:color="auto"/>
            <w:right w:val="none" w:sz="0" w:space="0" w:color="auto"/>
          </w:divBdr>
        </w:div>
        <w:div w:id="1919172969">
          <w:marLeft w:val="0"/>
          <w:marRight w:val="0"/>
          <w:marTop w:val="0"/>
          <w:marBottom w:val="0"/>
          <w:divBdr>
            <w:top w:val="none" w:sz="0" w:space="0" w:color="auto"/>
            <w:left w:val="none" w:sz="0" w:space="0" w:color="auto"/>
            <w:bottom w:val="none" w:sz="0" w:space="0" w:color="auto"/>
            <w:right w:val="none" w:sz="0" w:space="0" w:color="auto"/>
          </w:divBdr>
        </w:div>
        <w:div w:id="1925986841">
          <w:marLeft w:val="0"/>
          <w:marRight w:val="0"/>
          <w:marTop w:val="0"/>
          <w:marBottom w:val="0"/>
          <w:divBdr>
            <w:top w:val="none" w:sz="0" w:space="0" w:color="auto"/>
            <w:left w:val="none" w:sz="0" w:space="0" w:color="auto"/>
            <w:bottom w:val="none" w:sz="0" w:space="0" w:color="auto"/>
            <w:right w:val="none" w:sz="0" w:space="0" w:color="auto"/>
          </w:divBdr>
        </w:div>
        <w:div w:id="1941067137">
          <w:marLeft w:val="0"/>
          <w:marRight w:val="0"/>
          <w:marTop w:val="0"/>
          <w:marBottom w:val="0"/>
          <w:divBdr>
            <w:top w:val="none" w:sz="0" w:space="0" w:color="auto"/>
            <w:left w:val="none" w:sz="0" w:space="0" w:color="auto"/>
            <w:bottom w:val="none" w:sz="0" w:space="0" w:color="auto"/>
            <w:right w:val="none" w:sz="0" w:space="0" w:color="auto"/>
          </w:divBdr>
        </w:div>
        <w:div w:id="1293825618">
          <w:marLeft w:val="0"/>
          <w:marRight w:val="0"/>
          <w:marTop w:val="0"/>
          <w:marBottom w:val="0"/>
          <w:divBdr>
            <w:top w:val="none" w:sz="0" w:space="0" w:color="auto"/>
            <w:left w:val="none" w:sz="0" w:space="0" w:color="auto"/>
            <w:bottom w:val="none" w:sz="0" w:space="0" w:color="auto"/>
            <w:right w:val="none" w:sz="0" w:space="0" w:color="auto"/>
          </w:divBdr>
        </w:div>
        <w:div w:id="169221416">
          <w:marLeft w:val="0"/>
          <w:marRight w:val="0"/>
          <w:marTop w:val="0"/>
          <w:marBottom w:val="0"/>
          <w:divBdr>
            <w:top w:val="none" w:sz="0" w:space="0" w:color="auto"/>
            <w:left w:val="none" w:sz="0" w:space="0" w:color="auto"/>
            <w:bottom w:val="none" w:sz="0" w:space="0" w:color="auto"/>
            <w:right w:val="none" w:sz="0" w:space="0" w:color="auto"/>
          </w:divBdr>
        </w:div>
      </w:divsChild>
    </w:div>
    <w:div w:id="93981227">
      <w:bodyDiv w:val="1"/>
      <w:marLeft w:val="0"/>
      <w:marRight w:val="0"/>
      <w:marTop w:val="0"/>
      <w:marBottom w:val="0"/>
      <w:divBdr>
        <w:top w:val="none" w:sz="0" w:space="0" w:color="auto"/>
        <w:left w:val="none" w:sz="0" w:space="0" w:color="auto"/>
        <w:bottom w:val="none" w:sz="0" w:space="0" w:color="auto"/>
        <w:right w:val="none" w:sz="0" w:space="0" w:color="auto"/>
      </w:divBdr>
      <w:divsChild>
        <w:div w:id="226452090">
          <w:marLeft w:val="0"/>
          <w:marRight w:val="0"/>
          <w:marTop w:val="0"/>
          <w:marBottom w:val="0"/>
          <w:divBdr>
            <w:top w:val="none" w:sz="0" w:space="0" w:color="auto"/>
            <w:left w:val="none" w:sz="0" w:space="0" w:color="auto"/>
            <w:bottom w:val="none" w:sz="0" w:space="0" w:color="auto"/>
            <w:right w:val="none" w:sz="0" w:space="0" w:color="auto"/>
          </w:divBdr>
        </w:div>
        <w:div w:id="637422844">
          <w:marLeft w:val="0"/>
          <w:marRight w:val="0"/>
          <w:marTop w:val="0"/>
          <w:marBottom w:val="0"/>
          <w:divBdr>
            <w:top w:val="none" w:sz="0" w:space="0" w:color="auto"/>
            <w:left w:val="none" w:sz="0" w:space="0" w:color="auto"/>
            <w:bottom w:val="none" w:sz="0" w:space="0" w:color="auto"/>
            <w:right w:val="none" w:sz="0" w:space="0" w:color="auto"/>
          </w:divBdr>
        </w:div>
        <w:div w:id="1791976749">
          <w:marLeft w:val="0"/>
          <w:marRight w:val="0"/>
          <w:marTop w:val="0"/>
          <w:marBottom w:val="0"/>
          <w:divBdr>
            <w:top w:val="none" w:sz="0" w:space="0" w:color="auto"/>
            <w:left w:val="none" w:sz="0" w:space="0" w:color="auto"/>
            <w:bottom w:val="none" w:sz="0" w:space="0" w:color="auto"/>
            <w:right w:val="none" w:sz="0" w:space="0" w:color="auto"/>
          </w:divBdr>
        </w:div>
      </w:divsChild>
    </w:div>
    <w:div w:id="130250542">
      <w:bodyDiv w:val="1"/>
      <w:marLeft w:val="0"/>
      <w:marRight w:val="0"/>
      <w:marTop w:val="0"/>
      <w:marBottom w:val="0"/>
      <w:divBdr>
        <w:top w:val="none" w:sz="0" w:space="0" w:color="auto"/>
        <w:left w:val="none" w:sz="0" w:space="0" w:color="auto"/>
        <w:bottom w:val="none" w:sz="0" w:space="0" w:color="auto"/>
        <w:right w:val="none" w:sz="0" w:space="0" w:color="auto"/>
      </w:divBdr>
      <w:divsChild>
        <w:div w:id="869998530">
          <w:marLeft w:val="0"/>
          <w:marRight w:val="0"/>
          <w:marTop w:val="0"/>
          <w:marBottom w:val="0"/>
          <w:divBdr>
            <w:top w:val="none" w:sz="0" w:space="0" w:color="auto"/>
            <w:left w:val="none" w:sz="0" w:space="0" w:color="auto"/>
            <w:bottom w:val="none" w:sz="0" w:space="0" w:color="auto"/>
            <w:right w:val="none" w:sz="0" w:space="0" w:color="auto"/>
          </w:divBdr>
        </w:div>
        <w:div w:id="1178085298">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986425033">
          <w:marLeft w:val="0"/>
          <w:marRight w:val="0"/>
          <w:marTop w:val="0"/>
          <w:marBottom w:val="0"/>
          <w:divBdr>
            <w:top w:val="none" w:sz="0" w:space="0" w:color="auto"/>
            <w:left w:val="none" w:sz="0" w:space="0" w:color="auto"/>
            <w:bottom w:val="none" w:sz="0" w:space="0" w:color="auto"/>
            <w:right w:val="none" w:sz="0" w:space="0" w:color="auto"/>
          </w:divBdr>
        </w:div>
      </w:divsChild>
    </w:div>
    <w:div w:id="160243690">
      <w:bodyDiv w:val="1"/>
      <w:marLeft w:val="0"/>
      <w:marRight w:val="0"/>
      <w:marTop w:val="0"/>
      <w:marBottom w:val="0"/>
      <w:divBdr>
        <w:top w:val="none" w:sz="0" w:space="0" w:color="auto"/>
        <w:left w:val="none" w:sz="0" w:space="0" w:color="auto"/>
        <w:bottom w:val="none" w:sz="0" w:space="0" w:color="auto"/>
        <w:right w:val="none" w:sz="0" w:space="0" w:color="auto"/>
      </w:divBdr>
    </w:div>
    <w:div w:id="237179454">
      <w:bodyDiv w:val="1"/>
      <w:marLeft w:val="0"/>
      <w:marRight w:val="0"/>
      <w:marTop w:val="0"/>
      <w:marBottom w:val="0"/>
      <w:divBdr>
        <w:top w:val="none" w:sz="0" w:space="0" w:color="auto"/>
        <w:left w:val="none" w:sz="0" w:space="0" w:color="auto"/>
        <w:bottom w:val="none" w:sz="0" w:space="0" w:color="auto"/>
        <w:right w:val="none" w:sz="0" w:space="0" w:color="auto"/>
      </w:divBdr>
      <w:divsChild>
        <w:div w:id="671226216">
          <w:marLeft w:val="0"/>
          <w:marRight w:val="0"/>
          <w:marTop w:val="0"/>
          <w:marBottom w:val="0"/>
          <w:divBdr>
            <w:top w:val="none" w:sz="0" w:space="0" w:color="auto"/>
            <w:left w:val="none" w:sz="0" w:space="0" w:color="auto"/>
            <w:bottom w:val="none" w:sz="0" w:space="0" w:color="auto"/>
            <w:right w:val="none" w:sz="0" w:space="0" w:color="auto"/>
          </w:divBdr>
        </w:div>
        <w:div w:id="1035884228">
          <w:marLeft w:val="0"/>
          <w:marRight w:val="0"/>
          <w:marTop w:val="0"/>
          <w:marBottom w:val="0"/>
          <w:divBdr>
            <w:top w:val="none" w:sz="0" w:space="0" w:color="auto"/>
            <w:left w:val="none" w:sz="0" w:space="0" w:color="auto"/>
            <w:bottom w:val="none" w:sz="0" w:space="0" w:color="auto"/>
            <w:right w:val="none" w:sz="0" w:space="0" w:color="auto"/>
          </w:divBdr>
        </w:div>
        <w:div w:id="778599501">
          <w:marLeft w:val="0"/>
          <w:marRight w:val="0"/>
          <w:marTop w:val="0"/>
          <w:marBottom w:val="0"/>
          <w:divBdr>
            <w:top w:val="none" w:sz="0" w:space="0" w:color="auto"/>
            <w:left w:val="none" w:sz="0" w:space="0" w:color="auto"/>
            <w:bottom w:val="none" w:sz="0" w:space="0" w:color="auto"/>
            <w:right w:val="none" w:sz="0" w:space="0" w:color="auto"/>
          </w:divBdr>
        </w:div>
        <w:div w:id="1067726943">
          <w:marLeft w:val="0"/>
          <w:marRight w:val="0"/>
          <w:marTop w:val="0"/>
          <w:marBottom w:val="0"/>
          <w:divBdr>
            <w:top w:val="none" w:sz="0" w:space="0" w:color="auto"/>
            <w:left w:val="none" w:sz="0" w:space="0" w:color="auto"/>
            <w:bottom w:val="none" w:sz="0" w:space="0" w:color="auto"/>
            <w:right w:val="none" w:sz="0" w:space="0" w:color="auto"/>
          </w:divBdr>
        </w:div>
        <w:div w:id="441193244">
          <w:marLeft w:val="0"/>
          <w:marRight w:val="0"/>
          <w:marTop w:val="0"/>
          <w:marBottom w:val="0"/>
          <w:divBdr>
            <w:top w:val="none" w:sz="0" w:space="0" w:color="auto"/>
            <w:left w:val="none" w:sz="0" w:space="0" w:color="auto"/>
            <w:bottom w:val="none" w:sz="0" w:space="0" w:color="auto"/>
            <w:right w:val="none" w:sz="0" w:space="0" w:color="auto"/>
          </w:divBdr>
        </w:div>
        <w:div w:id="719403623">
          <w:marLeft w:val="0"/>
          <w:marRight w:val="0"/>
          <w:marTop w:val="0"/>
          <w:marBottom w:val="0"/>
          <w:divBdr>
            <w:top w:val="none" w:sz="0" w:space="0" w:color="auto"/>
            <w:left w:val="none" w:sz="0" w:space="0" w:color="auto"/>
            <w:bottom w:val="none" w:sz="0" w:space="0" w:color="auto"/>
            <w:right w:val="none" w:sz="0" w:space="0" w:color="auto"/>
          </w:divBdr>
        </w:div>
      </w:divsChild>
    </w:div>
    <w:div w:id="239951840">
      <w:bodyDiv w:val="1"/>
      <w:marLeft w:val="0"/>
      <w:marRight w:val="0"/>
      <w:marTop w:val="0"/>
      <w:marBottom w:val="0"/>
      <w:divBdr>
        <w:top w:val="none" w:sz="0" w:space="0" w:color="auto"/>
        <w:left w:val="none" w:sz="0" w:space="0" w:color="auto"/>
        <w:bottom w:val="none" w:sz="0" w:space="0" w:color="auto"/>
        <w:right w:val="none" w:sz="0" w:space="0" w:color="auto"/>
      </w:divBdr>
    </w:div>
    <w:div w:id="281544164">
      <w:bodyDiv w:val="1"/>
      <w:marLeft w:val="0"/>
      <w:marRight w:val="0"/>
      <w:marTop w:val="0"/>
      <w:marBottom w:val="0"/>
      <w:divBdr>
        <w:top w:val="none" w:sz="0" w:space="0" w:color="auto"/>
        <w:left w:val="none" w:sz="0" w:space="0" w:color="auto"/>
        <w:bottom w:val="none" w:sz="0" w:space="0" w:color="auto"/>
        <w:right w:val="none" w:sz="0" w:space="0" w:color="auto"/>
      </w:divBdr>
    </w:div>
    <w:div w:id="328562900">
      <w:bodyDiv w:val="1"/>
      <w:marLeft w:val="0"/>
      <w:marRight w:val="0"/>
      <w:marTop w:val="0"/>
      <w:marBottom w:val="0"/>
      <w:divBdr>
        <w:top w:val="none" w:sz="0" w:space="0" w:color="auto"/>
        <w:left w:val="none" w:sz="0" w:space="0" w:color="auto"/>
        <w:bottom w:val="none" w:sz="0" w:space="0" w:color="auto"/>
        <w:right w:val="none" w:sz="0" w:space="0" w:color="auto"/>
      </w:divBdr>
      <w:divsChild>
        <w:div w:id="443232785">
          <w:marLeft w:val="0"/>
          <w:marRight w:val="0"/>
          <w:marTop w:val="0"/>
          <w:marBottom w:val="0"/>
          <w:divBdr>
            <w:top w:val="none" w:sz="0" w:space="0" w:color="auto"/>
            <w:left w:val="none" w:sz="0" w:space="0" w:color="auto"/>
            <w:bottom w:val="none" w:sz="0" w:space="0" w:color="auto"/>
            <w:right w:val="none" w:sz="0" w:space="0" w:color="auto"/>
          </w:divBdr>
        </w:div>
        <w:div w:id="1180773468">
          <w:marLeft w:val="0"/>
          <w:marRight w:val="0"/>
          <w:marTop w:val="0"/>
          <w:marBottom w:val="0"/>
          <w:divBdr>
            <w:top w:val="none" w:sz="0" w:space="0" w:color="auto"/>
            <w:left w:val="none" w:sz="0" w:space="0" w:color="auto"/>
            <w:bottom w:val="none" w:sz="0" w:space="0" w:color="auto"/>
            <w:right w:val="none" w:sz="0" w:space="0" w:color="auto"/>
          </w:divBdr>
        </w:div>
        <w:div w:id="1637104471">
          <w:marLeft w:val="0"/>
          <w:marRight w:val="0"/>
          <w:marTop w:val="0"/>
          <w:marBottom w:val="0"/>
          <w:divBdr>
            <w:top w:val="none" w:sz="0" w:space="0" w:color="auto"/>
            <w:left w:val="none" w:sz="0" w:space="0" w:color="auto"/>
            <w:bottom w:val="none" w:sz="0" w:space="0" w:color="auto"/>
            <w:right w:val="none" w:sz="0" w:space="0" w:color="auto"/>
          </w:divBdr>
        </w:div>
      </w:divsChild>
    </w:div>
    <w:div w:id="367998881">
      <w:bodyDiv w:val="1"/>
      <w:marLeft w:val="0"/>
      <w:marRight w:val="0"/>
      <w:marTop w:val="0"/>
      <w:marBottom w:val="0"/>
      <w:divBdr>
        <w:top w:val="none" w:sz="0" w:space="0" w:color="auto"/>
        <w:left w:val="none" w:sz="0" w:space="0" w:color="auto"/>
        <w:bottom w:val="none" w:sz="0" w:space="0" w:color="auto"/>
        <w:right w:val="none" w:sz="0" w:space="0" w:color="auto"/>
      </w:divBdr>
      <w:divsChild>
        <w:div w:id="330960071">
          <w:marLeft w:val="0"/>
          <w:marRight w:val="0"/>
          <w:marTop w:val="0"/>
          <w:marBottom w:val="0"/>
          <w:divBdr>
            <w:top w:val="none" w:sz="0" w:space="0" w:color="auto"/>
            <w:left w:val="none" w:sz="0" w:space="0" w:color="auto"/>
            <w:bottom w:val="none" w:sz="0" w:space="0" w:color="auto"/>
            <w:right w:val="none" w:sz="0" w:space="0" w:color="auto"/>
          </w:divBdr>
        </w:div>
        <w:div w:id="1202716709">
          <w:marLeft w:val="0"/>
          <w:marRight w:val="0"/>
          <w:marTop w:val="0"/>
          <w:marBottom w:val="0"/>
          <w:divBdr>
            <w:top w:val="none" w:sz="0" w:space="0" w:color="auto"/>
            <w:left w:val="none" w:sz="0" w:space="0" w:color="auto"/>
            <w:bottom w:val="none" w:sz="0" w:space="0" w:color="auto"/>
            <w:right w:val="none" w:sz="0" w:space="0" w:color="auto"/>
          </w:divBdr>
        </w:div>
        <w:div w:id="2108118469">
          <w:marLeft w:val="0"/>
          <w:marRight w:val="0"/>
          <w:marTop w:val="0"/>
          <w:marBottom w:val="0"/>
          <w:divBdr>
            <w:top w:val="none" w:sz="0" w:space="0" w:color="auto"/>
            <w:left w:val="none" w:sz="0" w:space="0" w:color="auto"/>
            <w:bottom w:val="none" w:sz="0" w:space="0" w:color="auto"/>
            <w:right w:val="none" w:sz="0" w:space="0" w:color="auto"/>
          </w:divBdr>
        </w:div>
      </w:divsChild>
    </w:div>
    <w:div w:id="386028314">
      <w:bodyDiv w:val="1"/>
      <w:marLeft w:val="0"/>
      <w:marRight w:val="0"/>
      <w:marTop w:val="0"/>
      <w:marBottom w:val="0"/>
      <w:divBdr>
        <w:top w:val="none" w:sz="0" w:space="0" w:color="auto"/>
        <w:left w:val="none" w:sz="0" w:space="0" w:color="auto"/>
        <w:bottom w:val="none" w:sz="0" w:space="0" w:color="auto"/>
        <w:right w:val="none" w:sz="0" w:space="0" w:color="auto"/>
      </w:divBdr>
    </w:div>
    <w:div w:id="526411881">
      <w:bodyDiv w:val="1"/>
      <w:marLeft w:val="0"/>
      <w:marRight w:val="0"/>
      <w:marTop w:val="0"/>
      <w:marBottom w:val="0"/>
      <w:divBdr>
        <w:top w:val="none" w:sz="0" w:space="0" w:color="auto"/>
        <w:left w:val="none" w:sz="0" w:space="0" w:color="auto"/>
        <w:bottom w:val="none" w:sz="0" w:space="0" w:color="auto"/>
        <w:right w:val="none" w:sz="0" w:space="0" w:color="auto"/>
      </w:divBdr>
      <w:divsChild>
        <w:div w:id="80763243">
          <w:marLeft w:val="0"/>
          <w:marRight w:val="0"/>
          <w:marTop w:val="0"/>
          <w:marBottom w:val="0"/>
          <w:divBdr>
            <w:top w:val="none" w:sz="0" w:space="0" w:color="auto"/>
            <w:left w:val="none" w:sz="0" w:space="0" w:color="auto"/>
            <w:bottom w:val="none" w:sz="0" w:space="0" w:color="auto"/>
            <w:right w:val="none" w:sz="0" w:space="0" w:color="auto"/>
          </w:divBdr>
        </w:div>
        <w:div w:id="197939251">
          <w:marLeft w:val="0"/>
          <w:marRight w:val="0"/>
          <w:marTop w:val="0"/>
          <w:marBottom w:val="0"/>
          <w:divBdr>
            <w:top w:val="none" w:sz="0" w:space="0" w:color="auto"/>
            <w:left w:val="none" w:sz="0" w:space="0" w:color="auto"/>
            <w:bottom w:val="none" w:sz="0" w:space="0" w:color="auto"/>
            <w:right w:val="none" w:sz="0" w:space="0" w:color="auto"/>
          </w:divBdr>
        </w:div>
        <w:div w:id="283656331">
          <w:marLeft w:val="0"/>
          <w:marRight w:val="0"/>
          <w:marTop w:val="0"/>
          <w:marBottom w:val="0"/>
          <w:divBdr>
            <w:top w:val="none" w:sz="0" w:space="0" w:color="auto"/>
            <w:left w:val="none" w:sz="0" w:space="0" w:color="auto"/>
            <w:bottom w:val="none" w:sz="0" w:space="0" w:color="auto"/>
            <w:right w:val="none" w:sz="0" w:space="0" w:color="auto"/>
          </w:divBdr>
        </w:div>
        <w:div w:id="429013707">
          <w:marLeft w:val="0"/>
          <w:marRight w:val="0"/>
          <w:marTop w:val="0"/>
          <w:marBottom w:val="0"/>
          <w:divBdr>
            <w:top w:val="none" w:sz="0" w:space="0" w:color="auto"/>
            <w:left w:val="none" w:sz="0" w:space="0" w:color="auto"/>
            <w:bottom w:val="none" w:sz="0" w:space="0" w:color="auto"/>
            <w:right w:val="none" w:sz="0" w:space="0" w:color="auto"/>
          </w:divBdr>
        </w:div>
        <w:div w:id="656037476">
          <w:marLeft w:val="0"/>
          <w:marRight w:val="0"/>
          <w:marTop w:val="0"/>
          <w:marBottom w:val="0"/>
          <w:divBdr>
            <w:top w:val="none" w:sz="0" w:space="0" w:color="auto"/>
            <w:left w:val="none" w:sz="0" w:space="0" w:color="auto"/>
            <w:bottom w:val="none" w:sz="0" w:space="0" w:color="auto"/>
            <w:right w:val="none" w:sz="0" w:space="0" w:color="auto"/>
          </w:divBdr>
        </w:div>
        <w:div w:id="738792743">
          <w:marLeft w:val="0"/>
          <w:marRight w:val="0"/>
          <w:marTop w:val="0"/>
          <w:marBottom w:val="0"/>
          <w:divBdr>
            <w:top w:val="none" w:sz="0" w:space="0" w:color="auto"/>
            <w:left w:val="none" w:sz="0" w:space="0" w:color="auto"/>
            <w:bottom w:val="none" w:sz="0" w:space="0" w:color="auto"/>
            <w:right w:val="none" w:sz="0" w:space="0" w:color="auto"/>
          </w:divBdr>
        </w:div>
        <w:div w:id="768740399">
          <w:marLeft w:val="0"/>
          <w:marRight w:val="0"/>
          <w:marTop w:val="0"/>
          <w:marBottom w:val="0"/>
          <w:divBdr>
            <w:top w:val="none" w:sz="0" w:space="0" w:color="auto"/>
            <w:left w:val="none" w:sz="0" w:space="0" w:color="auto"/>
            <w:bottom w:val="none" w:sz="0" w:space="0" w:color="auto"/>
            <w:right w:val="none" w:sz="0" w:space="0" w:color="auto"/>
          </w:divBdr>
        </w:div>
        <w:div w:id="779571893">
          <w:marLeft w:val="0"/>
          <w:marRight w:val="0"/>
          <w:marTop w:val="0"/>
          <w:marBottom w:val="0"/>
          <w:divBdr>
            <w:top w:val="none" w:sz="0" w:space="0" w:color="auto"/>
            <w:left w:val="none" w:sz="0" w:space="0" w:color="auto"/>
            <w:bottom w:val="none" w:sz="0" w:space="0" w:color="auto"/>
            <w:right w:val="none" w:sz="0" w:space="0" w:color="auto"/>
          </w:divBdr>
        </w:div>
        <w:div w:id="969672031">
          <w:marLeft w:val="0"/>
          <w:marRight w:val="0"/>
          <w:marTop w:val="0"/>
          <w:marBottom w:val="0"/>
          <w:divBdr>
            <w:top w:val="none" w:sz="0" w:space="0" w:color="auto"/>
            <w:left w:val="none" w:sz="0" w:space="0" w:color="auto"/>
            <w:bottom w:val="none" w:sz="0" w:space="0" w:color="auto"/>
            <w:right w:val="none" w:sz="0" w:space="0" w:color="auto"/>
          </w:divBdr>
        </w:div>
        <w:div w:id="1212615295">
          <w:marLeft w:val="0"/>
          <w:marRight w:val="0"/>
          <w:marTop w:val="0"/>
          <w:marBottom w:val="0"/>
          <w:divBdr>
            <w:top w:val="none" w:sz="0" w:space="0" w:color="auto"/>
            <w:left w:val="none" w:sz="0" w:space="0" w:color="auto"/>
            <w:bottom w:val="none" w:sz="0" w:space="0" w:color="auto"/>
            <w:right w:val="none" w:sz="0" w:space="0" w:color="auto"/>
          </w:divBdr>
        </w:div>
        <w:div w:id="1489127744">
          <w:marLeft w:val="0"/>
          <w:marRight w:val="0"/>
          <w:marTop w:val="0"/>
          <w:marBottom w:val="0"/>
          <w:divBdr>
            <w:top w:val="none" w:sz="0" w:space="0" w:color="auto"/>
            <w:left w:val="none" w:sz="0" w:space="0" w:color="auto"/>
            <w:bottom w:val="none" w:sz="0" w:space="0" w:color="auto"/>
            <w:right w:val="none" w:sz="0" w:space="0" w:color="auto"/>
          </w:divBdr>
        </w:div>
        <w:div w:id="1645306553">
          <w:marLeft w:val="0"/>
          <w:marRight w:val="0"/>
          <w:marTop w:val="0"/>
          <w:marBottom w:val="0"/>
          <w:divBdr>
            <w:top w:val="none" w:sz="0" w:space="0" w:color="auto"/>
            <w:left w:val="none" w:sz="0" w:space="0" w:color="auto"/>
            <w:bottom w:val="none" w:sz="0" w:space="0" w:color="auto"/>
            <w:right w:val="none" w:sz="0" w:space="0" w:color="auto"/>
          </w:divBdr>
        </w:div>
        <w:div w:id="1991327873">
          <w:marLeft w:val="0"/>
          <w:marRight w:val="0"/>
          <w:marTop w:val="0"/>
          <w:marBottom w:val="0"/>
          <w:divBdr>
            <w:top w:val="none" w:sz="0" w:space="0" w:color="auto"/>
            <w:left w:val="none" w:sz="0" w:space="0" w:color="auto"/>
            <w:bottom w:val="none" w:sz="0" w:space="0" w:color="auto"/>
            <w:right w:val="none" w:sz="0" w:space="0" w:color="auto"/>
          </w:divBdr>
        </w:div>
      </w:divsChild>
    </w:div>
    <w:div w:id="767046470">
      <w:bodyDiv w:val="1"/>
      <w:marLeft w:val="0"/>
      <w:marRight w:val="0"/>
      <w:marTop w:val="0"/>
      <w:marBottom w:val="0"/>
      <w:divBdr>
        <w:top w:val="none" w:sz="0" w:space="0" w:color="auto"/>
        <w:left w:val="none" w:sz="0" w:space="0" w:color="auto"/>
        <w:bottom w:val="none" w:sz="0" w:space="0" w:color="auto"/>
        <w:right w:val="none" w:sz="0" w:space="0" w:color="auto"/>
      </w:divBdr>
      <w:divsChild>
        <w:div w:id="1931617412">
          <w:marLeft w:val="0"/>
          <w:marRight w:val="0"/>
          <w:marTop w:val="0"/>
          <w:marBottom w:val="0"/>
          <w:divBdr>
            <w:top w:val="none" w:sz="0" w:space="0" w:color="auto"/>
            <w:left w:val="none" w:sz="0" w:space="0" w:color="auto"/>
            <w:bottom w:val="none" w:sz="0" w:space="0" w:color="auto"/>
            <w:right w:val="none" w:sz="0" w:space="0" w:color="auto"/>
          </w:divBdr>
        </w:div>
        <w:div w:id="1842622592">
          <w:marLeft w:val="0"/>
          <w:marRight w:val="0"/>
          <w:marTop w:val="0"/>
          <w:marBottom w:val="0"/>
          <w:divBdr>
            <w:top w:val="none" w:sz="0" w:space="0" w:color="auto"/>
            <w:left w:val="none" w:sz="0" w:space="0" w:color="auto"/>
            <w:bottom w:val="none" w:sz="0" w:space="0" w:color="auto"/>
            <w:right w:val="none" w:sz="0" w:space="0" w:color="auto"/>
          </w:divBdr>
        </w:div>
        <w:div w:id="953830179">
          <w:marLeft w:val="0"/>
          <w:marRight w:val="0"/>
          <w:marTop w:val="0"/>
          <w:marBottom w:val="0"/>
          <w:divBdr>
            <w:top w:val="none" w:sz="0" w:space="0" w:color="auto"/>
            <w:left w:val="none" w:sz="0" w:space="0" w:color="auto"/>
            <w:bottom w:val="none" w:sz="0" w:space="0" w:color="auto"/>
            <w:right w:val="none" w:sz="0" w:space="0" w:color="auto"/>
          </w:divBdr>
        </w:div>
      </w:divsChild>
    </w:div>
    <w:div w:id="807750371">
      <w:bodyDiv w:val="1"/>
      <w:marLeft w:val="0"/>
      <w:marRight w:val="0"/>
      <w:marTop w:val="0"/>
      <w:marBottom w:val="0"/>
      <w:divBdr>
        <w:top w:val="none" w:sz="0" w:space="0" w:color="auto"/>
        <w:left w:val="none" w:sz="0" w:space="0" w:color="auto"/>
        <w:bottom w:val="none" w:sz="0" w:space="0" w:color="auto"/>
        <w:right w:val="none" w:sz="0" w:space="0" w:color="auto"/>
      </w:divBdr>
      <w:divsChild>
        <w:div w:id="429620685">
          <w:marLeft w:val="0"/>
          <w:marRight w:val="0"/>
          <w:marTop w:val="0"/>
          <w:marBottom w:val="0"/>
          <w:divBdr>
            <w:top w:val="none" w:sz="0" w:space="0" w:color="auto"/>
            <w:left w:val="none" w:sz="0" w:space="0" w:color="auto"/>
            <w:bottom w:val="none" w:sz="0" w:space="0" w:color="auto"/>
            <w:right w:val="none" w:sz="0" w:space="0" w:color="auto"/>
          </w:divBdr>
        </w:div>
        <w:div w:id="1041129748">
          <w:marLeft w:val="0"/>
          <w:marRight w:val="0"/>
          <w:marTop w:val="0"/>
          <w:marBottom w:val="0"/>
          <w:divBdr>
            <w:top w:val="none" w:sz="0" w:space="0" w:color="auto"/>
            <w:left w:val="none" w:sz="0" w:space="0" w:color="auto"/>
            <w:bottom w:val="none" w:sz="0" w:space="0" w:color="auto"/>
            <w:right w:val="none" w:sz="0" w:space="0" w:color="auto"/>
          </w:divBdr>
        </w:div>
        <w:div w:id="1880360404">
          <w:marLeft w:val="0"/>
          <w:marRight w:val="0"/>
          <w:marTop w:val="0"/>
          <w:marBottom w:val="0"/>
          <w:divBdr>
            <w:top w:val="none" w:sz="0" w:space="0" w:color="auto"/>
            <w:left w:val="none" w:sz="0" w:space="0" w:color="auto"/>
            <w:bottom w:val="none" w:sz="0" w:space="0" w:color="auto"/>
            <w:right w:val="none" w:sz="0" w:space="0" w:color="auto"/>
          </w:divBdr>
        </w:div>
      </w:divsChild>
    </w:div>
    <w:div w:id="858738850">
      <w:bodyDiv w:val="1"/>
      <w:marLeft w:val="0"/>
      <w:marRight w:val="0"/>
      <w:marTop w:val="0"/>
      <w:marBottom w:val="0"/>
      <w:divBdr>
        <w:top w:val="none" w:sz="0" w:space="0" w:color="auto"/>
        <w:left w:val="none" w:sz="0" w:space="0" w:color="auto"/>
        <w:bottom w:val="none" w:sz="0" w:space="0" w:color="auto"/>
        <w:right w:val="none" w:sz="0" w:space="0" w:color="auto"/>
      </w:divBdr>
      <w:divsChild>
        <w:div w:id="1176723537">
          <w:marLeft w:val="0"/>
          <w:marRight w:val="0"/>
          <w:marTop w:val="210"/>
          <w:marBottom w:val="0"/>
          <w:divBdr>
            <w:top w:val="none" w:sz="0" w:space="0" w:color="auto"/>
            <w:left w:val="none" w:sz="0" w:space="0" w:color="auto"/>
            <w:bottom w:val="none" w:sz="0" w:space="0" w:color="auto"/>
            <w:right w:val="none" w:sz="0" w:space="0" w:color="auto"/>
          </w:divBdr>
        </w:div>
        <w:div w:id="1886719936">
          <w:marLeft w:val="0"/>
          <w:marRight w:val="0"/>
          <w:marTop w:val="135"/>
          <w:marBottom w:val="0"/>
          <w:divBdr>
            <w:top w:val="none" w:sz="0" w:space="0" w:color="auto"/>
            <w:left w:val="none" w:sz="0" w:space="0" w:color="auto"/>
            <w:bottom w:val="none" w:sz="0" w:space="0" w:color="auto"/>
            <w:right w:val="none" w:sz="0" w:space="0" w:color="auto"/>
          </w:divBdr>
        </w:div>
      </w:divsChild>
    </w:div>
    <w:div w:id="1029374757">
      <w:bodyDiv w:val="1"/>
      <w:marLeft w:val="0"/>
      <w:marRight w:val="0"/>
      <w:marTop w:val="0"/>
      <w:marBottom w:val="0"/>
      <w:divBdr>
        <w:top w:val="none" w:sz="0" w:space="0" w:color="auto"/>
        <w:left w:val="none" w:sz="0" w:space="0" w:color="auto"/>
        <w:bottom w:val="none" w:sz="0" w:space="0" w:color="auto"/>
        <w:right w:val="none" w:sz="0" w:space="0" w:color="auto"/>
      </w:divBdr>
      <w:divsChild>
        <w:div w:id="161703468">
          <w:marLeft w:val="0"/>
          <w:marRight w:val="0"/>
          <w:marTop w:val="0"/>
          <w:marBottom w:val="0"/>
          <w:divBdr>
            <w:top w:val="none" w:sz="0" w:space="0" w:color="auto"/>
            <w:left w:val="none" w:sz="0" w:space="0" w:color="auto"/>
            <w:bottom w:val="none" w:sz="0" w:space="0" w:color="auto"/>
            <w:right w:val="none" w:sz="0" w:space="0" w:color="auto"/>
          </w:divBdr>
        </w:div>
        <w:div w:id="1003434456">
          <w:marLeft w:val="0"/>
          <w:marRight w:val="0"/>
          <w:marTop w:val="0"/>
          <w:marBottom w:val="0"/>
          <w:divBdr>
            <w:top w:val="none" w:sz="0" w:space="0" w:color="auto"/>
            <w:left w:val="none" w:sz="0" w:space="0" w:color="auto"/>
            <w:bottom w:val="none" w:sz="0" w:space="0" w:color="auto"/>
            <w:right w:val="none" w:sz="0" w:space="0" w:color="auto"/>
          </w:divBdr>
        </w:div>
        <w:div w:id="1223753933">
          <w:marLeft w:val="0"/>
          <w:marRight w:val="0"/>
          <w:marTop w:val="0"/>
          <w:marBottom w:val="0"/>
          <w:divBdr>
            <w:top w:val="none" w:sz="0" w:space="0" w:color="auto"/>
            <w:left w:val="none" w:sz="0" w:space="0" w:color="auto"/>
            <w:bottom w:val="none" w:sz="0" w:space="0" w:color="auto"/>
            <w:right w:val="none" w:sz="0" w:space="0" w:color="auto"/>
          </w:divBdr>
        </w:div>
      </w:divsChild>
    </w:div>
    <w:div w:id="1098985566">
      <w:bodyDiv w:val="1"/>
      <w:marLeft w:val="0"/>
      <w:marRight w:val="0"/>
      <w:marTop w:val="0"/>
      <w:marBottom w:val="0"/>
      <w:divBdr>
        <w:top w:val="none" w:sz="0" w:space="0" w:color="auto"/>
        <w:left w:val="none" w:sz="0" w:space="0" w:color="auto"/>
        <w:bottom w:val="none" w:sz="0" w:space="0" w:color="auto"/>
        <w:right w:val="none" w:sz="0" w:space="0" w:color="auto"/>
      </w:divBdr>
    </w:div>
    <w:div w:id="1102457951">
      <w:bodyDiv w:val="1"/>
      <w:marLeft w:val="0"/>
      <w:marRight w:val="0"/>
      <w:marTop w:val="0"/>
      <w:marBottom w:val="0"/>
      <w:divBdr>
        <w:top w:val="none" w:sz="0" w:space="0" w:color="auto"/>
        <w:left w:val="none" w:sz="0" w:space="0" w:color="auto"/>
        <w:bottom w:val="none" w:sz="0" w:space="0" w:color="auto"/>
        <w:right w:val="none" w:sz="0" w:space="0" w:color="auto"/>
      </w:divBdr>
      <w:divsChild>
        <w:div w:id="1887183080">
          <w:marLeft w:val="0"/>
          <w:marRight w:val="0"/>
          <w:marTop w:val="0"/>
          <w:marBottom w:val="0"/>
          <w:divBdr>
            <w:top w:val="none" w:sz="0" w:space="0" w:color="auto"/>
            <w:left w:val="none" w:sz="0" w:space="0" w:color="auto"/>
            <w:bottom w:val="none" w:sz="0" w:space="0" w:color="auto"/>
            <w:right w:val="none" w:sz="0" w:space="0" w:color="auto"/>
          </w:divBdr>
        </w:div>
        <w:div w:id="1803383930">
          <w:marLeft w:val="0"/>
          <w:marRight w:val="0"/>
          <w:marTop w:val="0"/>
          <w:marBottom w:val="0"/>
          <w:divBdr>
            <w:top w:val="none" w:sz="0" w:space="0" w:color="auto"/>
            <w:left w:val="none" w:sz="0" w:space="0" w:color="auto"/>
            <w:bottom w:val="none" w:sz="0" w:space="0" w:color="auto"/>
            <w:right w:val="none" w:sz="0" w:space="0" w:color="auto"/>
          </w:divBdr>
        </w:div>
        <w:div w:id="660279582">
          <w:marLeft w:val="0"/>
          <w:marRight w:val="0"/>
          <w:marTop w:val="0"/>
          <w:marBottom w:val="0"/>
          <w:divBdr>
            <w:top w:val="none" w:sz="0" w:space="0" w:color="auto"/>
            <w:left w:val="none" w:sz="0" w:space="0" w:color="auto"/>
            <w:bottom w:val="none" w:sz="0" w:space="0" w:color="auto"/>
            <w:right w:val="none" w:sz="0" w:space="0" w:color="auto"/>
          </w:divBdr>
        </w:div>
      </w:divsChild>
    </w:div>
    <w:div w:id="1107196987">
      <w:bodyDiv w:val="1"/>
      <w:marLeft w:val="0"/>
      <w:marRight w:val="0"/>
      <w:marTop w:val="0"/>
      <w:marBottom w:val="0"/>
      <w:divBdr>
        <w:top w:val="none" w:sz="0" w:space="0" w:color="auto"/>
        <w:left w:val="none" w:sz="0" w:space="0" w:color="auto"/>
        <w:bottom w:val="none" w:sz="0" w:space="0" w:color="auto"/>
        <w:right w:val="none" w:sz="0" w:space="0" w:color="auto"/>
      </w:divBdr>
      <w:divsChild>
        <w:div w:id="857618082">
          <w:marLeft w:val="0"/>
          <w:marRight w:val="0"/>
          <w:marTop w:val="0"/>
          <w:marBottom w:val="0"/>
          <w:divBdr>
            <w:top w:val="none" w:sz="0" w:space="0" w:color="auto"/>
            <w:left w:val="none" w:sz="0" w:space="0" w:color="auto"/>
            <w:bottom w:val="none" w:sz="0" w:space="0" w:color="auto"/>
            <w:right w:val="none" w:sz="0" w:space="0" w:color="auto"/>
          </w:divBdr>
        </w:div>
        <w:div w:id="1926496698">
          <w:marLeft w:val="0"/>
          <w:marRight w:val="0"/>
          <w:marTop w:val="0"/>
          <w:marBottom w:val="0"/>
          <w:divBdr>
            <w:top w:val="none" w:sz="0" w:space="0" w:color="auto"/>
            <w:left w:val="none" w:sz="0" w:space="0" w:color="auto"/>
            <w:bottom w:val="none" w:sz="0" w:space="0" w:color="auto"/>
            <w:right w:val="none" w:sz="0" w:space="0" w:color="auto"/>
          </w:divBdr>
        </w:div>
        <w:div w:id="1399207204">
          <w:marLeft w:val="0"/>
          <w:marRight w:val="0"/>
          <w:marTop w:val="0"/>
          <w:marBottom w:val="0"/>
          <w:divBdr>
            <w:top w:val="none" w:sz="0" w:space="0" w:color="auto"/>
            <w:left w:val="none" w:sz="0" w:space="0" w:color="auto"/>
            <w:bottom w:val="none" w:sz="0" w:space="0" w:color="auto"/>
            <w:right w:val="none" w:sz="0" w:space="0" w:color="auto"/>
          </w:divBdr>
        </w:div>
      </w:divsChild>
    </w:div>
    <w:div w:id="1140806875">
      <w:bodyDiv w:val="1"/>
      <w:marLeft w:val="0"/>
      <w:marRight w:val="0"/>
      <w:marTop w:val="0"/>
      <w:marBottom w:val="0"/>
      <w:divBdr>
        <w:top w:val="none" w:sz="0" w:space="0" w:color="auto"/>
        <w:left w:val="none" w:sz="0" w:space="0" w:color="auto"/>
        <w:bottom w:val="none" w:sz="0" w:space="0" w:color="auto"/>
        <w:right w:val="none" w:sz="0" w:space="0" w:color="auto"/>
      </w:divBdr>
    </w:div>
    <w:div w:id="1149596673">
      <w:bodyDiv w:val="1"/>
      <w:marLeft w:val="0"/>
      <w:marRight w:val="0"/>
      <w:marTop w:val="0"/>
      <w:marBottom w:val="0"/>
      <w:divBdr>
        <w:top w:val="none" w:sz="0" w:space="0" w:color="auto"/>
        <w:left w:val="none" w:sz="0" w:space="0" w:color="auto"/>
        <w:bottom w:val="none" w:sz="0" w:space="0" w:color="auto"/>
        <w:right w:val="none" w:sz="0" w:space="0" w:color="auto"/>
      </w:divBdr>
      <w:divsChild>
        <w:div w:id="1622684872">
          <w:marLeft w:val="0"/>
          <w:marRight w:val="0"/>
          <w:marTop w:val="0"/>
          <w:marBottom w:val="0"/>
          <w:divBdr>
            <w:top w:val="none" w:sz="0" w:space="0" w:color="auto"/>
            <w:left w:val="none" w:sz="0" w:space="0" w:color="auto"/>
            <w:bottom w:val="none" w:sz="0" w:space="0" w:color="auto"/>
            <w:right w:val="none" w:sz="0" w:space="0" w:color="auto"/>
          </w:divBdr>
        </w:div>
        <w:div w:id="1871916261">
          <w:marLeft w:val="0"/>
          <w:marRight w:val="0"/>
          <w:marTop w:val="0"/>
          <w:marBottom w:val="0"/>
          <w:divBdr>
            <w:top w:val="none" w:sz="0" w:space="0" w:color="auto"/>
            <w:left w:val="none" w:sz="0" w:space="0" w:color="auto"/>
            <w:bottom w:val="none" w:sz="0" w:space="0" w:color="auto"/>
            <w:right w:val="none" w:sz="0" w:space="0" w:color="auto"/>
          </w:divBdr>
        </w:div>
        <w:div w:id="1759013172">
          <w:marLeft w:val="0"/>
          <w:marRight w:val="0"/>
          <w:marTop w:val="0"/>
          <w:marBottom w:val="0"/>
          <w:divBdr>
            <w:top w:val="none" w:sz="0" w:space="0" w:color="auto"/>
            <w:left w:val="none" w:sz="0" w:space="0" w:color="auto"/>
            <w:bottom w:val="none" w:sz="0" w:space="0" w:color="auto"/>
            <w:right w:val="none" w:sz="0" w:space="0" w:color="auto"/>
          </w:divBdr>
        </w:div>
        <w:div w:id="199130562">
          <w:marLeft w:val="0"/>
          <w:marRight w:val="0"/>
          <w:marTop w:val="0"/>
          <w:marBottom w:val="0"/>
          <w:divBdr>
            <w:top w:val="none" w:sz="0" w:space="0" w:color="auto"/>
            <w:left w:val="none" w:sz="0" w:space="0" w:color="auto"/>
            <w:bottom w:val="none" w:sz="0" w:space="0" w:color="auto"/>
            <w:right w:val="none" w:sz="0" w:space="0" w:color="auto"/>
          </w:divBdr>
        </w:div>
        <w:div w:id="960037525">
          <w:marLeft w:val="0"/>
          <w:marRight w:val="0"/>
          <w:marTop w:val="0"/>
          <w:marBottom w:val="0"/>
          <w:divBdr>
            <w:top w:val="none" w:sz="0" w:space="0" w:color="auto"/>
            <w:left w:val="none" w:sz="0" w:space="0" w:color="auto"/>
            <w:bottom w:val="none" w:sz="0" w:space="0" w:color="auto"/>
            <w:right w:val="none" w:sz="0" w:space="0" w:color="auto"/>
          </w:divBdr>
        </w:div>
        <w:div w:id="67313511">
          <w:marLeft w:val="0"/>
          <w:marRight w:val="0"/>
          <w:marTop w:val="0"/>
          <w:marBottom w:val="0"/>
          <w:divBdr>
            <w:top w:val="none" w:sz="0" w:space="0" w:color="auto"/>
            <w:left w:val="none" w:sz="0" w:space="0" w:color="auto"/>
            <w:bottom w:val="none" w:sz="0" w:space="0" w:color="auto"/>
            <w:right w:val="none" w:sz="0" w:space="0" w:color="auto"/>
          </w:divBdr>
        </w:div>
      </w:divsChild>
    </w:div>
    <w:div w:id="1386488374">
      <w:bodyDiv w:val="1"/>
      <w:marLeft w:val="0"/>
      <w:marRight w:val="0"/>
      <w:marTop w:val="0"/>
      <w:marBottom w:val="0"/>
      <w:divBdr>
        <w:top w:val="none" w:sz="0" w:space="0" w:color="auto"/>
        <w:left w:val="none" w:sz="0" w:space="0" w:color="auto"/>
        <w:bottom w:val="none" w:sz="0" w:space="0" w:color="auto"/>
        <w:right w:val="none" w:sz="0" w:space="0" w:color="auto"/>
      </w:divBdr>
      <w:divsChild>
        <w:div w:id="1657611522">
          <w:marLeft w:val="0"/>
          <w:marRight w:val="0"/>
          <w:marTop w:val="0"/>
          <w:marBottom w:val="0"/>
          <w:divBdr>
            <w:top w:val="none" w:sz="0" w:space="0" w:color="auto"/>
            <w:left w:val="none" w:sz="0" w:space="0" w:color="auto"/>
            <w:bottom w:val="none" w:sz="0" w:space="0" w:color="auto"/>
            <w:right w:val="none" w:sz="0" w:space="0" w:color="auto"/>
          </w:divBdr>
        </w:div>
        <w:div w:id="1195000292">
          <w:marLeft w:val="0"/>
          <w:marRight w:val="0"/>
          <w:marTop w:val="0"/>
          <w:marBottom w:val="0"/>
          <w:divBdr>
            <w:top w:val="none" w:sz="0" w:space="0" w:color="auto"/>
            <w:left w:val="none" w:sz="0" w:space="0" w:color="auto"/>
            <w:bottom w:val="none" w:sz="0" w:space="0" w:color="auto"/>
            <w:right w:val="none" w:sz="0" w:space="0" w:color="auto"/>
          </w:divBdr>
        </w:div>
        <w:div w:id="1633515546">
          <w:marLeft w:val="0"/>
          <w:marRight w:val="0"/>
          <w:marTop w:val="0"/>
          <w:marBottom w:val="0"/>
          <w:divBdr>
            <w:top w:val="none" w:sz="0" w:space="0" w:color="auto"/>
            <w:left w:val="none" w:sz="0" w:space="0" w:color="auto"/>
            <w:bottom w:val="none" w:sz="0" w:space="0" w:color="auto"/>
            <w:right w:val="none" w:sz="0" w:space="0" w:color="auto"/>
          </w:divBdr>
        </w:div>
        <w:div w:id="573440316">
          <w:marLeft w:val="0"/>
          <w:marRight w:val="0"/>
          <w:marTop w:val="0"/>
          <w:marBottom w:val="0"/>
          <w:divBdr>
            <w:top w:val="none" w:sz="0" w:space="0" w:color="auto"/>
            <w:left w:val="none" w:sz="0" w:space="0" w:color="auto"/>
            <w:bottom w:val="none" w:sz="0" w:space="0" w:color="auto"/>
            <w:right w:val="none" w:sz="0" w:space="0" w:color="auto"/>
          </w:divBdr>
        </w:div>
        <w:div w:id="1957520583">
          <w:marLeft w:val="0"/>
          <w:marRight w:val="0"/>
          <w:marTop w:val="0"/>
          <w:marBottom w:val="0"/>
          <w:divBdr>
            <w:top w:val="none" w:sz="0" w:space="0" w:color="auto"/>
            <w:left w:val="none" w:sz="0" w:space="0" w:color="auto"/>
            <w:bottom w:val="none" w:sz="0" w:space="0" w:color="auto"/>
            <w:right w:val="none" w:sz="0" w:space="0" w:color="auto"/>
          </w:divBdr>
        </w:div>
        <w:div w:id="1403485476">
          <w:marLeft w:val="0"/>
          <w:marRight w:val="0"/>
          <w:marTop w:val="0"/>
          <w:marBottom w:val="0"/>
          <w:divBdr>
            <w:top w:val="none" w:sz="0" w:space="0" w:color="auto"/>
            <w:left w:val="none" w:sz="0" w:space="0" w:color="auto"/>
            <w:bottom w:val="none" w:sz="0" w:space="0" w:color="auto"/>
            <w:right w:val="none" w:sz="0" w:space="0" w:color="auto"/>
          </w:divBdr>
        </w:div>
        <w:div w:id="2094664584">
          <w:marLeft w:val="0"/>
          <w:marRight w:val="0"/>
          <w:marTop w:val="0"/>
          <w:marBottom w:val="0"/>
          <w:divBdr>
            <w:top w:val="none" w:sz="0" w:space="0" w:color="auto"/>
            <w:left w:val="none" w:sz="0" w:space="0" w:color="auto"/>
            <w:bottom w:val="none" w:sz="0" w:space="0" w:color="auto"/>
            <w:right w:val="none" w:sz="0" w:space="0" w:color="auto"/>
          </w:divBdr>
        </w:div>
        <w:div w:id="1579248407">
          <w:marLeft w:val="0"/>
          <w:marRight w:val="0"/>
          <w:marTop w:val="240"/>
          <w:marBottom w:val="0"/>
          <w:divBdr>
            <w:top w:val="none" w:sz="0" w:space="0" w:color="auto"/>
            <w:left w:val="none" w:sz="0" w:space="0" w:color="auto"/>
            <w:bottom w:val="none" w:sz="0" w:space="0" w:color="auto"/>
            <w:right w:val="none" w:sz="0" w:space="0" w:color="auto"/>
          </w:divBdr>
        </w:div>
        <w:div w:id="66345610">
          <w:marLeft w:val="0"/>
          <w:marRight w:val="0"/>
          <w:marTop w:val="0"/>
          <w:marBottom w:val="0"/>
          <w:divBdr>
            <w:top w:val="none" w:sz="0" w:space="0" w:color="auto"/>
            <w:left w:val="none" w:sz="0" w:space="0" w:color="auto"/>
            <w:bottom w:val="none" w:sz="0" w:space="0" w:color="auto"/>
            <w:right w:val="none" w:sz="0" w:space="0" w:color="auto"/>
          </w:divBdr>
        </w:div>
        <w:div w:id="1899592214">
          <w:marLeft w:val="0"/>
          <w:marRight w:val="0"/>
          <w:marTop w:val="0"/>
          <w:marBottom w:val="0"/>
          <w:divBdr>
            <w:top w:val="none" w:sz="0" w:space="0" w:color="auto"/>
            <w:left w:val="none" w:sz="0" w:space="0" w:color="auto"/>
            <w:bottom w:val="none" w:sz="0" w:space="0" w:color="auto"/>
            <w:right w:val="none" w:sz="0" w:space="0" w:color="auto"/>
          </w:divBdr>
        </w:div>
        <w:div w:id="1160851369">
          <w:marLeft w:val="0"/>
          <w:marRight w:val="0"/>
          <w:marTop w:val="0"/>
          <w:marBottom w:val="0"/>
          <w:divBdr>
            <w:top w:val="none" w:sz="0" w:space="0" w:color="auto"/>
            <w:left w:val="none" w:sz="0" w:space="0" w:color="auto"/>
            <w:bottom w:val="none" w:sz="0" w:space="0" w:color="auto"/>
            <w:right w:val="none" w:sz="0" w:space="0" w:color="auto"/>
          </w:divBdr>
        </w:div>
        <w:div w:id="54353817">
          <w:marLeft w:val="0"/>
          <w:marRight w:val="0"/>
          <w:marTop w:val="0"/>
          <w:marBottom w:val="0"/>
          <w:divBdr>
            <w:top w:val="none" w:sz="0" w:space="0" w:color="auto"/>
            <w:left w:val="none" w:sz="0" w:space="0" w:color="auto"/>
            <w:bottom w:val="none" w:sz="0" w:space="0" w:color="auto"/>
            <w:right w:val="none" w:sz="0" w:space="0" w:color="auto"/>
          </w:divBdr>
        </w:div>
        <w:div w:id="409891899">
          <w:marLeft w:val="0"/>
          <w:marRight w:val="0"/>
          <w:marTop w:val="0"/>
          <w:marBottom w:val="0"/>
          <w:divBdr>
            <w:top w:val="none" w:sz="0" w:space="0" w:color="auto"/>
            <w:left w:val="none" w:sz="0" w:space="0" w:color="auto"/>
            <w:bottom w:val="none" w:sz="0" w:space="0" w:color="auto"/>
            <w:right w:val="none" w:sz="0" w:space="0" w:color="auto"/>
          </w:divBdr>
        </w:div>
        <w:div w:id="887258432">
          <w:marLeft w:val="0"/>
          <w:marRight w:val="0"/>
          <w:marTop w:val="0"/>
          <w:marBottom w:val="0"/>
          <w:divBdr>
            <w:top w:val="none" w:sz="0" w:space="0" w:color="auto"/>
            <w:left w:val="none" w:sz="0" w:space="0" w:color="auto"/>
            <w:bottom w:val="none" w:sz="0" w:space="0" w:color="auto"/>
            <w:right w:val="none" w:sz="0" w:space="0" w:color="auto"/>
          </w:divBdr>
        </w:div>
        <w:div w:id="762724687">
          <w:marLeft w:val="0"/>
          <w:marRight w:val="0"/>
          <w:marTop w:val="0"/>
          <w:marBottom w:val="0"/>
          <w:divBdr>
            <w:top w:val="none" w:sz="0" w:space="0" w:color="auto"/>
            <w:left w:val="none" w:sz="0" w:space="0" w:color="auto"/>
            <w:bottom w:val="none" w:sz="0" w:space="0" w:color="auto"/>
            <w:right w:val="none" w:sz="0" w:space="0" w:color="auto"/>
          </w:divBdr>
        </w:div>
        <w:div w:id="388310920">
          <w:marLeft w:val="0"/>
          <w:marRight w:val="0"/>
          <w:marTop w:val="0"/>
          <w:marBottom w:val="0"/>
          <w:divBdr>
            <w:top w:val="none" w:sz="0" w:space="0" w:color="auto"/>
            <w:left w:val="none" w:sz="0" w:space="0" w:color="auto"/>
            <w:bottom w:val="none" w:sz="0" w:space="0" w:color="auto"/>
            <w:right w:val="none" w:sz="0" w:space="0" w:color="auto"/>
          </w:divBdr>
        </w:div>
        <w:div w:id="251744270">
          <w:marLeft w:val="0"/>
          <w:marRight w:val="0"/>
          <w:marTop w:val="0"/>
          <w:marBottom w:val="0"/>
          <w:divBdr>
            <w:top w:val="none" w:sz="0" w:space="0" w:color="auto"/>
            <w:left w:val="none" w:sz="0" w:space="0" w:color="auto"/>
            <w:bottom w:val="none" w:sz="0" w:space="0" w:color="auto"/>
            <w:right w:val="none" w:sz="0" w:space="0" w:color="auto"/>
          </w:divBdr>
        </w:div>
        <w:div w:id="1448739297">
          <w:marLeft w:val="0"/>
          <w:marRight w:val="0"/>
          <w:marTop w:val="0"/>
          <w:marBottom w:val="0"/>
          <w:divBdr>
            <w:top w:val="none" w:sz="0" w:space="0" w:color="auto"/>
            <w:left w:val="none" w:sz="0" w:space="0" w:color="auto"/>
            <w:bottom w:val="none" w:sz="0" w:space="0" w:color="auto"/>
            <w:right w:val="none" w:sz="0" w:space="0" w:color="auto"/>
          </w:divBdr>
        </w:div>
        <w:div w:id="438912689">
          <w:marLeft w:val="0"/>
          <w:marRight w:val="0"/>
          <w:marTop w:val="0"/>
          <w:marBottom w:val="0"/>
          <w:divBdr>
            <w:top w:val="none" w:sz="0" w:space="0" w:color="auto"/>
            <w:left w:val="none" w:sz="0" w:space="0" w:color="auto"/>
            <w:bottom w:val="none" w:sz="0" w:space="0" w:color="auto"/>
            <w:right w:val="none" w:sz="0" w:space="0" w:color="auto"/>
          </w:divBdr>
        </w:div>
        <w:div w:id="508905522">
          <w:marLeft w:val="0"/>
          <w:marRight w:val="0"/>
          <w:marTop w:val="0"/>
          <w:marBottom w:val="0"/>
          <w:divBdr>
            <w:top w:val="none" w:sz="0" w:space="0" w:color="auto"/>
            <w:left w:val="none" w:sz="0" w:space="0" w:color="auto"/>
            <w:bottom w:val="none" w:sz="0" w:space="0" w:color="auto"/>
            <w:right w:val="none" w:sz="0" w:space="0" w:color="auto"/>
          </w:divBdr>
        </w:div>
        <w:div w:id="1228570521">
          <w:marLeft w:val="0"/>
          <w:marRight w:val="0"/>
          <w:marTop w:val="0"/>
          <w:marBottom w:val="0"/>
          <w:divBdr>
            <w:top w:val="none" w:sz="0" w:space="0" w:color="auto"/>
            <w:left w:val="none" w:sz="0" w:space="0" w:color="auto"/>
            <w:bottom w:val="none" w:sz="0" w:space="0" w:color="auto"/>
            <w:right w:val="none" w:sz="0" w:space="0" w:color="auto"/>
          </w:divBdr>
        </w:div>
        <w:div w:id="1057247238">
          <w:marLeft w:val="0"/>
          <w:marRight w:val="0"/>
          <w:marTop w:val="240"/>
          <w:marBottom w:val="0"/>
          <w:divBdr>
            <w:top w:val="none" w:sz="0" w:space="0" w:color="auto"/>
            <w:left w:val="none" w:sz="0" w:space="0" w:color="auto"/>
            <w:bottom w:val="none" w:sz="0" w:space="0" w:color="auto"/>
            <w:right w:val="none" w:sz="0" w:space="0" w:color="auto"/>
          </w:divBdr>
        </w:div>
        <w:div w:id="566766400">
          <w:marLeft w:val="0"/>
          <w:marRight w:val="0"/>
          <w:marTop w:val="0"/>
          <w:marBottom w:val="0"/>
          <w:divBdr>
            <w:top w:val="none" w:sz="0" w:space="0" w:color="auto"/>
            <w:left w:val="none" w:sz="0" w:space="0" w:color="auto"/>
            <w:bottom w:val="none" w:sz="0" w:space="0" w:color="auto"/>
            <w:right w:val="none" w:sz="0" w:space="0" w:color="auto"/>
          </w:divBdr>
        </w:div>
        <w:div w:id="1525823715">
          <w:marLeft w:val="0"/>
          <w:marRight w:val="0"/>
          <w:marTop w:val="240"/>
          <w:marBottom w:val="0"/>
          <w:divBdr>
            <w:top w:val="none" w:sz="0" w:space="0" w:color="auto"/>
            <w:left w:val="none" w:sz="0" w:space="0" w:color="auto"/>
            <w:bottom w:val="none" w:sz="0" w:space="0" w:color="auto"/>
            <w:right w:val="none" w:sz="0" w:space="0" w:color="auto"/>
          </w:divBdr>
        </w:div>
        <w:div w:id="1978878434">
          <w:marLeft w:val="0"/>
          <w:marRight w:val="0"/>
          <w:marTop w:val="0"/>
          <w:marBottom w:val="0"/>
          <w:divBdr>
            <w:top w:val="none" w:sz="0" w:space="0" w:color="auto"/>
            <w:left w:val="none" w:sz="0" w:space="0" w:color="auto"/>
            <w:bottom w:val="none" w:sz="0" w:space="0" w:color="auto"/>
            <w:right w:val="none" w:sz="0" w:space="0" w:color="auto"/>
          </w:divBdr>
        </w:div>
        <w:div w:id="15739445">
          <w:marLeft w:val="0"/>
          <w:marRight w:val="0"/>
          <w:marTop w:val="0"/>
          <w:marBottom w:val="0"/>
          <w:divBdr>
            <w:top w:val="none" w:sz="0" w:space="0" w:color="auto"/>
            <w:left w:val="none" w:sz="0" w:space="0" w:color="auto"/>
            <w:bottom w:val="none" w:sz="0" w:space="0" w:color="auto"/>
            <w:right w:val="none" w:sz="0" w:space="0" w:color="auto"/>
          </w:divBdr>
        </w:div>
        <w:div w:id="1249265384">
          <w:marLeft w:val="0"/>
          <w:marRight w:val="0"/>
          <w:marTop w:val="240"/>
          <w:marBottom w:val="0"/>
          <w:divBdr>
            <w:top w:val="none" w:sz="0" w:space="0" w:color="auto"/>
            <w:left w:val="none" w:sz="0" w:space="0" w:color="auto"/>
            <w:bottom w:val="none" w:sz="0" w:space="0" w:color="auto"/>
            <w:right w:val="none" w:sz="0" w:space="0" w:color="auto"/>
          </w:divBdr>
        </w:div>
        <w:div w:id="1022590179">
          <w:marLeft w:val="0"/>
          <w:marRight w:val="0"/>
          <w:marTop w:val="0"/>
          <w:marBottom w:val="0"/>
          <w:divBdr>
            <w:top w:val="none" w:sz="0" w:space="0" w:color="auto"/>
            <w:left w:val="none" w:sz="0" w:space="0" w:color="auto"/>
            <w:bottom w:val="none" w:sz="0" w:space="0" w:color="auto"/>
            <w:right w:val="none" w:sz="0" w:space="0" w:color="auto"/>
          </w:divBdr>
        </w:div>
        <w:div w:id="1117722814">
          <w:marLeft w:val="0"/>
          <w:marRight w:val="0"/>
          <w:marTop w:val="0"/>
          <w:marBottom w:val="0"/>
          <w:divBdr>
            <w:top w:val="none" w:sz="0" w:space="0" w:color="auto"/>
            <w:left w:val="none" w:sz="0" w:space="0" w:color="auto"/>
            <w:bottom w:val="none" w:sz="0" w:space="0" w:color="auto"/>
            <w:right w:val="none" w:sz="0" w:space="0" w:color="auto"/>
          </w:divBdr>
        </w:div>
        <w:div w:id="1320772861">
          <w:marLeft w:val="0"/>
          <w:marRight w:val="0"/>
          <w:marTop w:val="0"/>
          <w:marBottom w:val="0"/>
          <w:divBdr>
            <w:top w:val="none" w:sz="0" w:space="0" w:color="auto"/>
            <w:left w:val="none" w:sz="0" w:space="0" w:color="auto"/>
            <w:bottom w:val="none" w:sz="0" w:space="0" w:color="auto"/>
            <w:right w:val="none" w:sz="0" w:space="0" w:color="auto"/>
          </w:divBdr>
        </w:div>
        <w:div w:id="1731033465">
          <w:marLeft w:val="0"/>
          <w:marRight w:val="0"/>
          <w:marTop w:val="0"/>
          <w:marBottom w:val="0"/>
          <w:divBdr>
            <w:top w:val="none" w:sz="0" w:space="0" w:color="auto"/>
            <w:left w:val="none" w:sz="0" w:space="0" w:color="auto"/>
            <w:bottom w:val="none" w:sz="0" w:space="0" w:color="auto"/>
            <w:right w:val="none" w:sz="0" w:space="0" w:color="auto"/>
          </w:divBdr>
        </w:div>
        <w:div w:id="1291396671">
          <w:marLeft w:val="0"/>
          <w:marRight w:val="0"/>
          <w:marTop w:val="0"/>
          <w:marBottom w:val="0"/>
          <w:divBdr>
            <w:top w:val="none" w:sz="0" w:space="0" w:color="auto"/>
            <w:left w:val="none" w:sz="0" w:space="0" w:color="auto"/>
            <w:bottom w:val="none" w:sz="0" w:space="0" w:color="auto"/>
            <w:right w:val="none" w:sz="0" w:space="0" w:color="auto"/>
          </w:divBdr>
        </w:div>
      </w:divsChild>
    </w:div>
    <w:div w:id="1402293193">
      <w:bodyDiv w:val="1"/>
      <w:marLeft w:val="0"/>
      <w:marRight w:val="0"/>
      <w:marTop w:val="0"/>
      <w:marBottom w:val="0"/>
      <w:divBdr>
        <w:top w:val="none" w:sz="0" w:space="0" w:color="auto"/>
        <w:left w:val="none" w:sz="0" w:space="0" w:color="auto"/>
        <w:bottom w:val="none" w:sz="0" w:space="0" w:color="auto"/>
        <w:right w:val="none" w:sz="0" w:space="0" w:color="auto"/>
      </w:divBdr>
      <w:divsChild>
        <w:div w:id="811287817">
          <w:marLeft w:val="0"/>
          <w:marRight w:val="0"/>
          <w:marTop w:val="0"/>
          <w:marBottom w:val="0"/>
          <w:divBdr>
            <w:top w:val="none" w:sz="0" w:space="0" w:color="auto"/>
            <w:left w:val="none" w:sz="0" w:space="0" w:color="auto"/>
            <w:bottom w:val="none" w:sz="0" w:space="0" w:color="auto"/>
            <w:right w:val="none" w:sz="0" w:space="0" w:color="auto"/>
          </w:divBdr>
        </w:div>
        <w:div w:id="226645040">
          <w:marLeft w:val="0"/>
          <w:marRight w:val="0"/>
          <w:marTop w:val="0"/>
          <w:marBottom w:val="0"/>
          <w:divBdr>
            <w:top w:val="none" w:sz="0" w:space="0" w:color="auto"/>
            <w:left w:val="none" w:sz="0" w:space="0" w:color="auto"/>
            <w:bottom w:val="none" w:sz="0" w:space="0" w:color="auto"/>
            <w:right w:val="none" w:sz="0" w:space="0" w:color="auto"/>
          </w:divBdr>
        </w:div>
      </w:divsChild>
    </w:div>
    <w:div w:id="1499152239">
      <w:bodyDiv w:val="1"/>
      <w:marLeft w:val="0"/>
      <w:marRight w:val="0"/>
      <w:marTop w:val="0"/>
      <w:marBottom w:val="0"/>
      <w:divBdr>
        <w:top w:val="none" w:sz="0" w:space="0" w:color="auto"/>
        <w:left w:val="none" w:sz="0" w:space="0" w:color="auto"/>
        <w:bottom w:val="none" w:sz="0" w:space="0" w:color="auto"/>
        <w:right w:val="none" w:sz="0" w:space="0" w:color="auto"/>
      </w:divBdr>
      <w:divsChild>
        <w:div w:id="1786150632">
          <w:marLeft w:val="0"/>
          <w:marRight w:val="0"/>
          <w:marTop w:val="0"/>
          <w:marBottom w:val="0"/>
          <w:divBdr>
            <w:top w:val="none" w:sz="0" w:space="0" w:color="auto"/>
            <w:left w:val="none" w:sz="0" w:space="0" w:color="auto"/>
            <w:bottom w:val="none" w:sz="0" w:space="0" w:color="auto"/>
            <w:right w:val="none" w:sz="0" w:space="0" w:color="auto"/>
          </w:divBdr>
        </w:div>
        <w:div w:id="638802782">
          <w:marLeft w:val="0"/>
          <w:marRight w:val="0"/>
          <w:marTop w:val="0"/>
          <w:marBottom w:val="0"/>
          <w:divBdr>
            <w:top w:val="none" w:sz="0" w:space="0" w:color="auto"/>
            <w:left w:val="none" w:sz="0" w:space="0" w:color="auto"/>
            <w:bottom w:val="none" w:sz="0" w:space="0" w:color="auto"/>
            <w:right w:val="none" w:sz="0" w:space="0" w:color="auto"/>
          </w:divBdr>
        </w:div>
      </w:divsChild>
    </w:div>
    <w:div w:id="1501045057">
      <w:bodyDiv w:val="1"/>
      <w:marLeft w:val="0"/>
      <w:marRight w:val="0"/>
      <w:marTop w:val="0"/>
      <w:marBottom w:val="0"/>
      <w:divBdr>
        <w:top w:val="none" w:sz="0" w:space="0" w:color="auto"/>
        <w:left w:val="none" w:sz="0" w:space="0" w:color="auto"/>
        <w:bottom w:val="none" w:sz="0" w:space="0" w:color="auto"/>
        <w:right w:val="none" w:sz="0" w:space="0" w:color="auto"/>
      </w:divBdr>
    </w:div>
    <w:div w:id="1524711378">
      <w:bodyDiv w:val="1"/>
      <w:marLeft w:val="0"/>
      <w:marRight w:val="0"/>
      <w:marTop w:val="0"/>
      <w:marBottom w:val="0"/>
      <w:divBdr>
        <w:top w:val="none" w:sz="0" w:space="0" w:color="auto"/>
        <w:left w:val="none" w:sz="0" w:space="0" w:color="auto"/>
        <w:bottom w:val="none" w:sz="0" w:space="0" w:color="auto"/>
        <w:right w:val="none" w:sz="0" w:space="0" w:color="auto"/>
      </w:divBdr>
    </w:div>
    <w:div w:id="1712336823">
      <w:bodyDiv w:val="1"/>
      <w:marLeft w:val="0"/>
      <w:marRight w:val="0"/>
      <w:marTop w:val="0"/>
      <w:marBottom w:val="0"/>
      <w:divBdr>
        <w:top w:val="none" w:sz="0" w:space="0" w:color="auto"/>
        <w:left w:val="none" w:sz="0" w:space="0" w:color="auto"/>
        <w:bottom w:val="none" w:sz="0" w:space="0" w:color="auto"/>
        <w:right w:val="none" w:sz="0" w:space="0" w:color="auto"/>
      </w:divBdr>
      <w:divsChild>
        <w:div w:id="104661567">
          <w:marLeft w:val="0"/>
          <w:marRight w:val="0"/>
          <w:marTop w:val="0"/>
          <w:marBottom w:val="0"/>
          <w:divBdr>
            <w:top w:val="none" w:sz="0" w:space="0" w:color="auto"/>
            <w:left w:val="none" w:sz="0" w:space="0" w:color="auto"/>
            <w:bottom w:val="none" w:sz="0" w:space="0" w:color="auto"/>
            <w:right w:val="none" w:sz="0" w:space="0" w:color="auto"/>
          </w:divBdr>
        </w:div>
        <w:div w:id="134376492">
          <w:marLeft w:val="0"/>
          <w:marRight w:val="0"/>
          <w:marTop w:val="0"/>
          <w:marBottom w:val="0"/>
          <w:divBdr>
            <w:top w:val="none" w:sz="0" w:space="0" w:color="auto"/>
            <w:left w:val="none" w:sz="0" w:space="0" w:color="auto"/>
            <w:bottom w:val="none" w:sz="0" w:space="0" w:color="auto"/>
            <w:right w:val="none" w:sz="0" w:space="0" w:color="auto"/>
          </w:divBdr>
        </w:div>
        <w:div w:id="705525357">
          <w:marLeft w:val="0"/>
          <w:marRight w:val="0"/>
          <w:marTop w:val="0"/>
          <w:marBottom w:val="0"/>
          <w:divBdr>
            <w:top w:val="none" w:sz="0" w:space="0" w:color="auto"/>
            <w:left w:val="none" w:sz="0" w:space="0" w:color="auto"/>
            <w:bottom w:val="none" w:sz="0" w:space="0" w:color="auto"/>
            <w:right w:val="none" w:sz="0" w:space="0" w:color="auto"/>
          </w:divBdr>
        </w:div>
        <w:div w:id="976184671">
          <w:marLeft w:val="0"/>
          <w:marRight w:val="0"/>
          <w:marTop w:val="0"/>
          <w:marBottom w:val="0"/>
          <w:divBdr>
            <w:top w:val="none" w:sz="0" w:space="0" w:color="auto"/>
            <w:left w:val="none" w:sz="0" w:space="0" w:color="auto"/>
            <w:bottom w:val="none" w:sz="0" w:space="0" w:color="auto"/>
            <w:right w:val="none" w:sz="0" w:space="0" w:color="auto"/>
          </w:divBdr>
        </w:div>
        <w:div w:id="1041707314">
          <w:marLeft w:val="0"/>
          <w:marRight w:val="0"/>
          <w:marTop w:val="0"/>
          <w:marBottom w:val="0"/>
          <w:divBdr>
            <w:top w:val="none" w:sz="0" w:space="0" w:color="auto"/>
            <w:left w:val="none" w:sz="0" w:space="0" w:color="auto"/>
            <w:bottom w:val="none" w:sz="0" w:space="0" w:color="auto"/>
            <w:right w:val="none" w:sz="0" w:space="0" w:color="auto"/>
          </w:divBdr>
        </w:div>
        <w:div w:id="1517813838">
          <w:marLeft w:val="0"/>
          <w:marRight w:val="0"/>
          <w:marTop w:val="0"/>
          <w:marBottom w:val="0"/>
          <w:divBdr>
            <w:top w:val="none" w:sz="0" w:space="0" w:color="auto"/>
            <w:left w:val="none" w:sz="0" w:space="0" w:color="auto"/>
            <w:bottom w:val="none" w:sz="0" w:space="0" w:color="auto"/>
            <w:right w:val="none" w:sz="0" w:space="0" w:color="auto"/>
          </w:divBdr>
        </w:div>
        <w:div w:id="1559977583">
          <w:marLeft w:val="0"/>
          <w:marRight w:val="0"/>
          <w:marTop w:val="0"/>
          <w:marBottom w:val="0"/>
          <w:divBdr>
            <w:top w:val="none" w:sz="0" w:space="0" w:color="auto"/>
            <w:left w:val="none" w:sz="0" w:space="0" w:color="auto"/>
            <w:bottom w:val="none" w:sz="0" w:space="0" w:color="auto"/>
            <w:right w:val="none" w:sz="0" w:space="0" w:color="auto"/>
          </w:divBdr>
        </w:div>
        <w:div w:id="1644044605">
          <w:marLeft w:val="0"/>
          <w:marRight w:val="0"/>
          <w:marTop w:val="0"/>
          <w:marBottom w:val="0"/>
          <w:divBdr>
            <w:top w:val="none" w:sz="0" w:space="0" w:color="auto"/>
            <w:left w:val="none" w:sz="0" w:space="0" w:color="auto"/>
            <w:bottom w:val="none" w:sz="0" w:space="0" w:color="auto"/>
            <w:right w:val="none" w:sz="0" w:space="0" w:color="auto"/>
          </w:divBdr>
        </w:div>
        <w:div w:id="1720125988">
          <w:marLeft w:val="0"/>
          <w:marRight w:val="0"/>
          <w:marTop w:val="0"/>
          <w:marBottom w:val="0"/>
          <w:divBdr>
            <w:top w:val="none" w:sz="0" w:space="0" w:color="auto"/>
            <w:left w:val="none" w:sz="0" w:space="0" w:color="auto"/>
            <w:bottom w:val="none" w:sz="0" w:space="0" w:color="auto"/>
            <w:right w:val="none" w:sz="0" w:space="0" w:color="auto"/>
          </w:divBdr>
        </w:div>
        <w:div w:id="2056931145">
          <w:marLeft w:val="0"/>
          <w:marRight w:val="0"/>
          <w:marTop w:val="0"/>
          <w:marBottom w:val="0"/>
          <w:divBdr>
            <w:top w:val="none" w:sz="0" w:space="0" w:color="auto"/>
            <w:left w:val="none" w:sz="0" w:space="0" w:color="auto"/>
            <w:bottom w:val="none" w:sz="0" w:space="0" w:color="auto"/>
            <w:right w:val="none" w:sz="0" w:space="0" w:color="auto"/>
          </w:divBdr>
        </w:div>
      </w:divsChild>
    </w:div>
    <w:div w:id="1807428606">
      <w:bodyDiv w:val="1"/>
      <w:marLeft w:val="0"/>
      <w:marRight w:val="0"/>
      <w:marTop w:val="0"/>
      <w:marBottom w:val="0"/>
      <w:divBdr>
        <w:top w:val="none" w:sz="0" w:space="0" w:color="auto"/>
        <w:left w:val="none" w:sz="0" w:space="0" w:color="auto"/>
        <w:bottom w:val="none" w:sz="0" w:space="0" w:color="auto"/>
        <w:right w:val="none" w:sz="0" w:space="0" w:color="auto"/>
      </w:divBdr>
    </w:div>
    <w:div w:id="1961452368">
      <w:bodyDiv w:val="1"/>
      <w:marLeft w:val="0"/>
      <w:marRight w:val="0"/>
      <w:marTop w:val="0"/>
      <w:marBottom w:val="0"/>
      <w:divBdr>
        <w:top w:val="none" w:sz="0" w:space="0" w:color="auto"/>
        <w:left w:val="none" w:sz="0" w:space="0" w:color="auto"/>
        <w:bottom w:val="none" w:sz="0" w:space="0" w:color="auto"/>
        <w:right w:val="none" w:sz="0" w:space="0" w:color="auto"/>
      </w:divBdr>
    </w:div>
    <w:div w:id="210995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178987" TargetMode="External"/><Relationship Id="rId13" Type="http://schemas.openxmlformats.org/officeDocument/2006/relationships/hyperlink" Target="https://likumi.lv/ta/id/178987-noziedzigi-iegutu-lidzeklu-legalizacijas-un-terorisma-un-proliferacijas-finansesanas-noversanas-likums" TargetMode="External"/><Relationship Id="rId18" Type="http://schemas.openxmlformats.org/officeDocument/2006/relationships/hyperlink" Target="https://likumi.lv/ta/id/178987-noziedzigi-iegutu-lidzeklu-legalizacijas-un-terorisma-un-proliferacijas-finansesanas-noversanas-likum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ikumi.lv/ta/id/178987-noziedzigi-iegutu-lidzeklu-legalizacijas-un-terorisma-un-proliferacijas-finansesanas-noversanas-likums" TargetMode="External"/><Relationship Id="rId17" Type="http://schemas.openxmlformats.org/officeDocument/2006/relationships/hyperlink" Target="https://likumi.lv/ta/id/178987-noziedzigi-iegutu-lidzeklu-legalizacijas-un-terorisma-un-proliferacijas-finansesanas-noversanas-likum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ikumi.lv/ta/id/333311-statistisko-datu-par-vertspapiriem-sagatavosanas-un-iesniegsanas-noteikumi" TargetMode="External"/><Relationship Id="rId20" Type="http://schemas.openxmlformats.org/officeDocument/2006/relationships/hyperlink" Target="https://www.eba.europa.eu/sites/default/files/document_library/Publications/Guidelines/2022/EBA-GL-2022-05%20GLs%20on%20AML%20compliance%20officers/Translations/1039073/GL%20on%20AMLCFT%20compliance%20officers%20%28EBA%20GL%202022%2005%29_LV_COR.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178987-noziedzigi-iegutu-lidzeklu-legalizacijas-un-terorisma-un-proliferacijas-finansesanas-noversanas-likums"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likumi.lv/ta/id/338456" TargetMode="External"/><Relationship Id="rId23" Type="http://schemas.openxmlformats.org/officeDocument/2006/relationships/fontTable" Target="fontTable.xml"/><Relationship Id="rId10" Type="http://schemas.openxmlformats.org/officeDocument/2006/relationships/hyperlink" Target="https://likumi.lv/ta/id/178987-noziedzigi-iegutu-lidzeklu-legalizacijas-un-terorisma-un-proliferacijas-finansesanas-noversanas-likums" TargetMode="External"/><Relationship Id="rId19" Type="http://schemas.openxmlformats.org/officeDocument/2006/relationships/hyperlink" Target="https://likumi.lv/ta/id/338456" TargetMode="External"/><Relationship Id="rId4" Type="http://schemas.openxmlformats.org/officeDocument/2006/relationships/settings" Target="settings.xml"/><Relationship Id="rId9" Type="http://schemas.openxmlformats.org/officeDocument/2006/relationships/hyperlink" Target="https://likumi.lv/ta/id/178987-noziedzigi-iegutu-lidzeklu-legalizacijas-un-terorisma-un-proliferacijas-finansesanas-noversanas-likums" TargetMode="External"/><Relationship Id="rId14" Type="http://schemas.openxmlformats.org/officeDocument/2006/relationships/hyperlink" Target="https://likumi.lv/ta/id/338456"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6D25F15A3C54C80BA704D341023A44B"/>
        <w:category>
          <w:name w:val="General"/>
          <w:gallery w:val="placeholder"/>
        </w:category>
        <w:types>
          <w:type w:val="bbPlcHdr"/>
        </w:types>
        <w:behaviors>
          <w:behavior w:val="content"/>
        </w:behaviors>
        <w:guid w:val="{662BD0C5-36E1-4DB9-91B0-820EFFCECA46}"/>
      </w:docPartPr>
      <w:docPartBody>
        <w:p w:rsidR="002234D3" w:rsidRDefault="007E68FF" w:rsidP="007E68FF">
          <w:pPr>
            <w:pStyle w:val="16D25F15A3C54C80BA704D341023A44B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4F132DB8F5E145C98E08AF5001CB752D"/>
        <w:category>
          <w:name w:val="General"/>
          <w:gallery w:val="placeholder"/>
        </w:category>
        <w:types>
          <w:type w:val="bbPlcHdr"/>
        </w:types>
        <w:behaviors>
          <w:behavior w:val="content"/>
        </w:behaviors>
        <w:guid w:val="{8742370D-986A-4C85-A7D6-8D5E74A9512B}"/>
      </w:docPartPr>
      <w:docPartBody>
        <w:p w:rsidR="002234D3" w:rsidRDefault="007E68FF" w:rsidP="007E68FF">
          <w:pPr>
            <w:pStyle w:val="4F132DB8F5E145C98E08AF5001CB752D1"/>
          </w:pPr>
          <w:r w:rsidRPr="00723141">
            <w:rPr>
              <w:color w:val="808080" w:themeColor="background1" w:themeShade="80"/>
            </w:rPr>
            <w:t>[Datums]</w:t>
          </w:r>
        </w:p>
      </w:docPartBody>
    </w:docPart>
    <w:docPart>
      <w:docPartPr>
        <w:name w:val="5913913E970B453990ADCD332223DE86"/>
        <w:category>
          <w:name w:val="General"/>
          <w:gallery w:val="placeholder"/>
        </w:category>
        <w:types>
          <w:type w:val="bbPlcHdr"/>
        </w:types>
        <w:behaviors>
          <w:behavior w:val="content"/>
        </w:behaviors>
        <w:guid w:val="{E12C28D7-D634-4755-82C9-53DBC400D746}"/>
      </w:docPartPr>
      <w:docPartBody>
        <w:p w:rsidR="002234D3" w:rsidRDefault="007E68FF">
          <w:pPr>
            <w:pStyle w:val="5913913E970B453990ADCD332223DE86"/>
          </w:pPr>
          <w:r>
            <w:t xml:space="preserve">Noteikumi </w:t>
          </w:r>
        </w:p>
      </w:docPartBody>
    </w:docPart>
    <w:docPart>
      <w:docPartPr>
        <w:name w:val="53A6A414E78647F08BE34136BDE847A3"/>
        <w:category>
          <w:name w:val="General"/>
          <w:gallery w:val="placeholder"/>
        </w:category>
        <w:types>
          <w:type w:val="bbPlcHdr"/>
        </w:types>
        <w:behaviors>
          <w:behavior w:val="content"/>
        </w:behaviors>
        <w:guid w:val="{D34472C9-C29C-4BE1-9D76-A170D45510B8}"/>
      </w:docPartPr>
      <w:docPartBody>
        <w:p w:rsidR="002234D3" w:rsidRDefault="007E68FF">
          <w:pPr>
            <w:pStyle w:val="53A6A414E78647F08BE34136BDE847A3"/>
          </w:pPr>
          <w:r>
            <w:t xml:space="preserve">Nr. </w:t>
          </w:r>
        </w:p>
      </w:docPartBody>
    </w:docPart>
    <w:docPart>
      <w:docPartPr>
        <w:name w:val="3AD15FDC563F4B9E9FB24251343AD5A4"/>
        <w:category>
          <w:name w:val="General"/>
          <w:gallery w:val="placeholder"/>
        </w:category>
        <w:types>
          <w:type w:val="bbPlcHdr"/>
        </w:types>
        <w:behaviors>
          <w:behavior w:val="content"/>
        </w:behaviors>
        <w:guid w:val="{DC0840E9-2537-4D86-815B-D9544C912BC3}"/>
      </w:docPartPr>
      <w:docPartBody>
        <w:p w:rsidR="002234D3" w:rsidRDefault="007E68FF" w:rsidP="007E68FF">
          <w:pPr>
            <w:pStyle w:val="3AD15FDC563F4B9E9FB24251343AD5A41"/>
          </w:pPr>
          <w:r w:rsidRPr="00723141">
            <w:rPr>
              <w:color w:val="808080" w:themeColor="background1" w:themeShade="80"/>
            </w:rPr>
            <w:t>[____]</w:t>
          </w:r>
        </w:p>
      </w:docPartBody>
    </w:docPart>
    <w:docPart>
      <w:docPartPr>
        <w:name w:val="C5DD1EC5491645048D24BFF5D797BB00"/>
        <w:category>
          <w:name w:val="General"/>
          <w:gallery w:val="placeholder"/>
        </w:category>
        <w:types>
          <w:type w:val="bbPlcHdr"/>
        </w:types>
        <w:behaviors>
          <w:behavior w:val="content"/>
        </w:behaviors>
        <w:guid w:val="{28DA2E08-3FCF-44AE-BA7E-28F002A3A834}"/>
      </w:docPartPr>
      <w:docPartBody>
        <w:p w:rsidR="002234D3" w:rsidRDefault="007E68FF" w:rsidP="007E68FF">
          <w:pPr>
            <w:pStyle w:val="C5DD1EC5491645048D24BFF5D797BB001"/>
          </w:pPr>
          <w:r>
            <w:rPr>
              <w:rFonts w:cs="Times New Roman"/>
              <w:szCs w:val="24"/>
            </w:rPr>
            <w:t>Rīgā</w:t>
          </w:r>
        </w:p>
      </w:docPartBody>
    </w:docPart>
    <w:docPart>
      <w:docPartPr>
        <w:name w:val="58EC445556D04EC9959B9FDE7AFF48FB"/>
        <w:category>
          <w:name w:val="General"/>
          <w:gallery w:val="placeholder"/>
        </w:category>
        <w:types>
          <w:type w:val="bbPlcHdr"/>
        </w:types>
        <w:behaviors>
          <w:behavior w:val="content"/>
        </w:behaviors>
        <w:guid w:val="{076B6A33-D592-4353-905E-0FF43B8E7245}"/>
      </w:docPartPr>
      <w:docPartBody>
        <w:p w:rsidR="002234D3" w:rsidRDefault="002234D3">
          <w:pPr>
            <w:pStyle w:val="58EC445556D04EC9959B9FDE7AFF48FB"/>
          </w:pPr>
          <w:r w:rsidRPr="006C06FD">
            <w:rPr>
              <w:rStyle w:val="PlaceholderText"/>
              <w:b/>
            </w:rPr>
            <w:t>[Nosaukums]</w:t>
          </w:r>
        </w:p>
      </w:docPartBody>
    </w:docPart>
    <w:docPart>
      <w:docPartPr>
        <w:name w:val="6D9FF65D17954ABEB6A74EDD9A7E03E8"/>
        <w:category>
          <w:name w:val="General"/>
          <w:gallery w:val="placeholder"/>
        </w:category>
        <w:types>
          <w:type w:val="bbPlcHdr"/>
        </w:types>
        <w:behaviors>
          <w:behavior w:val="content"/>
        </w:behaviors>
        <w:guid w:val="{9EEECFC0-E7CD-4821-BBB0-F424C8955F25}"/>
      </w:docPartPr>
      <w:docPartBody>
        <w:p w:rsidR="002234D3" w:rsidRDefault="007E68FF" w:rsidP="007E68FF">
          <w:pPr>
            <w:pStyle w:val="6D9FF65D17954ABEB6A74EDD9A7E03E81"/>
          </w:pPr>
          <w:r>
            <w:rPr>
              <w:rFonts w:cs="Times New Roman"/>
              <w:szCs w:val="24"/>
            </w:rPr>
            <w:t xml:space="preserve">Izdoti </w:t>
          </w:r>
        </w:p>
      </w:docPartBody>
    </w:docPart>
    <w:docPart>
      <w:docPartPr>
        <w:name w:val="9467E1BD741744268630848AE54E72A3"/>
        <w:category>
          <w:name w:val="General"/>
          <w:gallery w:val="placeholder"/>
        </w:category>
        <w:types>
          <w:type w:val="bbPlcHdr"/>
        </w:types>
        <w:behaviors>
          <w:behavior w:val="content"/>
        </w:behaviors>
        <w:guid w:val="{4872B30E-A5F7-4A40-AADA-2DD68E1BF1EE}"/>
      </w:docPartPr>
      <w:docPartBody>
        <w:p w:rsidR="002234D3" w:rsidRDefault="007E68FF" w:rsidP="007E68FF">
          <w:pPr>
            <w:pStyle w:val="9467E1BD741744268630848AE54E72A31"/>
          </w:pPr>
          <w:r>
            <w:rPr>
              <w:rFonts w:cs="Times New Roman"/>
              <w:szCs w:val="24"/>
            </w:rPr>
            <w:t>saskaņā ar</w:t>
          </w:r>
        </w:p>
      </w:docPartBody>
    </w:docPart>
    <w:docPart>
      <w:docPartPr>
        <w:name w:val="8CD4102648AE41429B09150ACBA94CB9"/>
        <w:category>
          <w:name w:val="General"/>
          <w:gallery w:val="placeholder"/>
        </w:category>
        <w:types>
          <w:type w:val="bbPlcHdr"/>
        </w:types>
        <w:behaviors>
          <w:behavior w:val="content"/>
        </w:behaviors>
        <w:guid w:val="{71F68331-0A9F-4207-868A-EC40AD242623}"/>
      </w:docPartPr>
      <w:docPartBody>
        <w:p w:rsidR="002234D3" w:rsidRDefault="002234D3">
          <w:pPr>
            <w:pStyle w:val="8CD4102648AE41429B09150ACBA94CB9"/>
          </w:pPr>
          <w:r w:rsidRPr="00301089">
            <w:rPr>
              <w:rStyle w:val="PlaceholderText"/>
            </w:rPr>
            <w:t>[likuma]</w:t>
          </w:r>
        </w:p>
      </w:docPartBody>
    </w:docPart>
    <w:docPart>
      <w:docPartPr>
        <w:name w:val="F9156B38F030498DBD6DB40B7DC66816"/>
        <w:category>
          <w:name w:val="General"/>
          <w:gallery w:val="placeholder"/>
        </w:category>
        <w:types>
          <w:type w:val="bbPlcHdr"/>
        </w:types>
        <w:behaviors>
          <w:behavior w:val="content"/>
        </w:behaviors>
        <w:guid w:val="{C6A31234-4A60-4A97-A734-FFD42EA77A47}"/>
      </w:docPartPr>
      <w:docPartBody>
        <w:p w:rsidR="002234D3" w:rsidRDefault="002234D3">
          <w:pPr>
            <w:pStyle w:val="F9156B38F030498DBD6DB40B7DC66816"/>
          </w:pPr>
          <w:r>
            <w:rPr>
              <w:rFonts w:ascii="Times New Roman" w:hAnsi="Times New Roman" w:cs="Times New Roman"/>
            </w:rPr>
            <w:t>{amats}</w:t>
          </w:r>
        </w:p>
      </w:docPartBody>
    </w:docPart>
    <w:docPart>
      <w:docPartPr>
        <w:name w:val="AB12BA39A9D94DDDB3BAEA4AC3FA9F97"/>
        <w:category>
          <w:name w:val="General"/>
          <w:gallery w:val="placeholder"/>
        </w:category>
        <w:types>
          <w:type w:val="bbPlcHdr"/>
        </w:types>
        <w:behaviors>
          <w:behavior w:val="content"/>
        </w:behaviors>
        <w:guid w:val="{BE9FA205-36A1-4E15-9062-93955EFA92B4}"/>
      </w:docPartPr>
      <w:docPartBody>
        <w:p w:rsidR="002234D3" w:rsidRDefault="002234D3">
          <w:pPr>
            <w:pStyle w:val="AB12BA39A9D94DDDB3BAEA4AC3FA9F97"/>
          </w:pPr>
          <w:r w:rsidRPr="00723141">
            <w:rPr>
              <w:color w:val="808080" w:themeColor="background1" w:themeShade="80"/>
            </w:rPr>
            <w:t>[V. Uzvārds]</w:t>
          </w:r>
        </w:p>
      </w:docPartBody>
    </w:docPart>
    <w:docPart>
      <w:docPartPr>
        <w:name w:val="2630DD7248DE44E0AEC920100D224675"/>
        <w:category>
          <w:name w:val="General"/>
          <w:gallery w:val="placeholder"/>
        </w:category>
        <w:types>
          <w:type w:val="bbPlcHdr"/>
        </w:types>
        <w:behaviors>
          <w:behavior w:val="content"/>
        </w:behaviors>
        <w:guid w:val="{F90B0CB2-452E-4231-B59F-CDA2BF4FD31F}"/>
      </w:docPartPr>
      <w:docPartBody>
        <w:p w:rsidR="00277E34" w:rsidRDefault="002234D3">
          <w:pPr>
            <w:pStyle w:val="2630DD7248DE44E0AEC920100D224675"/>
          </w:pPr>
          <w:r w:rsidRPr="006C06FD">
            <w:rPr>
              <w:rStyle w:val="PlaceholderText"/>
              <w:b/>
            </w:rPr>
            <w:t>[Nosaukums]</w:t>
          </w:r>
        </w:p>
      </w:docPartBody>
    </w:docPart>
    <w:docPart>
      <w:docPartPr>
        <w:name w:val="3604C608419F47AAA41E94357AA93AC1"/>
        <w:category>
          <w:name w:val="General"/>
          <w:gallery w:val="placeholder"/>
        </w:category>
        <w:types>
          <w:type w:val="bbPlcHdr"/>
        </w:types>
        <w:behaviors>
          <w:behavior w:val="content"/>
        </w:behaviors>
        <w:guid w:val="{12D4C9F3-0AB6-4D7A-B878-8A9DBAD2C0EB}"/>
      </w:docPartPr>
      <w:docPartBody>
        <w:p w:rsidR="00CD1525" w:rsidRDefault="00CD1525" w:rsidP="00CD1525">
          <w:pPr>
            <w:pStyle w:val="3604C608419F47AAA41E94357AA93AC1"/>
          </w:pPr>
          <w:r w:rsidRPr="007F4A16">
            <w:rPr>
              <w:rStyle w:val="PlaceholderText"/>
              <w:color w:val="808080" w:themeColor="background1" w:themeShade="80"/>
            </w:rPr>
            <w:t>[nr.]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4D3"/>
    <w:rsid w:val="00002707"/>
    <w:rsid w:val="00005F46"/>
    <w:rsid w:val="00050B81"/>
    <w:rsid w:val="000517FB"/>
    <w:rsid w:val="000762BA"/>
    <w:rsid w:val="0007668D"/>
    <w:rsid w:val="00084FDB"/>
    <w:rsid w:val="000A329F"/>
    <w:rsid w:val="000C28D7"/>
    <w:rsid w:val="000C34CA"/>
    <w:rsid w:val="000C6175"/>
    <w:rsid w:val="00120A90"/>
    <w:rsid w:val="00126DC8"/>
    <w:rsid w:val="00137432"/>
    <w:rsid w:val="001476CA"/>
    <w:rsid w:val="00180A30"/>
    <w:rsid w:val="001835D2"/>
    <w:rsid w:val="001B52E2"/>
    <w:rsid w:val="001C0A36"/>
    <w:rsid w:val="001F019E"/>
    <w:rsid w:val="00202B1D"/>
    <w:rsid w:val="0021622B"/>
    <w:rsid w:val="0022290E"/>
    <w:rsid w:val="002230B4"/>
    <w:rsid w:val="002234D3"/>
    <w:rsid w:val="00227D62"/>
    <w:rsid w:val="00231770"/>
    <w:rsid w:val="002401F7"/>
    <w:rsid w:val="00242CA9"/>
    <w:rsid w:val="00277E34"/>
    <w:rsid w:val="0028447E"/>
    <w:rsid w:val="0029621E"/>
    <w:rsid w:val="002A0B6E"/>
    <w:rsid w:val="002B6C8D"/>
    <w:rsid w:val="002C6955"/>
    <w:rsid w:val="002D175E"/>
    <w:rsid w:val="002D59BB"/>
    <w:rsid w:val="002E35E9"/>
    <w:rsid w:val="00312F27"/>
    <w:rsid w:val="00314AC1"/>
    <w:rsid w:val="003253AF"/>
    <w:rsid w:val="00325F05"/>
    <w:rsid w:val="003405F1"/>
    <w:rsid w:val="00343A15"/>
    <w:rsid w:val="003608CC"/>
    <w:rsid w:val="00361CC1"/>
    <w:rsid w:val="00370112"/>
    <w:rsid w:val="00372181"/>
    <w:rsid w:val="0037254D"/>
    <w:rsid w:val="0037621C"/>
    <w:rsid w:val="003D0744"/>
    <w:rsid w:val="003E2B6C"/>
    <w:rsid w:val="004161BD"/>
    <w:rsid w:val="0043126C"/>
    <w:rsid w:val="0046495F"/>
    <w:rsid w:val="00472D40"/>
    <w:rsid w:val="00476F43"/>
    <w:rsid w:val="00484F8B"/>
    <w:rsid w:val="00485C42"/>
    <w:rsid w:val="00493D39"/>
    <w:rsid w:val="004A54C1"/>
    <w:rsid w:val="004C0A52"/>
    <w:rsid w:val="004C464B"/>
    <w:rsid w:val="004E4CF5"/>
    <w:rsid w:val="004F5AC3"/>
    <w:rsid w:val="00516383"/>
    <w:rsid w:val="00530D25"/>
    <w:rsid w:val="00544797"/>
    <w:rsid w:val="0056401D"/>
    <w:rsid w:val="005904DA"/>
    <w:rsid w:val="005A3003"/>
    <w:rsid w:val="005A6A81"/>
    <w:rsid w:val="005C6F8D"/>
    <w:rsid w:val="005D2A4A"/>
    <w:rsid w:val="005D35E7"/>
    <w:rsid w:val="005D622A"/>
    <w:rsid w:val="005D784F"/>
    <w:rsid w:val="005F29DF"/>
    <w:rsid w:val="005F43FB"/>
    <w:rsid w:val="0060085B"/>
    <w:rsid w:val="00603B3B"/>
    <w:rsid w:val="0061043D"/>
    <w:rsid w:val="006248AA"/>
    <w:rsid w:val="00637096"/>
    <w:rsid w:val="0064261B"/>
    <w:rsid w:val="006460B5"/>
    <w:rsid w:val="00653CB6"/>
    <w:rsid w:val="006541B5"/>
    <w:rsid w:val="0066503D"/>
    <w:rsid w:val="0068232C"/>
    <w:rsid w:val="006848C4"/>
    <w:rsid w:val="00684E93"/>
    <w:rsid w:val="00691B52"/>
    <w:rsid w:val="00695EE8"/>
    <w:rsid w:val="006A0AD1"/>
    <w:rsid w:val="006B1ABF"/>
    <w:rsid w:val="006B651C"/>
    <w:rsid w:val="006C5C08"/>
    <w:rsid w:val="006D6999"/>
    <w:rsid w:val="00702BE0"/>
    <w:rsid w:val="00727C8A"/>
    <w:rsid w:val="0074077B"/>
    <w:rsid w:val="00781D55"/>
    <w:rsid w:val="00781F5E"/>
    <w:rsid w:val="007940D9"/>
    <w:rsid w:val="007A27D8"/>
    <w:rsid w:val="007B0441"/>
    <w:rsid w:val="007D0300"/>
    <w:rsid w:val="007D1023"/>
    <w:rsid w:val="007E68FF"/>
    <w:rsid w:val="00804B78"/>
    <w:rsid w:val="00820541"/>
    <w:rsid w:val="00835AD1"/>
    <w:rsid w:val="00855DE3"/>
    <w:rsid w:val="00855EA6"/>
    <w:rsid w:val="00864DBE"/>
    <w:rsid w:val="00884D0B"/>
    <w:rsid w:val="008857ED"/>
    <w:rsid w:val="008B4CB4"/>
    <w:rsid w:val="008C3325"/>
    <w:rsid w:val="008D2ECB"/>
    <w:rsid w:val="009318F0"/>
    <w:rsid w:val="009342C6"/>
    <w:rsid w:val="009422F6"/>
    <w:rsid w:val="009B2B4F"/>
    <w:rsid w:val="009C01BD"/>
    <w:rsid w:val="00A02585"/>
    <w:rsid w:val="00A10C5E"/>
    <w:rsid w:val="00A17420"/>
    <w:rsid w:val="00A22D74"/>
    <w:rsid w:val="00A261BD"/>
    <w:rsid w:val="00A66D0E"/>
    <w:rsid w:val="00A775A2"/>
    <w:rsid w:val="00A835FB"/>
    <w:rsid w:val="00A83ABE"/>
    <w:rsid w:val="00AA438D"/>
    <w:rsid w:val="00AB62E4"/>
    <w:rsid w:val="00B004CD"/>
    <w:rsid w:val="00B00D4B"/>
    <w:rsid w:val="00B10405"/>
    <w:rsid w:val="00B25BB4"/>
    <w:rsid w:val="00B41BCA"/>
    <w:rsid w:val="00B439ED"/>
    <w:rsid w:val="00B46468"/>
    <w:rsid w:val="00B56A88"/>
    <w:rsid w:val="00B62E46"/>
    <w:rsid w:val="00B746B6"/>
    <w:rsid w:val="00B97073"/>
    <w:rsid w:val="00BA4858"/>
    <w:rsid w:val="00BC3A7A"/>
    <w:rsid w:val="00C025E6"/>
    <w:rsid w:val="00C3784A"/>
    <w:rsid w:val="00C52277"/>
    <w:rsid w:val="00C63D55"/>
    <w:rsid w:val="00C748BE"/>
    <w:rsid w:val="00C87E4F"/>
    <w:rsid w:val="00C9054C"/>
    <w:rsid w:val="00CA1F56"/>
    <w:rsid w:val="00CA7CA8"/>
    <w:rsid w:val="00CD1525"/>
    <w:rsid w:val="00CD4EE8"/>
    <w:rsid w:val="00CE3FD6"/>
    <w:rsid w:val="00CE69F8"/>
    <w:rsid w:val="00D12C6D"/>
    <w:rsid w:val="00D16249"/>
    <w:rsid w:val="00D22B9D"/>
    <w:rsid w:val="00D51E88"/>
    <w:rsid w:val="00D55E3C"/>
    <w:rsid w:val="00D61DD7"/>
    <w:rsid w:val="00D95BF5"/>
    <w:rsid w:val="00DC0B39"/>
    <w:rsid w:val="00DD0FD2"/>
    <w:rsid w:val="00DE0D23"/>
    <w:rsid w:val="00E0780B"/>
    <w:rsid w:val="00E16365"/>
    <w:rsid w:val="00E25BF4"/>
    <w:rsid w:val="00E32E9A"/>
    <w:rsid w:val="00E35BE1"/>
    <w:rsid w:val="00E54F05"/>
    <w:rsid w:val="00E66008"/>
    <w:rsid w:val="00E70797"/>
    <w:rsid w:val="00E85C20"/>
    <w:rsid w:val="00E97815"/>
    <w:rsid w:val="00EB051A"/>
    <w:rsid w:val="00EB7DA5"/>
    <w:rsid w:val="00EF306B"/>
    <w:rsid w:val="00F01610"/>
    <w:rsid w:val="00F04277"/>
    <w:rsid w:val="00F15528"/>
    <w:rsid w:val="00F20E1A"/>
    <w:rsid w:val="00F46072"/>
    <w:rsid w:val="00F57371"/>
    <w:rsid w:val="00F8687D"/>
    <w:rsid w:val="00FB45D7"/>
    <w:rsid w:val="00FC1CBA"/>
    <w:rsid w:val="00FC36B1"/>
    <w:rsid w:val="00FC70C7"/>
    <w:rsid w:val="00FD5614"/>
    <w:rsid w:val="00FD69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13913E970B453990ADCD332223DE86">
    <w:name w:val="5913913E970B453990ADCD332223DE86"/>
  </w:style>
  <w:style w:type="paragraph" w:customStyle="1" w:styleId="53A6A414E78647F08BE34136BDE847A3">
    <w:name w:val="53A6A414E78647F08BE34136BDE847A3"/>
  </w:style>
  <w:style w:type="character" w:styleId="PlaceholderText">
    <w:name w:val="Placeholder Text"/>
    <w:basedOn w:val="DefaultParagraphFont"/>
    <w:uiPriority w:val="99"/>
    <w:semiHidden/>
    <w:rsid w:val="007E68FF"/>
    <w:rPr>
      <w:color w:val="808080"/>
    </w:rPr>
  </w:style>
  <w:style w:type="paragraph" w:customStyle="1" w:styleId="58EC445556D04EC9959B9FDE7AFF48FB">
    <w:name w:val="58EC445556D04EC9959B9FDE7AFF48FB"/>
  </w:style>
  <w:style w:type="paragraph" w:customStyle="1" w:styleId="8CD4102648AE41429B09150ACBA94CB9">
    <w:name w:val="8CD4102648AE41429B09150ACBA94CB9"/>
  </w:style>
  <w:style w:type="paragraph" w:customStyle="1" w:styleId="F9156B38F030498DBD6DB40B7DC66816">
    <w:name w:val="F9156B38F030498DBD6DB40B7DC66816"/>
  </w:style>
  <w:style w:type="paragraph" w:customStyle="1" w:styleId="AB12BA39A9D94DDDB3BAEA4AC3FA9F97">
    <w:name w:val="AB12BA39A9D94DDDB3BAEA4AC3FA9F97"/>
  </w:style>
  <w:style w:type="paragraph" w:customStyle="1" w:styleId="2630DD7248DE44E0AEC920100D224675">
    <w:name w:val="2630DD7248DE44E0AEC920100D224675"/>
    <w:rPr>
      <w:lang w:val="en-US" w:eastAsia="en-US"/>
    </w:rPr>
  </w:style>
  <w:style w:type="paragraph" w:customStyle="1" w:styleId="3604C608419F47AAA41E94357AA93AC1">
    <w:name w:val="3604C608419F47AAA41E94357AA93AC1"/>
    <w:rsid w:val="00CD1525"/>
  </w:style>
  <w:style w:type="paragraph" w:customStyle="1" w:styleId="16D25F15A3C54C80BA704D341023A44B1">
    <w:name w:val="16D25F15A3C54C80BA704D341023A44B1"/>
    <w:rsid w:val="007E68FF"/>
    <w:pPr>
      <w:spacing w:after="0" w:line="240" w:lineRule="auto"/>
    </w:pPr>
    <w:rPr>
      <w:rFonts w:ascii="Times New Roman" w:hAnsi="Times New Roman"/>
      <w:kern w:val="0"/>
      <w:szCs w:val="22"/>
      <w14:ligatures w14:val="none"/>
    </w:rPr>
  </w:style>
  <w:style w:type="paragraph" w:customStyle="1" w:styleId="4F132DB8F5E145C98E08AF5001CB752D1">
    <w:name w:val="4F132DB8F5E145C98E08AF5001CB752D1"/>
    <w:rsid w:val="007E68FF"/>
    <w:pPr>
      <w:spacing w:after="0" w:line="240" w:lineRule="auto"/>
    </w:pPr>
    <w:rPr>
      <w:rFonts w:ascii="Times New Roman" w:hAnsi="Times New Roman"/>
      <w:kern w:val="0"/>
      <w:szCs w:val="22"/>
      <w14:ligatures w14:val="none"/>
    </w:rPr>
  </w:style>
  <w:style w:type="paragraph" w:customStyle="1" w:styleId="3AD15FDC563F4B9E9FB24251343AD5A41">
    <w:name w:val="3AD15FDC563F4B9E9FB24251343AD5A41"/>
    <w:rsid w:val="007E68FF"/>
    <w:pPr>
      <w:spacing w:after="0" w:line="240" w:lineRule="auto"/>
    </w:pPr>
    <w:rPr>
      <w:rFonts w:ascii="Times New Roman" w:hAnsi="Times New Roman"/>
      <w:kern w:val="0"/>
      <w:szCs w:val="22"/>
      <w14:ligatures w14:val="none"/>
    </w:rPr>
  </w:style>
  <w:style w:type="paragraph" w:customStyle="1" w:styleId="C5DD1EC5491645048D24BFF5D797BB001">
    <w:name w:val="C5DD1EC5491645048D24BFF5D797BB001"/>
    <w:rsid w:val="007E68FF"/>
    <w:pPr>
      <w:spacing w:after="0" w:line="240" w:lineRule="auto"/>
    </w:pPr>
    <w:rPr>
      <w:rFonts w:ascii="Times New Roman" w:hAnsi="Times New Roman"/>
      <w:kern w:val="0"/>
      <w:szCs w:val="22"/>
      <w14:ligatures w14:val="none"/>
    </w:rPr>
  </w:style>
  <w:style w:type="paragraph" w:customStyle="1" w:styleId="6D9FF65D17954ABEB6A74EDD9A7E03E81">
    <w:name w:val="6D9FF65D17954ABEB6A74EDD9A7E03E81"/>
    <w:rsid w:val="007E68FF"/>
    <w:pPr>
      <w:spacing w:after="0" w:line="240" w:lineRule="auto"/>
    </w:pPr>
    <w:rPr>
      <w:rFonts w:ascii="Times New Roman" w:hAnsi="Times New Roman"/>
      <w:kern w:val="0"/>
      <w:szCs w:val="22"/>
      <w14:ligatures w14:val="none"/>
    </w:rPr>
  </w:style>
  <w:style w:type="paragraph" w:customStyle="1" w:styleId="9467E1BD741744268630848AE54E72A31">
    <w:name w:val="9467E1BD741744268630848AE54E72A31"/>
    <w:rsid w:val="007E68FF"/>
    <w:pPr>
      <w:spacing w:after="0" w:line="240" w:lineRule="auto"/>
    </w:pPr>
    <w:rPr>
      <w:rFonts w:ascii="Times New Roman" w:hAnsi="Times New Roman"/>
      <w:kern w:val="0"/>
      <w:szCs w:val="22"/>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34315</Words>
  <Characters>19561</Characters>
  <Application>Microsoft Office Word</Application>
  <DocSecurity>0</DocSecurity>
  <Lines>163</Lines>
  <Paragraphs>107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53769</CharactersWithSpaces>
  <SharedDoc>false</SharedDoc>
  <HLinks>
    <vt:vector size="54" baseType="variant">
      <vt:variant>
        <vt:i4>7012404</vt:i4>
      </vt:variant>
      <vt:variant>
        <vt:i4>24</vt:i4>
      </vt:variant>
      <vt:variant>
        <vt:i4>0</vt:i4>
      </vt:variant>
      <vt:variant>
        <vt:i4>5</vt:i4>
      </vt:variant>
      <vt:variant>
        <vt:lpwstr>http://eur-lex.europa.eu/eli/dir/2015/849/oj/?locale=LV</vt:lpwstr>
      </vt:variant>
      <vt:variant>
        <vt:lpwstr/>
      </vt:variant>
      <vt:variant>
        <vt:i4>1572866</vt:i4>
      </vt:variant>
      <vt:variant>
        <vt:i4>21</vt:i4>
      </vt:variant>
      <vt:variant>
        <vt:i4>0</vt:i4>
      </vt:variant>
      <vt:variant>
        <vt:i4>5</vt:i4>
      </vt:variant>
      <vt:variant>
        <vt:lpwstr>https://likumi.lv/ta/id/178987-noziedzigi-iegutu-lidzeklu-legalizacijas-un-terorisma-un-proliferacijas-finansesanas-noversanas-likums</vt:lpwstr>
      </vt:variant>
      <vt:variant>
        <vt:lpwstr/>
      </vt:variant>
      <vt:variant>
        <vt:i4>7077942</vt:i4>
      </vt:variant>
      <vt:variant>
        <vt:i4>18</vt:i4>
      </vt:variant>
      <vt:variant>
        <vt:i4>0</vt:i4>
      </vt:variant>
      <vt:variant>
        <vt:i4>5</vt:i4>
      </vt:variant>
      <vt:variant>
        <vt:lpwstr>http://eur-lex.europa.eu/eli/dir/2003/124/oj/?locale=LV</vt:lpwstr>
      </vt:variant>
      <vt:variant>
        <vt:lpwstr/>
      </vt:variant>
      <vt:variant>
        <vt:i4>6160389</vt:i4>
      </vt:variant>
      <vt:variant>
        <vt:i4>15</vt:i4>
      </vt:variant>
      <vt:variant>
        <vt:i4>0</vt:i4>
      </vt:variant>
      <vt:variant>
        <vt:i4>5</vt:i4>
      </vt:variant>
      <vt:variant>
        <vt:lpwstr>http://eur-lex.europa.eu/eli/dir/2003/6/oj/?locale=LV</vt:lpwstr>
      </vt:variant>
      <vt:variant>
        <vt:lpwstr/>
      </vt:variant>
      <vt:variant>
        <vt:i4>6619195</vt:i4>
      </vt:variant>
      <vt:variant>
        <vt:i4>12</vt:i4>
      </vt:variant>
      <vt:variant>
        <vt:i4>0</vt:i4>
      </vt:variant>
      <vt:variant>
        <vt:i4>5</vt:i4>
      </vt:variant>
      <vt:variant>
        <vt:lpwstr>http://eur-lex.europa.eu/eli/reg/2014/596/oj/?locale=LV</vt:lpwstr>
      </vt:variant>
      <vt:variant>
        <vt:lpwstr/>
      </vt:variant>
      <vt:variant>
        <vt:i4>983046</vt:i4>
      </vt:variant>
      <vt:variant>
        <vt:i4>9</vt:i4>
      </vt:variant>
      <vt:variant>
        <vt:i4>0</vt:i4>
      </vt:variant>
      <vt:variant>
        <vt:i4>5</vt:i4>
      </vt:variant>
      <vt:variant>
        <vt:lpwstr>https://likumi.lv/ta/id/320289</vt:lpwstr>
      </vt:variant>
      <vt:variant>
        <vt:lpwstr>p6</vt:lpwstr>
      </vt:variant>
      <vt:variant>
        <vt:i4>7012404</vt:i4>
      </vt:variant>
      <vt:variant>
        <vt:i4>6</vt:i4>
      </vt:variant>
      <vt:variant>
        <vt:i4>0</vt:i4>
      </vt:variant>
      <vt:variant>
        <vt:i4>5</vt:i4>
      </vt:variant>
      <vt:variant>
        <vt:lpwstr>http://eur-lex.europa.eu/eli/dir/2015/849/oj/?locale=LV</vt:lpwstr>
      </vt:variant>
      <vt:variant>
        <vt:lpwstr/>
      </vt:variant>
      <vt:variant>
        <vt:i4>5701693</vt:i4>
      </vt:variant>
      <vt:variant>
        <vt:i4>3</vt:i4>
      </vt:variant>
      <vt:variant>
        <vt:i4>0</vt:i4>
      </vt:variant>
      <vt:variant>
        <vt:i4>5</vt:i4>
      </vt:variant>
      <vt:variant>
        <vt:lpwstr>https://likumi.lv/ta/id/178987</vt:lpwstr>
      </vt:variant>
      <vt:variant>
        <vt:lpwstr>p11_1</vt:lpwstr>
      </vt:variant>
      <vt:variant>
        <vt:i4>917516</vt:i4>
      </vt:variant>
      <vt:variant>
        <vt:i4>0</vt:i4>
      </vt:variant>
      <vt:variant>
        <vt:i4>0</vt:i4>
      </vt:variant>
      <vt:variant>
        <vt:i4>5</vt:i4>
      </vt:variant>
      <vt:variant>
        <vt:lpwstr>https://likumi.lv/ta/id/178987</vt:lpwstr>
      </vt:variant>
      <vt:variant>
        <vt:lpwstr>p7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Veips</dc:creator>
  <cp:keywords/>
  <cp:lastModifiedBy>Zane Zarečņeva</cp:lastModifiedBy>
  <cp:revision>2</cp:revision>
  <cp:lastPrinted>2024-10-21T06:14:00Z</cp:lastPrinted>
  <dcterms:created xsi:type="dcterms:W3CDTF">2024-10-21T07:52:00Z</dcterms:created>
  <dcterms:modified xsi:type="dcterms:W3CDTF">2024-10-21T07:52:00Z</dcterms:modified>
</cp:coreProperties>
</file>