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3D3F6F99" w:rsidR="006C3828" w:rsidRPr="00894D21" w:rsidRDefault="006C3828" w:rsidP="00B917A7">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r w:rsidR="00BF3F58" w:rsidRPr="00BF3F58">
        <w:rPr>
          <w:rFonts w:ascii="Times New Roman" w:hAnsi="Times New Roman" w:cs="Times New Roman"/>
          <w:b/>
          <w:bCs/>
          <w:sz w:val="24"/>
          <w:szCs w:val="24"/>
        </w:rPr>
        <w:t>Apdrošinā</w:t>
      </w:r>
      <w:r w:rsidR="005B0A89">
        <w:rPr>
          <w:rFonts w:ascii="Times New Roman" w:hAnsi="Times New Roman" w:cs="Times New Roman"/>
          <w:b/>
          <w:bCs/>
          <w:sz w:val="24"/>
          <w:szCs w:val="24"/>
        </w:rPr>
        <w:t>tāj</w:t>
      </w:r>
      <w:r w:rsidR="00DC010D">
        <w:rPr>
          <w:rFonts w:ascii="Times New Roman" w:hAnsi="Times New Roman" w:cs="Times New Roman"/>
          <w:b/>
          <w:bCs/>
          <w:sz w:val="24"/>
          <w:szCs w:val="24"/>
        </w:rPr>
        <w:t>a</w:t>
      </w:r>
      <w:r w:rsidR="005B0A89">
        <w:rPr>
          <w:rFonts w:ascii="Times New Roman" w:hAnsi="Times New Roman" w:cs="Times New Roman"/>
          <w:b/>
          <w:bCs/>
          <w:sz w:val="24"/>
          <w:szCs w:val="24"/>
        </w:rPr>
        <w:t xml:space="preserve"> </w:t>
      </w:r>
      <w:r w:rsidR="00734BF5">
        <w:rPr>
          <w:rFonts w:ascii="Times New Roman" w:hAnsi="Times New Roman" w:cs="Times New Roman"/>
          <w:b/>
          <w:bCs/>
          <w:sz w:val="24"/>
          <w:szCs w:val="24"/>
        </w:rPr>
        <w:t>publisk</w:t>
      </w:r>
      <w:r w:rsidR="00B50512">
        <w:rPr>
          <w:rFonts w:ascii="Times New Roman" w:hAnsi="Times New Roman" w:cs="Times New Roman"/>
          <w:b/>
          <w:bCs/>
          <w:sz w:val="24"/>
          <w:szCs w:val="24"/>
        </w:rPr>
        <w:t>ā</w:t>
      </w:r>
      <w:r w:rsidR="00734BF5">
        <w:rPr>
          <w:rFonts w:ascii="Times New Roman" w:hAnsi="Times New Roman" w:cs="Times New Roman"/>
          <w:b/>
          <w:bCs/>
          <w:sz w:val="24"/>
          <w:szCs w:val="24"/>
        </w:rPr>
        <w:t xml:space="preserve"> ceturkšņa pārskat</w:t>
      </w:r>
      <w:r w:rsidR="00B50512">
        <w:rPr>
          <w:rFonts w:ascii="Times New Roman" w:hAnsi="Times New Roman" w:cs="Times New Roman"/>
          <w:b/>
          <w:bCs/>
          <w:sz w:val="24"/>
          <w:szCs w:val="24"/>
        </w:rPr>
        <w:t>a</w:t>
      </w:r>
      <w:r w:rsidR="00734BF5">
        <w:rPr>
          <w:rFonts w:ascii="Times New Roman" w:hAnsi="Times New Roman" w:cs="Times New Roman"/>
          <w:b/>
          <w:bCs/>
          <w:sz w:val="24"/>
          <w:szCs w:val="24"/>
        </w:rPr>
        <w:t xml:space="preserve"> sagatavošanas</w:t>
      </w:r>
      <w:r w:rsidR="00EF0378">
        <w:rPr>
          <w:rFonts w:ascii="Times New Roman" w:hAnsi="Times New Roman" w:cs="Times New Roman"/>
          <w:b/>
          <w:bCs/>
          <w:sz w:val="24"/>
          <w:szCs w:val="24"/>
        </w:rPr>
        <w:t>, publicēšanas un iesniegšanas</w:t>
      </w:r>
      <w:r w:rsidR="00734BF5">
        <w:rPr>
          <w:rFonts w:ascii="Times New Roman" w:hAnsi="Times New Roman" w:cs="Times New Roman"/>
          <w:b/>
          <w:bCs/>
          <w:sz w:val="24"/>
          <w:szCs w:val="24"/>
        </w:rPr>
        <w:t xml:space="preserve"> </w:t>
      </w:r>
      <w:r w:rsidR="00BF3F58" w:rsidRPr="00BF3F58">
        <w:rPr>
          <w:rFonts w:ascii="Times New Roman" w:hAnsi="Times New Roman" w:cs="Times New Roman"/>
          <w:b/>
          <w:bCs/>
          <w:sz w:val="24"/>
          <w:szCs w:val="24"/>
        </w:rPr>
        <w:t>noteikumi</w:t>
      </w:r>
      <w:r w:rsidRPr="00894D21">
        <w:rPr>
          <w:rFonts w:ascii="Times New Roman" w:hAnsi="Times New Roman" w:cs="Times New Roman"/>
          <w:b/>
          <w:bCs/>
          <w:sz w:val="24"/>
          <w:szCs w:val="24"/>
        </w:rPr>
        <w:t>" anotācija</w:t>
      </w:r>
    </w:p>
    <w:p w14:paraId="328163FB" w14:textId="77777777" w:rsidR="006C3828" w:rsidRPr="00894D21" w:rsidRDefault="006C3828" w:rsidP="00B917A7">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3"/>
        <w:gridCol w:w="6771"/>
      </w:tblGrid>
      <w:tr w:rsidR="006C3828" w:rsidRPr="00894D21" w14:paraId="2962AEE1" w14:textId="77777777" w:rsidTr="002B2146">
        <w:trPr>
          <w:trHeight w:val="567"/>
        </w:trPr>
        <w:tc>
          <w:tcPr>
            <w:tcW w:w="1014" w:type="pct"/>
            <w:shd w:val="clear" w:color="auto" w:fill="auto"/>
            <w:hideMark/>
          </w:tcPr>
          <w:p w14:paraId="28E56CFA"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00D2931F" w14:textId="03C92E83" w:rsidR="006C3828" w:rsidRPr="00894D21" w:rsidRDefault="00BF3F58" w:rsidP="00B917A7">
            <w:pPr>
              <w:spacing w:after="120" w:line="240" w:lineRule="auto"/>
              <w:jc w:val="both"/>
              <w:rPr>
                <w:rFonts w:ascii="Times New Roman" w:eastAsia="Times New Roman" w:hAnsi="Times New Roman" w:cs="Times New Roman"/>
                <w:sz w:val="24"/>
                <w:szCs w:val="24"/>
                <w:lang w:eastAsia="lv-LV"/>
              </w:rPr>
            </w:pPr>
            <w:r w:rsidRPr="00EF0378">
              <w:rPr>
                <w:rFonts w:ascii="Times New Roman" w:eastAsia="Times New Roman" w:hAnsi="Times New Roman" w:cs="Times New Roman"/>
                <w:sz w:val="24"/>
                <w:szCs w:val="24"/>
                <w:lang w:eastAsia="lv-LV"/>
              </w:rPr>
              <w:t>Apdrošinā</w:t>
            </w:r>
            <w:r w:rsidR="005B0A89" w:rsidRPr="00EF0378">
              <w:rPr>
                <w:rFonts w:ascii="Times New Roman" w:eastAsia="Times New Roman" w:hAnsi="Times New Roman" w:cs="Times New Roman"/>
                <w:sz w:val="24"/>
                <w:szCs w:val="24"/>
                <w:lang w:eastAsia="lv-LV"/>
              </w:rPr>
              <w:t>tāj</w:t>
            </w:r>
            <w:r w:rsidR="00DC010D">
              <w:rPr>
                <w:rFonts w:ascii="Times New Roman" w:eastAsia="Times New Roman" w:hAnsi="Times New Roman" w:cs="Times New Roman"/>
                <w:sz w:val="24"/>
                <w:szCs w:val="24"/>
                <w:lang w:eastAsia="lv-LV"/>
              </w:rPr>
              <w:t>a</w:t>
            </w:r>
            <w:r w:rsidR="00CC5D5D" w:rsidRPr="00EF0378">
              <w:rPr>
                <w:rFonts w:ascii="Times New Roman" w:eastAsia="Times New Roman" w:hAnsi="Times New Roman" w:cs="Times New Roman"/>
                <w:sz w:val="24"/>
                <w:szCs w:val="24"/>
                <w:lang w:eastAsia="lv-LV"/>
              </w:rPr>
              <w:t xml:space="preserve"> publisk</w:t>
            </w:r>
            <w:r w:rsidR="00B50512">
              <w:rPr>
                <w:rFonts w:ascii="Times New Roman" w:eastAsia="Times New Roman" w:hAnsi="Times New Roman" w:cs="Times New Roman"/>
                <w:sz w:val="24"/>
                <w:szCs w:val="24"/>
                <w:lang w:eastAsia="lv-LV"/>
              </w:rPr>
              <w:t>ā</w:t>
            </w:r>
            <w:r w:rsidR="00CC5D5D" w:rsidRPr="00EF0378">
              <w:rPr>
                <w:rFonts w:ascii="Times New Roman" w:eastAsia="Times New Roman" w:hAnsi="Times New Roman" w:cs="Times New Roman"/>
                <w:sz w:val="24"/>
                <w:szCs w:val="24"/>
                <w:lang w:eastAsia="lv-LV"/>
              </w:rPr>
              <w:t xml:space="preserve"> ceturkšņa pārskat</w:t>
            </w:r>
            <w:r w:rsidR="00B50512">
              <w:rPr>
                <w:rFonts w:ascii="Times New Roman" w:eastAsia="Times New Roman" w:hAnsi="Times New Roman" w:cs="Times New Roman"/>
                <w:sz w:val="24"/>
                <w:szCs w:val="24"/>
                <w:lang w:eastAsia="lv-LV"/>
              </w:rPr>
              <w:t>a</w:t>
            </w:r>
            <w:r w:rsidR="00CC5D5D" w:rsidRPr="00EF0378">
              <w:rPr>
                <w:rFonts w:ascii="Times New Roman" w:eastAsia="Times New Roman" w:hAnsi="Times New Roman" w:cs="Times New Roman"/>
                <w:sz w:val="24"/>
                <w:szCs w:val="24"/>
                <w:lang w:eastAsia="lv-LV"/>
              </w:rPr>
              <w:t xml:space="preserve"> sagatavošanas</w:t>
            </w:r>
            <w:r w:rsidR="00EF0378" w:rsidRPr="00EF0378">
              <w:rPr>
                <w:rFonts w:ascii="Times New Roman" w:eastAsia="Times New Roman" w:hAnsi="Times New Roman" w:cs="Times New Roman"/>
                <w:sz w:val="24"/>
                <w:szCs w:val="24"/>
                <w:lang w:eastAsia="lv-LV"/>
              </w:rPr>
              <w:t xml:space="preserve">, publicēšanas un iesniegšanas </w:t>
            </w:r>
            <w:r w:rsidR="00CC5D5D" w:rsidRPr="00EF0378">
              <w:rPr>
                <w:rFonts w:ascii="Times New Roman" w:eastAsia="Times New Roman" w:hAnsi="Times New Roman" w:cs="Times New Roman"/>
                <w:sz w:val="24"/>
                <w:szCs w:val="24"/>
                <w:lang w:eastAsia="lv-LV"/>
              </w:rPr>
              <w:t>noteikumi</w:t>
            </w:r>
          </w:p>
        </w:tc>
      </w:tr>
      <w:tr w:rsidR="006C3828" w:rsidRPr="00894D21" w14:paraId="7F11A741" w14:textId="77777777" w:rsidTr="002B2146">
        <w:trPr>
          <w:trHeight w:val="395"/>
        </w:trPr>
        <w:tc>
          <w:tcPr>
            <w:tcW w:w="1014" w:type="pct"/>
            <w:shd w:val="clear" w:color="auto" w:fill="auto"/>
            <w:hideMark/>
          </w:tcPr>
          <w:p w14:paraId="49DBC46E"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4B5460C8"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2B2146">
        <w:trPr>
          <w:trHeight w:val="567"/>
        </w:trPr>
        <w:tc>
          <w:tcPr>
            <w:tcW w:w="1014" w:type="pct"/>
            <w:shd w:val="clear" w:color="auto" w:fill="auto"/>
            <w:hideMark/>
          </w:tcPr>
          <w:p w14:paraId="634A573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48EEF1AA" w14:textId="6D4A357D" w:rsidR="006C3828" w:rsidRPr="00894D21" w:rsidRDefault="00BF3F58" w:rsidP="00B917A7">
            <w:pPr>
              <w:spacing w:after="120" w:line="240" w:lineRule="auto"/>
              <w:jc w:val="both"/>
              <w:rPr>
                <w:rFonts w:ascii="Times New Roman" w:eastAsia="Times New Roman" w:hAnsi="Times New Roman" w:cs="Times New Roman"/>
                <w:sz w:val="24"/>
                <w:szCs w:val="24"/>
                <w:lang w:eastAsia="lv-LV"/>
              </w:rPr>
            </w:pPr>
            <w:r w:rsidRPr="00BF3F58">
              <w:rPr>
                <w:rFonts w:ascii="Times New Roman" w:eastAsia="Times New Roman" w:hAnsi="Times New Roman" w:cs="Times New Roman"/>
                <w:sz w:val="24"/>
                <w:szCs w:val="24"/>
                <w:lang w:eastAsia="lv-LV"/>
              </w:rPr>
              <w:t>Apdrošināšanas un pārapdrošināšanas likuma</w:t>
            </w:r>
            <w:r w:rsidR="005B533C" w:rsidRPr="005B533C">
              <w:rPr>
                <w:rFonts w:ascii="Times New Roman" w:eastAsia="Times New Roman" w:hAnsi="Times New Roman" w:cs="Times New Roman"/>
                <w:sz w:val="24"/>
                <w:szCs w:val="24"/>
                <w:lang w:eastAsia="lv-LV"/>
              </w:rPr>
              <w:t xml:space="preserve"> </w:t>
            </w:r>
            <w:r w:rsidRPr="00BF3F58">
              <w:rPr>
                <w:rFonts w:ascii="Times New Roman" w:eastAsia="Times New Roman" w:hAnsi="Times New Roman" w:cs="Times New Roman"/>
                <w:sz w:val="24"/>
                <w:szCs w:val="24"/>
                <w:lang w:eastAsia="lv-LV"/>
              </w:rPr>
              <w:t>41.</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astot</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r w:rsidR="002D1112">
              <w:rPr>
                <w:rFonts w:ascii="Times New Roman" w:eastAsia="Times New Roman" w:hAnsi="Times New Roman" w:cs="Times New Roman"/>
                <w:sz w:val="24"/>
                <w:szCs w:val="24"/>
                <w:lang w:eastAsia="lv-LV"/>
              </w:rPr>
              <w:t xml:space="preserve"> un</w:t>
            </w:r>
            <w:r w:rsidRPr="00BF3F58">
              <w:rPr>
                <w:rFonts w:ascii="Times New Roman" w:eastAsia="Times New Roman" w:hAnsi="Times New Roman" w:cs="Times New Roman"/>
                <w:sz w:val="24"/>
                <w:szCs w:val="24"/>
                <w:lang w:eastAsia="lv-LV"/>
              </w:rPr>
              <w:t xml:space="preserve"> </w:t>
            </w:r>
            <w:r w:rsidR="00CC5D5D">
              <w:rPr>
                <w:rFonts w:ascii="Times New Roman" w:eastAsia="Times New Roman" w:hAnsi="Times New Roman" w:cs="Times New Roman"/>
                <w:sz w:val="24"/>
                <w:szCs w:val="24"/>
                <w:lang w:eastAsia="lv-LV"/>
              </w:rPr>
              <w:t>91.</w:t>
            </w:r>
            <w:r w:rsidR="00712F75">
              <w:rPr>
                <w:rFonts w:ascii="Times New Roman" w:eastAsia="Times New Roman" w:hAnsi="Times New Roman" w:cs="Times New Roman"/>
                <w:sz w:val="24"/>
                <w:szCs w:val="24"/>
                <w:lang w:eastAsia="lv-LV"/>
              </w:rPr>
              <w:t> </w:t>
            </w:r>
            <w:r w:rsidR="00CC5D5D">
              <w:rPr>
                <w:rFonts w:ascii="Times New Roman" w:eastAsia="Times New Roman" w:hAnsi="Times New Roman" w:cs="Times New Roman"/>
                <w:sz w:val="24"/>
                <w:szCs w:val="24"/>
                <w:lang w:eastAsia="lv-LV"/>
              </w:rPr>
              <w:t>panta ceturtā daļa</w:t>
            </w:r>
            <w:r w:rsidR="002D1112">
              <w:rPr>
                <w:rFonts w:ascii="Times New Roman" w:eastAsia="Times New Roman" w:hAnsi="Times New Roman" w:cs="Times New Roman"/>
                <w:sz w:val="24"/>
                <w:szCs w:val="24"/>
                <w:lang w:eastAsia="lv-LV"/>
              </w:rPr>
              <w:t xml:space="preserve"> un</w:t>
            </w:r>
            <w:r w:rsidRPr="00BF3F58">
              <w:rPr>
                <w:rFonts w:ascii="Times New Roman" w:eastAsia="Times New Roman" w:hAnsi="Times New Roman" w:cs="Times New Roman"/>
                <w:sz w:val="24"/>
                <w:szCs w:val="24"/>
                <w:lang w:eastAsia="lv-LV"/>
              </w:rPr>
              <w:t xml:space="preserve"> Latvijas Bankas likuma 63.</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sidR="002866A5">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w:t>
            </w:r>
            <w:r w:rsidRPr="00BF3F58">
              <w:rPr>
                <w:rFonts w:ascii="Times New Roman" w:eastAsia="Times New Roman" w:hAnsi="Times New Roman" w:cs="Times New Roman"/>
                <w:sz w:val="24"/>
                <w:szCs w:val="24"/>
                <w:lang w:eastAsia="lv-LV"/>
              </w:rPr>
              <w:t>un 68.</w:t>
            </w:r>
            <w:r w:rsidR="00B917A7">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treš</w:t>
            </w:r>
            <w:r>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6C3828" w:rsidRPr="00894D21" w14:paraId="26D3F596" w14:textId="77777777" w:rsidTr="002B2146">
        <w:trPr>
          <w:trHeight w:val="567"/>
        </w:trPr>
        <w:tc>
          <w:tcPr>
            <w:tcW w:w="1014" w:type="pct"/>
            <w:shd w:val="clear" w:color="auto" w:fill="auto"/>
            <w:hideMark/>
          </w:tcPr>
          <w:p w14:paraId="253A449D"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470A3BB" w14:textId="1933FEE8" w:rsidR="00896DBD" w:rsidRPr="00EF0378" w:rsidRDefault="00896DBD" w:rsidP="00B917A7">
            <w:pPr>
              <w:spacing w:after="120" w:line="240" w:lineRule="auto"/>
              <w:jc w:val="both"/>
              <w:rPr>
                <w:rFonts w:ascii="Times New Roman" w:hAnsi="Times New Roman" w:cs="Times New Roman"/>
                <w:sz w:val="24"/>
                <w:szCs w:val="24"/>
              </w:rPr>
            </w:pPr>
            <w:r w:rsidRPr="00894D21">
              <w:rPr>
                <w:rFonts w:ascii="Times New Roman" w:hAnsi="Times New Roman" w:cs="Times New Roman"/>
                <w:sz w:val="24"/>
                <w:szCs w:val="24"/>
              </w:rPr>
              <w:t>Saskaņā ar Latvijas Bankas likuma pārejas noteikumu 3.</w:t>
            </w:r>
            <w:r w:rsidR="00882736" w:rsidRPr="00894D21">
              <w:rPr>
                <w:rFonts w:ascii="Times New Roman" w:hAnsi="Times New Roman" w:cs="Times New Roman"/>
                <w:sz w:val="24"/>
                <w:szCs w:val="24"/>
              </w:rPr>
              <w:t> </w:t>
            </w:r>
            <w:r w:rsidRPr="00894D21">
              <w:rPr>
                <w:rFonts w:ascii="Times New Roman" w:hAnsi="Times New Roman" w:cs="Times New Roman"/>
                <w:sz w:val="24"/>
                <w:szCs w:val="24"/>
              </w:rPr>
              <w:t xml:space="preserve">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w:t>
            </w:r>
            <w:r w:rsidR="00DB410E">
              <w:rPr>
                <w:rFonts w:ascii="Times New Roman" w:hAnsi="Times New Roman" w:cs="Times New Roman"/>
                <w:sz w:val="24"/>
                <w:szCs w:val="24"/>
              </w:rPr>
              <w:t>vēlāk</w:t>
            </w:r>
            <w:r w:rsidRPr="00894D21">
              <w:rPr>
                <w:rFonts w:ascii="Times New Roman" w:hAnsi="Times New Roman" w:cs="Times New Roman"/>
                <w:sz w:val="24"/>
                <w:szCs w:val="24"/>
              </w:rPr>
              <w:t xml:space="preserve"> kā </w:t>
            </w:r>
            <w:r w:rsidRPr="00EF0378">
              <w:rPr>
                <w:rFonts w:ascii="Times New Roman" w:hAnsi="Times New Roman" w:cs="Times New Roman"/>
                <w:sz w:val="24"/>
                <w:szCs w:val="24"/>
              </w:rPr>
              <w:t>līdz 2024.</w:t>
            </w:r>
            <w:r w:rsidR="00882736" w:rsidRPr="00EF0378">
              <w:rPr>
                <w:rFonts w:ascii="Times New Roman" w:hAnsi="Times New Roman" w:cs="Times New Roman"/>
                <w:sz w:val="24"/>
                <w:szCs w:val="24"/>
              </w:rPr>
              <w:t> </w:t>
            </w:r>
            <w:r w:rsidRPr="00EF0378">
              <w:rPr>
                <w:rFonts w:ascii="Times New Roman" w:hAnsi="Times New Roman" w:cs="Times New Roman"/>
                <w:sz w:val="24"/>
                <w:szCs w:val="24"/>
              </w:rPr>
              <w:t>gada 31.</w:t>
            </w:r>
            <w:r w:rsidR="00882736" w:rsidRPr="00EF0378">
              <w:rPr>
                <w:rFonts w:ascii="Times New Roman" w:hAnsi="Times New Roman" w:cs="Times New Roman"/>
                <w:sz w:val="24"/>
                <w:szCs w:val="24"/>
              </w:rPr>
              <w:t> </w:t>
            </w:r>
            <w:r w:rsidRPr="00EF0378">
              <w:rPr>
                <w:rFonts w:ascii="Times New Roman" w:hAnsi="Times New Roman" w:cs="Times New Roman"/>
                <w:sz w:val="24"/>
                <w:szCs w:val="24"/>
              </w:rPr>
              <w:t>decembrim.</w:t>
            </w:r>
          </w:p>
          <w:p w14:paraId="5EEF3941" w14:textId="1BBB90D9" w:rsidR="00BF3F58" w:rsidRDefault="00896DBD" w:rsidP="00B917A7">
            <w:pPr>
              <w:spacing w:after="120" w:line="240" w:lineRule="auto"/>
              <w:jc w:val="both"/>
              <w:rPr>
                <w:rFonts w:ascii="Times New Roman" w:hAnsi="Times New Roman" w:cs="Times New Roman"/>
                <w:sz w:val="24"/>
                <w:szCs w:val="24"/>
              </w:rPr>
            </w:pPr>
            <w:r w:rsidRPr="00EF0378">
              <w:rPr>
                <w:rFonts w:ascii="Times New Roman" w:hAnsi="Times New Roman" w:cs="Times New Roman"/>
                <w:sz w:val="24"/>
                <w:szCs w:val="24"/>
              </w:rPr>
              <w:t>Ņemot vērā minēto, Latvijas Banka ir izstrādājusi noteikumu projektu "</w:t>
            </w:r>
            <w:r w:rsidR="00CC5D5D" w:rsidRPr="00EF0378">
              <w:rPr>
                <w:rFonts w:ascii="Times New Roman" w:eastAsia="Times New Roman" w:hAnsi="Times New Roman" w:cs="Times New Roman"/>
                <w:sz w:val="24"/>
                <w:szCs w:val="24"/>
                <w:lang w:eastAsia="lv-LV"/>
              </w:rPr>
              <w:t>Apdrošinā</w:t>
            </w:r>
            <w:r w:rsidR="005B0A89" w:rsidRPr="00EF0378">
              <w:rPr>
                <w:rFonts w:ascii="Times New Roman" w:eastAsia="Times New Roman" w:hAnsi="Times New Roman" w:cs="Times New Roman"/>
                <w:sz w:val="24"/>
                <w:szCs w:val="24"/>
                <w:lang w:eastAsia="lv-LV"/>
              </w:rPr>
              <w:t>tāj</w:t>
            </w:r>
            <w:r w:rsidR="00DC010D">
              <w:rPr>
                <w:rFonts w:ascii="Times New Roman" w:eastAsia="Times New Roman" w:hAnsi="Times New Roman" w:cs="Times New Roman"/>
                <w:sz w:val="24"/>
                <w:szCs w:val="24"/>
                <w:lang w:eastAsia="lv-LV"/>
              </w:rPr>
              <w:t>a</w:t>
            </w:r>
            <w:r w:rsidR="00CC5D5D" w:rsidRPr="00EF0378">
              <w:rPr>
                <w:rFonts w:ascii="Times New Roman" w:eastAsia="Times New Roman" w:hAnsi="Times New Roman" w:cs="Times New Roman"/>
                <w:sz w:val="24"/>
                <w:szCs w:val="24"/>
                <w:lang w:eastAsia="lv-LV"/>
              </w:rPr>
              <w:t xml:space="preserve"> publisk</w:t>
            </w:r>
            <w:r w:rsidR="00B50512">
              <w:rPr>
                <w:rFonts w:ascii="Times New Roman" w:eastAsia="Times New Roman" w:hAnsi="Times New Roman" w:cs="Times New Roman"/>
                <w:sz w:val="24"/>
                <w:szCs w:val="24"/>
                <w:lang w:eastAsia="lv-LV"/>
              </w:rPr>
              <w:t>ā</w:t>
            </w:r>
            <w:r w:rsidR="00CC5D5D" w:rsidRPr="00EF0378">
              <w:rPr>
                <w:rFonts w:ascii="Times New Roman" w:eastAsia="Times New Roman" w:hAnsi="Times New Roman" w:cs="Times New Roman"/>
                <w:sz w:val="24"/>
                <w:szCs w:val="24"/>
                <w:lang w:eastAsia="lv-LV"/>
              </w:rPr>
              <w:t xml:space="preserve"> ceturkšņa pārskat</w:t>
            </w:r>
            <w:r w:rsidR="00B50512">
              <w:rPr>
                <w:rFonts w:ascii="Times New Roman" w:eastAsia="Times New Roman" w:hAnsi="Times New Roman" w:cs="Times New Roman"/>
                <w:sz w:val="24"/>
                <w:szCs w:val="24"/>
                <w:lang w:eastAsia="lv-LV"/>
              </w:rPr>
              <w:t>a</w:t>
            </w:r>
            <w:r w:rsidR="00CC5D5D" w:rsidRPr="00EF0378">
              <w:rPr>
                <w:rFonts w:ascii="Times New Roman" w:eastAsia="Times New Roman" w:hAnsi="Times New Roman" w:cs="Times New Roman"/>
                <w:sz w:val="24"/>
                <w:szCs w:val="24"/>
                <w:lang w:eastAsia="lv-LV"/>
              </w:rPr>
              <w:t xml:space="preserve"> sagatavošanas</w:t>
            </w:r>
            <w:r w:rsidR="00EF0378" w:rsidRPr="00EF0378">
              <w:rPr>
                <w:rFonts w:ascii="Times New Roman" w:eastAsia="Times New Roman" w:hAnsi="Times New Roman" w:cs="Times New Roman"/>
                <w:sz w:val="24"/>
                <w:szCs w:val="24"/>
                <w:lang w:eastAsia="lv-LV"/>
              </w:rPr>
              <w:t xml:space="preserve">, publicēšanas un iesniegšanas </w:t>
            </w:r>
            <w:r w:rsidR="00CC5D5D" w:rsidRPr="00EF0378">
              <w:rPr>
                <w:rFonts w:ascii="Times New Roman" w:eastAsia="Times New Roman" w:hAnsi="Times New Roman" w:cs="Times New Roman"/>
                <w:sz w:val="24"/>
                <w:szCs w:val="24"/>
                <w:lang w:eastAsia="lv-LV"/>
              </w:rPr>
              <w:t>noteikumi</w:t>
            </w:r>
            <w:r w:rsidRPr="00EF0378">
              <w:rPr>
                <w:rFonts w:ascii="Times New Roman" w:eastAsia="Times New Roman" w:hAnsi="Times New Roman" w:cs="Times New Roman"/>
                <w:sz w:val="24"/>
                <w:szCs w:val="24"/>
                <w:lang w:eastAsia="lv-LV"/>
              </w:rPr>
              <w:t>" (turpmāk</w:t>
            </w:r>
            <w:r w:rsidR="00882736" w:rsidRPr="00EF0378">
              <w:rPr>
                <w:rFonts w:ascii="Times New Roman" w:eastAsia="Times New Roman" w:hAnsi="Times New Roman" w:cs="Times New Roman"/>
                <w:sz w:val="24"/>
                <w:szCs w:val="24"/>
                <w:lang w:eastAsia="lv-LV"/>
              </w:rPr>
              <w:t> </w:t>
            </w:r>
            <w:r w:rsidRPr="00EF0378">
              <w:rPr>
                <w:rFonts w:ascii="Times New Roman" w:eastAsia="Times New Roman" w:hAnsi="Times New Roman" w:cs="Times New Roman"/>
                <w:sz w:val="24"/>
                <w:szCs w:val="24"/>
                <w:lang w:eastAsia="lv-LV"/>
              </w:rPr>
              <w:t>– noteikumu projekts), kas</w:t>
            </w:r>
            <w:r w:rsidR="00591CBF" w:rsidRPr="00EF0378">
              <w:rPr>
                <w:rFonts w:ascii="Times New Roman" w:eastAsia="Times New Roman" w:hAnsi="Times New Roman" w:cs="Times New Roman"/>
                <w:sz w:val="24"/>
                <w:szCs w:val="24"/>
                <w:lang w:eastAsia="lv-LV"/>
              </w:rPr>
              <w:t xml:space="preserve"> </w:t>
            </w:r>
            <w:r w:rsidRPr="00EF0378">
              <w:rPr>
                <w:rFonts w:ascii="Times New Roman" w:eastAsia="Times New Roman" w:hAnsi="Times New Roman" w:cs="Times New Roman"/>
                <w:sz w:val="24"/>
                <w:szCs w:val="24"/>
                <w:lang w:eastAsia="lv-LV"/>
              </w:rPr>
              <w:t>aizstās</w:t>
            </w:r>
            <w:r w:rsidR="006A2A11" w:rsidRPr="00EF0378">
              <w:rPr>
                <w:rFonts w:ascii="Times New Roman" w:eastAsia="Times New Roman" w:hAnsi="Times New Roman" w:cs="Times New Roman"/>
                <w:sz w:val="24"/>
                <w:szCs w:val="24"/>
                <w:lang w:eastAsia="lv-LV"/>
              </w:rPr>
              <w:t xml:space="preserve"> </w:t>
            </w:r>
            <w:r w:rsidRPr="00EF0378">
              <w:rPr>
                <w:rFonts w:ascii="Times New Roman" w:eastAsia="Times New Roman" w:hAnsi="Times New Roman" w:cs="Times New Roman"/>
                <w:sz w:val="24"/>
                <w:szCs w:val="24"/>
                <w:lang w:eastAsia="lv-LV"/>
              </w:rPr>
              <w:t xml:space="preserve">Finanšu un kapitāla tirgus komisijas </w:t>
            </w:r>
            <w:r w:rsidR="00BF3F58" w:rsidRPr="00EF0378">
              <w:rPr>
                <w:rFonts w:ascii="Times New Roman" w:eastAsia="Times New Roman" w:hAnsi="Times New Roman" w:cs="Times New Roman"/>
                <w:sz w:val="24"/>
                <w:szCs w:val="24"/>
                <w:lang w:eastAsia="lv-LV"/>
              </w:rPr>
              <w:t>2020.</w:t>
            </w:r>
            <w:r w:rsidR="00B917A7" w:rsidRPr="00EF0378">
              <w:rPr>
                <w:rFonts w:ascii="Times New Roman" w:eastAsia="Times New Roman" w:hAnsi="Times New Roman" w:cs="Times New Roman"/>
                <w:sz w:val="24"/>
                <w:szCs w:val="24"/>
                <w:lang w:eastAsia="lv-LV"/>
              </w:rPr>
              <w:t> </w:t>
            </w:r>
            <w:r w:rsidR="00BF3F58" w:rsidRPr="00EF0378">
              <w:rPr>
                <w:rFonts w:ascii="Times New Roman" w:eastAsia="Times New Roman" w:hAnsi="Times New Roman" w:cs="Times New Roman"/>
                <w:sz w:val="24"/>
                <w:szCs w:val="24"/>
                <w:lang w:eastAsia="lv-LV"/>
              </w:rPr>
              <w:t xml:space="preserve">gada </w:t>
            </w:r>
            <w:r w:rsidR="00CC5D5D" w:rsidRPr="00EF0378">
              <w:rPr>
                <w:rFonts w:ascii="Times New Roman" w:eastAsia="Times New Roman" w:hAnsi="Times New Roman" w:cs="Times New Roman"/>
                <w:sz w:val="24"/>
                <w:szCs w:val="24"/>
                <w:lang w:eastAsia="lv-LV"/>
              </w:rPr>
              <w:t>11. augusta normatīvos noteikumus Nr.</w:t>
            </w:r>
            <w:r w:rsidR="00CC5D5D">
              <w:rPr>
                <w:rFonts w:ascii="Times New Roman" w:eastAsia="Times New Roman" w:hAnsi="Times New Roman" w:cs="Times New Roman"/>
                <w:sz w:val="24"/>
                <w:szCs w:val="24"/>
                <w:lang w:eastAsia="lv-LV"/>
              </w:rPr>
              <w:t> </w:t>
            </w:r>
            <w:r w:rsidR="00CC5D5D" w:rsidRPr="00CC5D5D">
              <w:rPr>
                <w:rFonts w:ascii="Times New Roman" w:eastAsia="Times New Roman" w:hAnsi="Times New Roman" w:cs="Times New Roman"/>
                <w:sz w:val="24"/>
                <w:szCs w:val="24"/>
                <w:lang w:eastAsia="lv-LV"/>
              </w:rPr>
              <w:t>128</w:t>
            </w:r>
            <w:r w:rsidR="00DD76CD">
              <w:rPr>
                <w:rFonts w:ascii="Times New Roman" w:eastAsia="Times New Roman" w:hAnsi="Times New Roman" w:cs="Times New Roman"/>
                <w:sz w:val="24"/>
                <w:szCs w:val="24"/>
                <w:lang w:eastAsia="lv-LV"/>
              </w:rPr>
              <w:t xml:space="preserve"> </w:t>
            </w:r>
            <w:r w:rsidR="00CC5D5D" w:rsidRPr="00CC5D5D">
              <w:rPr>
                <w:rFonts w:ascii="Times New Roman" w:eastAsia="Times New Roman" w:hAnsi="Times New Roman" w:cs="Times New Roman"/>
                <w:sz w:val="24"/>
                <w:szCs w:val="24"/>
                <w:lang w:eastAsia="lv-LV"/>
              </w:rPr>
              <w:t>"Apdrošināt</w:t>
            </w:r>
            <w:r w:rsidR="00604F9E">
              <w:rPr>
                <w:rFonts w:ascii="Times New Roman" w:eastAsia="Times New Roman" w:hAnsi="Times New Roman" w:cs="Times New Roman"/>
                <w:sz w:val="24"/>
                <w:szCs w:val="24"/>
                <w:lang w:eastAsia="lv-LV"/>
              </w:rPr>
              <w:t>āju</w:t>
            </w:r>
            <w:r w:rsidR="00CC5D5D" w:rsidRPr="00CC5D5D">
              <w:rPr>
                <w:rFonts w:ascii="Times New Roman" w:eastAsia="Times New Roman" w:hAnsi="Times New Roman" w:cs="Times New Roman"/>
                <w:sz w:val="24"/>
                <w:szCs w:val="24"/>
                <w:lang w:eastAsia="lv-LV"/>
              </w:rPr>
              <w:t xml:space="preserve"> publisko ceturkšņa pārskatu sagatavošanas normatīvie noteikumi</w:t>
            </w:r>
            <w:r w:rsidR="00BF3F58" w:rsidRPr="00BF3F58">
              <w:rPr>
                <w:rFonts w:ascii="Times New Roman" w:hAnsi="Times New Roman" w:cs="Times New Roman"/>
                <w:sz w:val="24"/>
                <w:szCs w:val="24"/>
              </w:rPr>
              <w:t>"</w:t>
            </w:r>
            <w:r w:rsidR="00751877">
              <w:rPr>
                <w:rFonts w:ascii="Times New Roman" w:hAnsi="Times New Roman" w:cs="Times New Roman"/>
                <w:sz w:val="24"/>
                <w:szCs w:val="24"/>
              </w:rPr>
              <w:t xml:space="preserve"> </w:t>
            </w:r>
            <w:r w:rsidR="00751877" w:rsidRPr="00751877">
              <w:rPr>
                <w:rFonts w:ascii="Times New Roman" w:hAnsi="Times New Roman" w:cs="Times New Roman"/>
                <w:sz w:val="24"/>
                <w:szCs w:val="24"/>
              </w:rPr>
              <w:t>(turpmāk</w:t>
            </w:r>
            <w:r w:rsidR="00B917A7">
              <w:rPr>
                <w:rFonts w:ascii="Times New Roman" w:hAnsi="Times New Roman" w:cs="Times New Roman"/>
                <w:sz w:val="24"/>
                <w:szCs w:val="24"/>
              </w:rPr>
              <w:t> </w:t>
            </w:r>
            <w:r w:rsidR="00751877" w:rsidRPr="00751877">
              <w:rPr>
                <w:rFonts w:ascii="Times New Roman" w:hAnsi="Times New Roman" w:cs="Times New Roman"/>
                <w:sz w:val="24"/>
                <w:szCs w:val="24"/>
              </w:rPr>
              <w:t>– Noteikumi Nr.</w:t>
            </w:r>
            <w:r w:rsidR="003B58DB">
              <w:rPr>
                <w:rFonts w:ascii="Times New Roman" w:hAnsi="Times New Roman" w:cs="Times New Roman"/>
                <w:sz w:val="24"/>
                <w:szCs w:val="24"/>
              </w:rPr>
              <w:t> </w:t>
            </w:r>
            <w:r w:rsidR="00204AA4">
              <w:rPr>
                <w:rFonts w:ascii="Times New Roman" w:hAnsi="Times New Roman" w:cs="Times New Roman"/>
                <w:sz w:val="24"/>
                <w:szCs w:val="24"/>
              </w:rPr>
              <w:t>1</w:t>
            </w:r>
            <w:r w:rsidR="00751877">
              <w:rPr>
                <w:rFonts w:ascii="Times New Roman" w:hAnsi="Times New Roman" w:cs="Times New Roman"/>
                <w:sz w:val="24"/>
                <w:szCs w:val="24"/>
              </w:rPr>
              <w:t>28</w:t>
            </w:r>
            <w:r w:rsidR="00751877" w:rsidRPr="00751877">
              <w:rPr>
                <w:rFonts w:ascii="Times New Roman" w:hAnsi="Times New Roman" w:cs="Times New Roman"/>
                <w:sz w:val="24"/>
                <w:szCs w:val="24"/>
              </w:rPr>
              <w:t>)</w:t>
            </w:r>
            <w:r w:rsidR="00BF3F58">
              <w:rPr>
                <w:rFonts w:ascii="Times New Roman" w:hAnsi="Times New Roman" w:cs="Times New Roman"/>
                <w:sz w:val="24"/>
                <w:szCs w:val="24"/>
              </w:rPr>
              <w:t>.</w:t>
            </w:r>
          </w:p>
          <w:p w14:paraId="0B2A008D" w14:textId="2071A54D" w:rsidR="00394C66" w:rsidRDefault="00394C66" w:rsidP="00394C66">
            <w:pPr>
              <w:spacing w:after="120" w:line="240" w:lineRule="auto"/>
              <w:jc w:val="both"/>
              <w:rPr>
                <w:rFonts w:ascii="Times New Roman" w:eastAsia="Times New Roman" w:hAnsi="Times New Roman" w:cs="Times New Roman"/>
                <w:sz w:val="24"/>
                <w:szCs w:val="24"/>
                <w:lang w:eastAsia="lv-LV"/>
              </w:rPr>
            </w:pPr>
            <w:r w:rsidRPr="00BF3F58">
              <w:rPr>
                <w:rFonts w:ascii="Times New Roman" w:eastAsia="Times New Roman" w:hAnsi="Times New Roman" w:cs="Times New Roman"/>
                <w:sz w:val="24"/>
                <w:szCs w:val="24"/>
                <w:lang w:eastAsia="lv-LV"/>
              </w:rPr>
              <w:t>Apdrošināšanas un pārapdrošināšanas likuma 41.</w:t>
            </w:r>
            <w:r>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panta astotā daļa nosaka, ka Latvijas Banka ir tiesīga pieprasīt</w:t>
            </w:r>
            <w:r w:rsidR="00774514" w:rsidRPr="00BF3F58">
              <w:rPr>
                <w:rFonts w:ascii="Times New Roman" w:eastAsia="Times New Roman" w:hAnsi="Times New Roman" w:cs="Times New Roman"/>
                <w:sz w:val="24"/>
                <w:szCs w:val="24"/>
                <w:lang w:eastAsia="lv-LV"/>
              </w:rPr>
              <w:t xml:space="preserve"> </w:t>
            </w:r>
            <w:r w:rsidR="009908AB">
              <w:rPr>
                <w:rFonts w:ascii="Times New Roman" w:eastAsia="Times New Roman" w:hAnsi="Times New Roman" w:cs="Times New Roman"/>
                <w:sz w:val="24"/>
                <w:szCs w:val="24"/>
                <w:lang w:eastAsia="lv-LV"/>
              </w:rPr>
              <w:t>apdrošinātājam</w:t>
            </w:r>
            <w:r w:rsidR="00693032">
              <w:rPr>
                <w:rFonts w:ascii="Times New Roman" w:eastAsia="Times New Roman" w:hAnsi="Times New Roman" w:cs="Times New Roman"/>
                <w:sz w:val="24"/>
                <w:szCs w:val="24"/>
                <w:lang w:eastAsia="lv-LV"/>
              </w:rPr>
              <w:t xml:space="preserve"> (</w:t>
            </w:r>
            <w:r w:rsidR="009908AB">
              <w:rPr>
                <w:rFonts w:ascii="Times New Roman" w:eastAsia="Times New Roman" w:hAnsi="Times New Roman" w:cs="Times New Roman"/>
                <w:sz w:val="24"/>
                <w:szCs w:val="24"/>
                <w:lang w:eastAsia="lv-LV"/>
              </w:rPr>
              <w:t>apdrošināšanas sabiedrīb</w:t>
            </w:r>
            <w:r w:rsidR="00F310B0">
              <w:rPr>
                <w:rFonts w:ascii="Times New Roman" w:eastAsia="Times New Roman" w:hAnsi="Times New Roman" w:cs="Times New Roman"/>
                <w:sz w:val="24"/>
                <w:szCs w:val="24"/>
                <w:lang w:eastAsia="lv-LV"/>
              </w:rPr>
              <w:t>ai</w:t>
            </w:r>
            <w:r w:rsidR="005B0A89">
              <w:rPr>
                <w:rFonts w:ascii="Times New Roman" w:eastAsia="Times New Roman" w:hAnsi="Times New Roman" w:cs="Times New Roman"/>
                <w:sz w:val="24"/>
                <w:szCs w:val="24"/>
                <w:lang w:eastAsia="lv-LV"/>
              </w:rPr>
              <w:t>, ārvalsts apdrošinātāj</w:t>
            </w:r>
            <w:r w:rsidR="00F310B0">
              <w:rPr>
                <w:rFonts w:ascii="Times New Roman" w:eastAsia="Times New Roman" w:hAnsi="Times New Roman" w:cs="Times New Roman"/>
                <w:sz w:val="24"/>
                <w:szCs w:val="24"/>
                <w:lang w:eastAsia="lv-LV"/>
              </w:rPr>
              <w:t>a</w:t>
            </w:r>
            <w:r w:rsidR="005B0A89">
              <w:rPr>
                <w:rFonts w:ascii="Times New Roman" w:eastAsia="Times New Roman" w:hAnsi="Times New Roman" w:cs="Times New Roman"/>
                <w:sz w:val="24"/>
                <w:szCs w:val="24"/>
                <w:lang w:eastAsia="lv-LV"/>
              </w:rPr>
              <w:t xml:space="preserve"> filiāl</w:t>
            </w:r>
            <w:r w:rsidR="00F310B0">
              <w:rPr>
                <w:rFonts w:ascii="Times New Roman" w:eastAsia="Times New Roman" w:hAnsi="Times New Roman" w:cs="Times New Roman"/>
                <w:sz w:val="24"/>
                <w:szCs w:val="24"/>
                <w:lang w:eastAsia="lv-LV"/>
              </w:rPr>
              <w:t>ei</w:t>
            </w:r>
            <w:r w:rsidR="009908AB">
              <w:rPr>
                <w:rFonts w:ascii="Times New Roman" w:eastAsia="Times New Roman" w:hAnsi="Times New Roman" w:cs="Times New Roman"/>
                <w:sz w:val="24"/>
                <w:szCs w:val="24"/>
                <w:lang w:eastAsia="lv-LV"/>
              </w:rPr>
              <w:t xml:space="preserve"> un dalībvalsts apdrošinātāj</w:t>
            </w:r>
            <w:r w:rsidR="00F310B0">
              <w:rPr>
                <w:rFonts w:ascii="Times New Roman" w:eastAsia="Times New Roman" w:hAnsi="Times New Roman" w:cs="Times New Roman"/>
                <w:sz w:val="24"/>
                <w:szCs w:val="24"/>
                <w:lang w:eastAsia="lv-LV"/>
              </w:rPr>
              <w:t>a</w:t>
            </w:r>
            <w:r w:rsidR="009908AB">
              <w:rPr>
                <w:rFonts w:ascii="Times New Roman" w:eastAsia="Times New Roman" w:hAnsi="Times New Roman" w:cs="Times New Roman"/>
                <w:sz w:val="24"/>
                <w:szCs w:val="24"/>
                <w:lang w:eastAsia="lv-LV"/>
              </w:rPr>
              <w:t xml:space="preserve"> filiāl</w:t>
            </w:r>
            <w:r w:rsidR="00F310B0">
              <w:rPr>
                <w:rFonts w:ascii="Times New Roman" w:eastAsia="Times New Roman" w:hAnsi="Times New Roman" w:cs="Times New Roman"/>
                <w:sz w:val="24"/>
                <w:szCs w:val="24"/>
                <w:lang w:eastAsia="lv-LV"/>
              </w:rPr>
              <w:t>ei</w:t>
            </w:r>
            <w:r w:rsidR="00693032">
              <w:rPr>
                <w:rFonts w:ascii="Times New Roman" w:eastAsia="Times New Roman" w:hAnsi="Times New Roman" w:cs="Times New Roman"/>
                <w:sz w:val="24"/>
                <w:szCs w:val="24"/>
                <w:lang w:eastAsia="lv-LV"/>
              </w:rPr>
              <w:t>)</w:t>
            </w:r>
            <w:r w:rsidR="009908AB">
              <w:rPr>
                <w:rFonts w:ascii="Times New Roman" w:eastAsia="Times New Roman" w:hAnsi="Times New Roman" w:cs="Times New Roman"/>
                <w:sz w:val="24"/>
                <w:szCs w:val="24"/>
                <w:lang w:eastAsia="lv-LV"/>
              </w:rPr>
              <w:t xml:space="preserve"> </w:t>
            </w:r>
            <w:r w:rsidRPr="00BF3F58">
              <w:rPr>
                <w:rFonts w:ascii="Times New Roman" w:eastAsia="Times New Roman" w:hAnsi="Times New Roman" w:cs="Times New Roman"/>
                <w:sz w:val="24"/>
                <w:szCs w:val="24"/>
                <w:lang w:eastAsia="lv-LV"/>
              </w:rPr>
              <w:t>pārskatus par t</w:t>
            </w:r>
            <w:r w:rsidR="00F310B0">
              <w:rPr>
                <w:rFonts w:ascii="Times New Roman" w:eastAsia="Times New Roman" w:hAnsi="Times New Roman" w:cs="Times New Roman"/>
                <w:sz w:val="24"/>
                <w:szCs w:val="24"/>
                <w:lang w:eastAsia="lv-LV"/>
              </w:rPr>
              <w:t>ā</w:t>
            </w:r>
            <w:r w:rsidRPr="00BF3F58">
              <w:rPr>
                <w:rFonts w:ascii="Times New Roman" w:eastAsia="Times New Roman" w:hAnsi="Times New Roman" w:cs="Times New Roman"/>
                <w:sz w:val="24"/>
                <w:szCs w:val="24"/>
                <w:lang w:eastAsia="lv-LV"/>
              </w:rPr>
              <w:t xml:space="preserve"> darbību, nosakot šo pārskatu formu, saturu, iesniegšanas kārtību un termiņus. </w:t>
            </w:r>
          </w:p>
          <w:p w14:paraId="35DCDDE4" w14:textId="5CB7273F" w:rsidR="00394C66" w:rsidRDefault="00394C66" w:rsidP="00394C66">
            <w:pPr>
              <w:spacing w:after="120" w:line="240" w:lineRule="auto"/>
              <w:jc w:val="both"/>
              <w:rPr>
                <w:rFonts w:ascii="Times New Roman" w:eastAsia="Times New Roman" w:hAnsi="Times New Roman" w:cs="Times New Roman"/>
                <w:sz w:val="24"/>
                <w:szCs w:val="24"/>
                <w:lang w:eastAsia="lv-LV"/>
              </w:rPr>
            </w:pPr>
            <w:r w:rsidRPr="00BF3F58">
              <w:rPr>
                <w:rFonts w:ascii="Times New Roman" w:eastAsia="Times New Roman" w:hAnsi="Times New Roman" w:cs="Times New Roman"/>
                <w:sz w:val="24"/>
                <w:szCs w:val="24"/>
                <w:lang w:eastAsia="lv-LV"/>
              </w:rPr>
              <w:t xml:space="preserve">Apdrošināšanas un pārapdrošināšanas likuma </w:t>
            </w:r>
            <w:r>
              <w:rPr>
                <w:rFonts w:ascii="Times New Roman" w:eastAsia="Times New Roman" w:hAnsi="Times New Roman" w:cs="Times New Roman"/>
                <w:sz w:val="24"/>
                <w:szCs w:val="24"/>
                <w:lang w:eastAsia="lv-LV"/>
              </w:rPr>
              <w:t>9</w:t>
            </w:r>
            <w:r w:rsidRPr="00BF3F58">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 </w:t>
            </w:r>
            <w:r w:rsidRPr="00BF3F58">
              <w:rPr>
                <w:rFonts w:ascii="Times New Roman" w:eastAsia="Times New Roman" w:hAnsi="Times New Roman" w:cs="Times New Roman"/>
                <w:sz w:val="24"/>
                <w:szCs w:val="24"/>
                <w:lang w:eastAsia="lv-LV"/>
              </w:rPr>
              <w:t xml:space="preserve">panta </w:t>
            </w:r>
            <w:r>
              <w:rPr>
                <w:rFonts w:ascii="Times New Roman" w:eastAsia="Times New Roman" w:hAnsi="Times New Roman" w:cs="Times New Roman"/>
                <w:sz w:val="24"/>
                <w:szCs w:val="24"/>
                <w:lang w:eastAsia="lv-LV"/>
              </w:rPr>
              <w:t xml:space="preserve">ceturtā </w:t>
            </w:r>
            <w:r w:rsidRPr="00BF3F58">
              <w:rPr>
                <w:rFonts w:ascii="Times New Roman" w:eastAsia="Times New Roman" w:hAnsi="Times New Roman" w:cs="Times New Roman"/>
                <w:sz w:val="24"/>
                <w:szCs w:val="24"/>
                <w:lang w:eastAsia="lv-LV"/>
              </w:rPr>
              <w:t>daļa nosaka, ka</w:t>
            </w:r>
            <w:r>
              <w:rPr>
                <w:rFonts w:ascii="Times New Roman" w:eastAsia="Times New Roman" w:hAnsi="Times New Roman" w:cs="Times New Roman"/>
                <w:sz w:val="24"/>
                <w:szCs w:val="24"/>
                <w:lang w:eastAsia="lv-LV"/>
              </w:rPr>
              <w:t xml:space="preserve"> apdrošināšanas sabiedrība sagatavo publiskos ceturkšņa pārskatus, lai informētu sabiedrību par apdrošinātāja darbību un finanšu rādītājiem. Latvijas Banka nosaka publiskajos ceturkšņa pārskatos iekļaujamās informācijas minimālo apjomu.</w:t>
            </w:r>
            <w:r w:rsidR="005B0A89">
              <w:rPr>
                <w:rFonts w:ascii="Times New Roman" w:eastAsia="Times New Roman" w:hAnsi="Times New Roman" w:cs="Times New Roman"/>
                <w:sz w:val="24"/>
                <w:szCs w:val="24"/>
                <w:lang w:eastAsia="lv-LV"/>
              </w:rPr>
              <w:t xml:space="preserve"> </w:t>
            </w:r>
            <w:r w:rsidR="0013551E">
              <w:rPr>
                <w:rFonts w:ascii="Times New Roman" w:eastAsia="Times New Roman" w:hAnsi="Times New Roman" w:cs="Times New Roman"/>
                <w:sz w:val="24"/>
                <w:szCs w:val="24"/>
                <w:lang w:eastAsia="lv-LV"/>
              </w:rPr>
              <w:t xml:space="preserve">Savukārt </w:t>
            </w:r>
            <w:r w:rsidR="005B0A89">
              <w:rPr>
                <w:rFonts w:ascii="Times New Roman" w:eastAsia="Times New Roman" w:hAnsi="Times New Roman" w:cs="Times New Roman"/>
                <w:sz w:val="24"/>
                <w:szCs w:val="24"/>
                <w:lang w:eastAsia="lv-LV"/>
              </w:rPr>
              <w:t>Apdrošināšanas un pārapdrošināšanas likuma 173.</w:t>
            </w:r>
            <w:r w:rsidR="00EC0CBA">
              <w:rPr>
                <w:rFonts w:ascii="Times New Roman" w:eastAsia="Times New Roman" w:hAnsi="Times New Roman" w:cs="Times New Roman"/>
                <w:sz w:val="24"/>
                <w:szCs w:val="24"/>
                <w:lang w:eastAsia="lv-LV"/>
              </w:rPr>
              <w:t> </w:t>
            </w:r>
            <w:r w:rsidR="005B0A89">
              <w:rPr>
                <w:rFonts w:ascii="Times New Roman" w:eastAsia="Times New Roman" w:hAnsi="Times New Roman" w:cs="Times New Roman"/>
                <w:sz w:val="24"/>
                <w:szCs w:val="24"/>
                <w:lang w:eastAsia="lv-LV"/>
              </w:rPr>
              <w:t>pant</w:t>
            </w:r>
            <w:r w:rsidR="00B46369">
              <w:rPr>
                <w:rFonts w:ascii="Times New Roman" w:eastAsia="Times New Roman" w:hAnsi="Times New Roman" w:cs="Times New Roman"/>
                <w:sz w:val="24"/>
                <w:szCs w:val="24"/>
                <w:lang w:eastAsia="lv-LV"/>
              </w:rPr>
              <w:t>a pirmā daļa</w:t>
            </w:r>
            <w:r w:rsidR="005B0A89">
              <w:rPr>
                <w:rFonts w:ascii="Times New Roman" w:eastAsia="Times New Roman" w:hAnsi="Times New Roman" w:cs="Times New Roman"/>
                <w:sz w:val="24"/>
                <w:szCs w:val="24"/>
                <w:lang w:eastAsia="lv-LV"/>
              </w:rPr>
              <w:t xml:space="preserve"> </w:t>
            </w:r>
            <w:r w:rsidR="0013551E">
              <w:rPr>
                <w:rFonts w:ascii="Times New Roman" w:eastAsia="Times New Roman" w:hAnsi="Times New Roman" w:cs="Times New Roman"/>
                <w:sz w:val="24"/>
                <w:szCs w:val="24"/>
                <w:lang w:eastAsia="lv-LV"/>
              </w:rPr>
              <w:t>paredz</w:t>
            </w:r>
            <w:r w:rsidR="005B0A89">
              <w:rPr>
                <w:rFonts w:ascii="Times New Roman" w:eastAsia="Times New Roman" w:hAnsi="Times New Roman" w:cs="Times New Roman"/>
                <w:sz w:val="24"/>
                <w:szCs w:val="24"/>
                <w:lang w:eastAsia="lv-LV"/>
              </w:rPr>
              <w:t>, ka ārvalsts apdrošinātāja filiā</w:t>
            </w:r>
            <w:r w:rsidR="00F310B0">
              <w:rPr>
                <w:rFonts w:ascii="Times New Roman" w:eastAsia="Times New Roman" w:hAnsi="Times New Roman" w:cs="Times New Roman"/>
                <w:sz w:val="24"/>
                <w:szCs w:val="24"/>
                <w:lang w:eastAsia="lv-LV"/>
              </w:rPr>
              <w:t>les</w:t>
            </w:r>
            <w:r w:rsidR="005B0A89">
              <w:rPr>
                <w:rFonts w:ascii="Times New Roman" w:eastAsia="Times New Roman" w:hAnsi="Times New Roman" w:cs="Times New Roman"/>
                <w:sz w:val="24"/>
                <w:szCs w:val="24"/>
                <w:lang w:eastAsia="lv-LV"/>
              </w:rPr>
              <w:t xml:space="preserve"> darbību regulē </w:t>
            </w:r>
            <w:r w:rsidR="00C31B16">
              <w:rPr>
                <w:rFonts w:ascii="Times New Roman" w:eastAsia="Times New Roman" w:hAnsi="Times New Roman" w:cs="Times New Roman"/>
                <w:sz w:val="24"/>
                <w:szCs w:val="24"/>
                <w:lang w:eastAsia="lv-LV"/>
              </w:rPr>
              <w:t xml:space="preserve">minētā likuma </w:t>
            </w:r>
            <w:r w:rsidR="005B0A89">
              <w:rPr>
                <w:rFonts w:ascii="Times New Roman" w:eastAsia="Times New Roman" w:hAnsi="Times New Roman" w:cs="Times New Roman"/>
                <w:sz w:val="24"/>
                <w:szCs w:val="24"/>
                <w:lang w:eastAsia="lv-LV"/>
              </w:rPr>
              <w:t>91.</w:t>
            </w:r>
            <w:r w:rsidR="00EC0CBA">
              <w:rPr>
                <w:rFonts w:ascii="Times New Roman" w:eastAsia="Times New Roman" w:hAnsi="Times New Roman" w:cs="Times New Roman"/>
                <w:sz w:val="24"/>
                <w:szCs w:val="24"/>
                <w:lang w:eastAsia="lv-LV"/>
              </w:rPr>
              <w:t> </w:t>
            </w:r>
            <w:r w:rsidR="005B0A89">
              <w:rPr>
                <w:rFonts w:ascii="Times New Roman" w:eastAsia="Times New Roman" w:hAnsi="Times New Roman" w:cs="Times New Roman"/>
                <w:sz w:val="24"/>
                <w:szCs w:val="24"/>
                <w:lang w:eastAsia="lv-LV"/>
              </w:rPr>
              <w:t>pants.</w:t>
            </w:r>
          </w:p>
          <w:p w14:paraId="01FE882D" w14:textId="7E2EE176" w:rsidR="006A0BA5" w:rsidRPr="002D1112" w:rsidRDefault="006A0BA5" w:rsidP="006A0BA5">
            <w:pPr>
              <w:spacing w:after="120" w:line="240" w:lineRule="auto"/>
              <w:jc w:val="both"/>
              <w:rPr>
                <w:rFonts w:ascii="Times New Roman" w:eastAsia="Times New Roman" w:hAnsi="Times New Roman" w:cs="Times New Roman"/>
                <w:sz w:val="24"/>
                <w:szCs w:val="24"/>
                <w:lang w:eastAsia="lv-LV"/>
              </w:rPr>
            </w:pPr>
            <w:r w:rsidRPr="002D1112">
              <w:rPr>
                <w:rFonts w:ascii="Times New Roman" w:eastAsia="Times New Roman" w:hAnsi="Times New Roman" w:cs="Times New Roman"/>
                <w:sz w:val="24"/>
                <w:szCs w:val="24"/>
                <w:lang w:eastAsia="lv-LV"/>
              </w:rPr>
              <w:t>Noteikumu projekta prasības būs saistošas apdrošināšanas sabiedrīb</w:t>
            </w:r>
            <w:r w:rsidR="00C31B16" w:rsidRPr="002D1112">
              <w:rPr>
                <w:rFonts w:ascii="Times New Roman" w:eastAsia="Times New Roman" w:hAnsi="Times New Roman" w:cs="Times New Roman"/>
                <w:sz w:val="24"/>
                <w:szCs w:val="24"/>
                <w:lang w:eastAsia="lv-LV"/>
              </w:rPr>
              <w:t>ām</w:t>
            </w:r>
            <w:r w:rsidRPr="002D1112">
              <w:rPr>
                <w:rFonts w:ascii="Times New Roman" w:eastAsia="Times New Roman" w:hAnsi="Times New Roman" w:cs="Times New Roman"/>
                <w:sz w:val="24"/>
                <w:szCs w:val="24"/>
                <w:lang w:eastAsia="lv-LV"/>
              </w:rPr>
              <w:t>, ārvalsts apdrošinātāj</w:t>
            </w:r>
            <w:r w:rsidR="00C31B16" w:rsidRPr="002D1112">
              <w:rPr>
                <w:rFonts w:ascii="Times New Roman" w:eastAsia="Times New Roman" w:hAnsi="Times New Roman" w:cs="Times New Roman"/>
                <w:sz w:val="24"/>
                <w:szCs w:val="24"/>
                <w:lang w:eastAsia="lv-LV"/>
              </w:rPr>
              <w:t>u</w:t>
            </w:r>
            <w:r w:rsidRPr="002D1112">
              <w:rPr>
                <w:rFonts w:ascii="Times New Roman" w:eastAsia="Times New Roman" w:hAnsi="Times New Roman" w:cs="Times New Roman"/>
                <w:sz w:val="24"/>
                <w:szCs w:val="24"/>
                <w:lang w:eastAsia="lv-LV"/>
              </w:rPr>
              <w:t xml:space="preserve"> filiāl</w:t>
            </w:r>
            <w:r w:rsidR="00C31B16" w:rsidRPr="002D1112">
              <w:rPr>
                <w:rFonts w:ascii="Times New Roman" w:eastAsia="Times New Roman" w:hAnsi="Times New Roman" w:cs="Times New Roman"/>
                <w:sz w:val="24"/>
                <w:szCs w:val="24"/>
                <w:lang w:eastAsia="lv-LV"/>
              </w:rPr>
              <w:t>ēm</w:t>
            </w:r>
            <w:r w:rsidRPr="002D1112">
              <w:rPr>
                <w:rFonts w:ascii="Times New Roman" w:eastAsia="Times New Roman" w:hAnsi="Times New Roman" w:cs="Times New Roman"/>
                <w:sz w:val="24"/>
                <w:szCs w:val="24"/>
                <w:lang w:eastAsia="lv-LV"/>
              </w:rPr>
              <w:t xml:space="preserve"> un dalībvalst</w:t>
            </w:r>
            <w:r w:rsidR="009B658A" w:rsidRPr="002D1112">
              <w:rPr>
                <w:rFonts w:ascii="Times New Roman" w:eastAsia="Times New Roman" w:hAnsi="Times New Roman" w:cs="Times New Roman"/>
                <w:sz w:val="24"/>
                <w:szCs w:val="24"/>
                <w:lang w:eastAsia="lv-LV"/>
              </w:rPr>
              <w:t>s</w:t>
            </w:r>
            <w:r w:rsidRPr="002D1112">
              <w:rPr>
                <w:rFonts w:ascii="Times New Roman" w:eastAsia="Times New Roman" w:hAnsi="Times New Roman" w:cs="Times New Roman"/>
                <w:sz w:val="24"/>
                <w:szCs w:val="24"/>
                <w:lang w:eastAsia="lv-LV"/>
              </w:rPr>
              <w:t xml:space="preserve"> apdrošinātāj</w:t>
            </w:r>
            <w:r w:rsidR="00C31B16" w:rsidRPr="002D1112">
              <w:rPr>
                <w:rFonts w:ascii="Times New Roman" w:eastAsia="Times New Roman" w:hAnsi="Times New Roman" w:cs="Times New Roman"/>
                <w:sz w:val="24"/>
                <w:szCs w:val="24"/>
                <w:lang w:eastAsia="lv-LV"/>
              </w:rPr>
              <w:t>u</w:t>
            </w:r>
            <w:r w:rsidRPr="002D1112">
              <w:rPr>
                <w:rFonts w:ascii="Times New Roman" w:eastAsia="Times New Roman" w:hAnsi="Times New Roman" w:cs="Times New Roman"/>
                <w:sz w:val="24"/>
                <w:szCs w:val="24"/>
                <w:lang w:eastAsia="lv-LV"/>
              </w:rPr>
              <w:t xml:space="preserve"> filiāl</w:t>
            </w:r>
            <w:r w:rsidR="00C31B16" w:rsidRPr="002D1112">
              <w:rPr>
                <w:rFonts w:ascii="Times New Roman" w:eastAsia="Times New Roman" w:hAnsi="Times New Roman" w:cs="Times New Roman"/>
                <w:sz w:val="24"/>
                <w:szCs w:val="24"/>
                <w:lang w:eastAsia="lv-LV"/>
              </w:rPr>
              <w:t>ēm</w:t>
            </w:r>
            <w:r w:rsidRPr="002D1112">
              <w:rPr>
                <w:rFonts w:ascii="Times New Roman" w:eastAsia="Times New Roman" w:hAnsi="Times New Roman" w:cs="Times New Roman"/>
                <w:sz w:val="24"/>
                <w:szCs w:val="24"/>
                <w:lang w:eastAsia="lv-LV"/>
              </w:rPr>
              <w:t xml:space="preserve">. </w:t>
            </w:r>
          </w:p>
          <w:p w14:paraId="02AAF5AC" w14:textId="356C4D02" w:rsidR="00394C66" w:rsidRPr="00F86360" w:rsidRDefault="00F86360" w:rsidP="00F86360">
            <w:pPr>
              <w:spacing w:after="120" w:line="240" w:lineRule="auto"/>
              <w:jc w:val="both"/>
              <w:rPr>
                <w:rFonts w:ascii="Times New Roman" w:eastAsia="Times New Roman" w:hAnsi="Times New Roman" w:cs="Times New Roman"/>
                <w:color w:val="000000"/>
                <w:sz w:val="24"/>
                <w:szCs w:val="24"/>
                <w:lang w:eastAsia="lv-LV"/>
              </w:rPr>
            </w:pPr>
            <w:r w:rsidRPr="002D1112">
              <w:rPr>
                <w:rFonts w:ascii="Times New Roman" w:eastAsia="Times New Roman" w:hAnsi="Times New Roman" w:cs="Times New Roman"/>
                <w:color w:val="000000"/>
                <w:sz w:val="24"/>
                <w:szCs w:val="24"/>
                <w:lang w:eastAsia="lv-LV"/>
              </w:rPr>
              <w:t>Lai p</w:t>
            </w:r>
            <w:r w:rsidR="00394C66" w:rsidRPr="002D1112">
              <w:rPr>
                <w:rFonts w:ascii="Times New Roman" w:eastAsia="Times New Roman" w:hAnsi="Times New Roman" w:cs="Times New Roman"/>
                <w:color w:val="000000"/>
                <w:sz w:val="24"/>
                <w:szCs w:val="24"/>
                <w:lang w:eastAsia="lv-LV"/>
              </w:rPr>
              <w:t>aaugstināt</w:t>
            </w:r>
            <w:r w:rsidRPr="002D1112">
              <w:rPr>
                <w:rFonts w:ascii="Times New Roman" w:eastAsia="Times New Roman" w:hAnsi="Times New Roman" w:cs="Times New Roman"/>
                <w:color w:val="000000"/>
                <w:sz w:val="24"/>
                <w:szCs w:val="24"/>
                <w:lang w:eastAsia="lv-LV"/>
              </w:rPr>
              <w:t>u</w:t>
            </w:r>
            <w:r w:rsidR="00394C66" w:rsidRPr="002D1112">
              <w:rPr>
                <w:rFonts w:ascii="Times New Roman" w:eastAsia="Times New Roman" w:hAnsi="Times New Roman" w:cs="Times New Roman"/>
                <w:color w:val="000000"/>
                <w:sz w:val="24"/>
                <w:szCs w:val="24"/>
                <w:lang w:eastAsia="lv-LV"/>
              </w:rPr>
              <w:t xml:space="preserve"> apdrošināšanas</w:t>
            </w:r>
            <w:r w:rsidR="00394C66" w:rsidRPr="00F86360">
              <w:rPr>
                <w:rFonts w:ascii="Times New Roman" w:eastAsia="Times New Roman" w:hAnsi="Times New Roman" w:cs="Times New Roman"/>
                <w:color w:val="000000"/>
                <w:sz w:val="24"/>
                <w:szCs w:val="24"/>
                <w:lang w:eastAsia="lv-LV"/>
              </w:rPr>
              <w:t xml:space="preserve"> sabiedrīb</w:t>
            </w:r>
            <w:r w:rsidR="00C31B16">
              <w:rPr>
                <w:rFonts w:ascii="Times New Roman" w:eastAsia="Times New Roman" w:hAnsi="Times New Roman" w:cs="Times New Roman"/>
                <w:color w:val="000000"/>
                <w:sz w:val="24"/>
                <w:szCs w:val="24"/>
                <w:lang w:eastAsia="lv-LV"/>
              </w:rPr>
              <w:t>u</w:t>
            </w:r>
            <w:r w:rsidR="005B0A89">
              <w:rPr>
                <w:rFonts w:ascii="Times New Roman" w:eastAsia="Times New Roman" w:hAnsi="Times New Roman" w:cs="Times New Roman"/>
                <w:color w:val="000000"/>
                <w:sz w:val="24"/>
                <w:szCs w:val="24"/>
                <w:lang w:eastAsia="lv-LV"/>
              </w:rPr>
              <w:t>, ārvalsts apdrošinātāj</w:t>
            </w:r>
            <w:r w:rsidR="00C31B16">
              <w:rPr>
                <w:rFonts w:ascii="Times New Roman" w:eastAsia="Times New Roman" w:hAnsi="Times New Roman" w:cs="Times New Roman"/>
                <w:color w:val="000000"/>
                <w:sz w:val="24"/>
                <w:szCs w:val="24"/>
                <w:lang w:eastAsia="lv-LV"/>
              </w:rPr>
              <w:t>u</w:t>
            </w:r>
            <w:r w:rsidR="005B0A89">
              <w:rPr>
                <w:rFonts w:ascii="Times New Roman" w:eastAsia="Times New Roman" w:hAnsi="Times New Roman" w:cs="Times New Roman"/>
                <w:color w:val="000000"/>
                <w:sz w:val="24"/>
                <w:szCs w:val="24"/>
                <w:lang w:eastAsia="lv-LV"/>
              </w:rPr>
              <w:t xml:space="preserve"> filiā</w:t>
            </w:r>
            <w:r w:rsidR="00C31B16">
              <w:rPr>
                <w:rFonts w:ascii="Times New Roman" w:eastAsia="Times New Roman" w:hAnsi="Times New Roman" w:cs="Times New Roman"/>
                <w:color w:val="000000"/>
                <w:sz w:val="24"/>
                <w:szCs w:val="24"/>
                <w:lang w:eastAsia="lv-LV"/>
              </w:rPr>
              <w:t>ļu</w:t>
            </w:r>
            <w:r w:rsidR="005B0A89">
              <w:rPr>
                <w:rFonts w:ascii="Times New Roman" w:eastAsia="Times New Roman" w:hAnsi="Times New Roman" w:cs="Times New Roman"/>
                <w:color w:val="000000"/>
                <w:sz w:val="24"/>
                <w:szCs w:val="24"/>
                <w:lang w:eastAsia="lv-LV"/>
              </w:rPr>
              <w:t xml:space="preserve"> un </w:t>
            </w:r>
            <w:r w:rsidR="00394C66" w:rsidRPr="00F86360">
              <w:rPr>
                <w:rFonts w:ascii="Times New Roman" w:eastAsia="Times New Roman" w:hAnsi="Times New Roman" w:cs="Times New Roman"/>
                <w:color w:val="000000"/>
                <w:sz w:val="24"/>
                <w:szCs w:val="24"/>
                <w:lang w:eastAsia="lv-LV"/>
              </w:rPr>
              <w:t>dalībvalst</w:t>
            </w:r>
            <w:r w:rsidR="009B658A">
              <w:rPr>
                <w:rFonts w:ascii="Times New Roman" w:eastAsia="Times New Roman" w:hAnsi="Times New Roman" w:cs="Times New Roman"/>
                <w:color w:val="000000"/>
                <w:sz w:val="24"/>
                <w:szCs w:val="24"/>
                <w:lang w:eastAsia="lv-LV"/>
              </w:rPr>
              <w:t>s</w:t>
            </w:r>
            <w:r w:rsidR="00394C66" w:rsidRPr="00F86360">
              <w:rPr>
                <w:rFonts w:ascii="Times New Roman" w:eastAsia="Times New Roman" w:hAnsi="Times New Roman" w:cs="Times New Roman"/>
                <w:color w:val="000000"/>
                <w:sz w:val="24"/>
                <w:szCs w:val="24"/>
                <w:lang w:eastAsia="lv-LV"/>
              </w:rPr>
              <w:t xml:space="preserve"> apdrošinātāj</w:t>
            </w:r>
            <w:r w:rsidR="00C31B16">
              <w:rPr>
                <w:rFonts w:ascii="Times New Roman" w:eastAsia="Times New Roman" w:hAnsi="Times New Roman" w:cs="Times New Roman"/>
                <w:color w:val="000000"/>
                <w:sz w:val="24"/>
                <w:szCs w:val="24"/>
                <w:lang w:eastAsia="lv-LV"/>
              </w:rPr>
              <w:t>u</w:t>
            </w:r>
            <w:r w:rsidR="00394C66" w:rsidRPr="00F86360">
              <w:rPr>
                <w:rFonts w:ascii="Times New Roman" w:eastAsia="Times New Roman" w:hAnsi="Times New Roman" w:cs="Times New Roman"/>
                <w:color w:val="000000"/>
                <w:sz w:val="24"/>
                <w:szCs w:val="24"/>
                <w:lang w:eastAsia="lv-LV"/>
              </w:rPr>
              <w:t xml:space="preserve"> filiā</w:t>
            </w:r>
            <w:r w:rsidR="00C31B16">
              <w:rPr>
                <w:rFonts w:ascii="Times New Roman" w:eastAsia="Times New Roman" w:hAnsi="Times New Roman" w:cs="Times New Roman"/>
                <w:color w:val="000000"/>
                <w:sz w:val="24"/>
                <w:szCs w:val="24"/>
                <w:lang w:eastAsia="lv-LV"/>
              </w:rPr>
              <w:t>ļu</w:t>
            </w:r>
            <w:r w:rsidR="00394C66" w:rsidRPr="00F86360">
              <w:rPr>
                <w:rFonts w:ascii="Times New Roman" w:eastAsia="Times New Roman" w:hAnsi="Times New Roman" w:cs="Times New Roman"/>
                <w:color w:val="000000"/>
                <w:sz w:val="24"/>
                <w:szCs w:val="24"/>
                <w:lang w:eastAsia="lv-LV"/>
              </w:rPr>
              <w:t xml:space="preserve"> darbības caurskatāmību un veicināt</w:t>
            </w:r>
            <w:r w:rsidRPr="00F86360">
              <w:rPr>
                <w:rFonts w:ascii="Times New Roman" w:eastAsia="Times New Roman" w:hAnsi="Times New Roman" w:cs="Times New Roman"/>
                <w:color w:val="000000"/>
                <w:sz w:val="24"/>
                <w:szCs w:val="24"/>
                <w:lang w:eastAsia="lv-LV"/>
              </w:rPr>
              <w:t>u</w:t>
            </w:r>
            <w:r w:rsidR="00394C66" w:rsidRPr="00F86360">
              <w:rPr>
                <w:rFonts w:ascii="Times New Roman" w:eastAsia="Times New Roman" w:hAnsi="Times New Roman" w:cs="Times New Roman"/>
                <w:color w:val="000000"/>
                <w:sz w:val="24"/>
                <w:szCs w:val="24"/>
                <w:lang w:eastAsia="lv-LV"/>
              </w:rPr>
              <w:t xml:space="preserve"> tirgus disciplīnu, savlaicīgi sniedzot tirgus dalībniekiem, apdrošinājuma ņēmējiem, ieguldītājiem un citām ieinteresētajām personām salīdzināmu informāciju par to pārskata perioda finansiālo stāvokli</w:t>
            </w:r>
            <w:r w:rsidR="00913932">
              <w:rPr>
                <w:rFonts w:ascii="Times New Roman" w:eastAsia="Times New Roman" w:hAnsi="Times New Roman" w:cs="Times New Roman"/>
                <w:color w:val="000000"/>
                <w:sz w:val="24"/>
                <w:szCs w:val="24"/>
                <w:lang w:eastAsia="lv-LV"/>
              </w:rPr>
              <w:t xml:space="preserve">, </w:t>
            </w:r>
            <w:r w:rsidR="00394C66" w:rsidRPr="00F86360">
              <w:rPr>
                <w:rFonts w:ascii="Times New Roman" w:eastAsia="Times New Roman" w:hAnsi="Times New Roman" w:cs="Times New Roman"/>
                <w:color w:val="000000"/>
                <w:sz w:val="24"/>
                <w:szCs w:val="24"/>
                <w:lang w:eastAsia="lv-LV"/>
              </w:rPr>
              <w:t>darbības rādītājiem</w:t>
            </w:r>
            <w:r w:rsidR="00913932">
              <w:rPr>
                <w:rFonts w:ascii="Times New Roman" w:eastAsia="Times New Roman" w:hAnsi="Times New Roman" w:cs="Times New Roman"/>
                <w:color w:val="000000"/>
                <w:sz w:val="24"/>
                <w:szCs w:val="24"/>
                <w:lang w:eastAsia="lv-LV"/>
              </w:rPr>
              <w:t xml:space="preserve">, pašu kapitālu un maksātspējas aprēķinu, </w:t>
            </w:r>
            <w:r w:rsidRPr="00F86360">
              <w:rPr>
                <w:rFonts w:ascii="Times New Roman" w:eastAsia="Times New Roman" w:hAnsi="Times New Roman" w:cs="Times New Roman"/>
                <w:color w:val="000000"/>
                <w:sz w:val="24"/>
                <w:szCs w:val="24"/>
                <w:lang w:eastAsia="lv-LV"/>
              </w:rPr>
              <w:t>ir lietderīgi izdot ārējo normatīvo aktu, kas būs saistošs attiecīgajiem finanšu tirgus dalībniekiem.</w:t>
            </w:r>
          </w:p>
          <w:p w14:paraId="0EAF8825" w14:textId="704ACCBE" w:rsidR="00F36FED" w:rsidRDefault="005274E9" w:rsidP="00DB410E">
            <w:pPr>
              <w:spacing w:after="120" w:line="240" w:lineRule="auto"/>
              <w:jc w:val="both"/>
              <w:rPr>
                <w:rFonts w:ascii="Times New Roman" w:eastAsia="Times New Roman" w:hAnsi="Times New Roman" w:cs="Times New Roman"/>
                <w:color w:val="000000"/>
                <w:sz w:val="24"/>
                <w:szCs w:val="24"/>
                <w:lang w:eastAsia="lv-LV"/>
              </w:rPr>
            </w:pPr>
            <w:r w:rsidRPr="005274E9">
              <w:rPr>
                <w:rFonts w:ascii="Times New Roman" w:eastAsia="Times New Roman" w:hAnsi="Times New Roman" w:cs="Times New Roman"/>
                <w:color w:val="000000"/>
                <w:sz w:val="24"/>
                <w:szCs w:val="24"/>
                <w:lang w:eastAsia="lv-LV"/>
              </w:rPr>
              <w:t xml:space="preserve">Noteikumu projekts nosaka </w:t>
            </w:r>
            <w:r w:rsidR="00F86360">
              <w:rPr>
                <w:rFonts w:ascii="Times New Roman" w:eastAsia="Times New Roman" w:hAnsi="Times New Roman" w:cs="Times New Roman"/>
                <w:color w:val="000000"/>
                <w:sz w:val="24"/>
                <w:szCs w:val="24"/>
                <w:lang w:eastAsia="lv-LV"/>
              </w:rPr>
              <w:t>apdrošināšanas sabiedrīb</w:t>
            </w:r>
            <w:r w:rsidR="00F310B0">
              <w:rPr>
                <w:rFonts w:ascii="Times New Roman" w:eastAsia="Times New Roman" w:hAnsi="Times New Roman" w:cs="Times New Roman"/>
                <w:color w:val="000000"/>
                <w:sz w:val="24"/>
                <w:szCs w:val="24"/>
                <w:lang w:eastAsia="lv-LV"/>
              </w:rPr>
              <w:t>as</w:t>
            </w:r>
            <w:r w:rsidR="005B0A89">
              <w:rPr>
                <w:rFonts w:ascii="Times New Roman" w:eastAsia="Times New Roman" w:hAnsi="Times New Roman" w:cs="Times New Roman"/>
                <w:color w:val="000000"/>
                <w:sz w:val="24"/>
                <w:szCs w:val="24"/>
                <w:lang w:eastAsia="lv-LV"/>
              </w:rPr>
              <w:t>, ārvalsts apdrošinātāj</w:t>
            </w:r>
            <w:r w:rsidR="00F310B0">
              <w:rPr>
                <w:rFonts w:ascii="Times New Roman" w:eastAsia="Times New Roman" w:hAnsi="Times New Roman" w:cs="Times New Roman"/>
                <w:color w:val="000000"/>
                <w:sz w:val="24"/>
                <w:szCs w:val="24"/>
                <w:lang w:eastAsia="lv-LV"/>
              </w:rPr>
              <w:t>a</w:t>
            </w:r>
            <w:r w:rsidR="005B0A89">
              <w:rPr>
                <w:rFonts w:ascii="Times New Roman" w:eastAsia="Times New Roman" w:hAnsi="Times New Roman" w:cs="Times New Roman"/>
                <w:color w:val="000000"/>
                <w:sz w:val="24"/>
                <w:szCs w:val="24"/>
                <w:lang w:eastAsia="lv-LV"/>
              </w:rPr>
              <w:t xml:space="preserve"> filiā</w:t>
            </w:r>
            <w:r w:rsidR="00F310B0">
              <w:rPr>
                <w:rFonts w:ascii="Times New Roman" w:eastAsia="Times New Roman" w:hAnsi="Times New Roman" w:cs="Times New Roman"/>
                <w:color w:val="000000"/>
                <w:sz w:val="24"/>
                <w:szCs w:val="24"/>
                <w:lang w:eastAsia="lv-LV"/>
              </w:rPr>
              <w:t>les</w:t>
            </w:r>
            <w:r w:rsidR="005B0A89">
              <w:rPr>
                <w:rFonts w:ascii="Times New Roman" w:eastAsia="Times New Roman" w:hAnsi="Times New Roman" w:cs="Times New Roman"/>
                <w:color w:val="000000"/>
                <w:sz w:val="24"/>
                <w:szCs w:val="24"/>
                <w:lang w:eastAsia="lv-LV"/>
              </w:rPr>
              <w:t xml:space="preserve"> </w:t>
            </w:r>
            <w:r w:rsidR="00F86360">
              <w:rPr>
                <w:rFonts w:ascii="Times New Roman" w:eastAsia="Times New Roman" w:hAnsi="Times New Roman" w:cs="Times New Roman"/>
                <w:color w:val="000000"/>
                <w:sz w:val="24"/>
                <w:szCs w:val="24"/>
                <w:lang w:eastAsia="lv-LV"/>
              </w:rPr>
              <w:t>un dalībvalst</w:t>
            </w:r>
            <w:r w:rsidR="009B658A">
              <w:rPr>
                <w:rFonts w:ascii="Times New Roman" w:eastAsia="Times New Roman" w:hAnsi="Times New Roman" w:cs="Times New Roman"/>
                <w:color w:val="000000"/>
                <w:sz w:val="24"/>
                <w:szCs w:val="24"/>
                <w:lang w:eastAsia="lv-LV"/>
              </w:rPr>
              <w:t xml:space="preserve">s </w:t>
            </w:r>
            <w:r w:rsidR="00F86360">
              <w:rPr>
                <w:rFonts w:ascii="Times New Roman" w:eastAsia="Times New Roman" w:hAnsi="Times New Roman" w:cs="Times New Roman"/>
                <w:color w:val="000000"/>
                <w:sz w:val="24"/>
                <w:szCs w:val="24"/>
                <w:lang w:eastAsia="lv-LV"/>
              </w:rPr>
              <w:t>apdrošinātāj</w:t>
            </w:r>
            <w:r w:rsidR="00F310B0">
              <w:rPr>
                <w:rFonts w:ascii="Times New Roman" w:eastAsia="Times New Roman" w:hAnsi="Times New Roman" w:cs="Times New Roman"/>
                <w:color w:val="000000"/>
                <w:sz w:val="24"/>
                <w:szCs w:val="24"/>
                <w:lang w:eastAsia="lv-LV"/>
              </w:rPr>
              <w:t>a</w:t>
            </w:r>
            <w:r w:rsidR="00F86360">
              <w:rPr>
                <w:rFonts w:ascii="Times New Roman" w:eastAsia="Times New Roman" w:hAnsi="Times New Roman" w:cs="Times New Roman"/>
                <w:color w:val="000000"/>
                <w:sz w:val="24"/>
                <w:szCs w:val="24"/>
                <w:lang w:eastAsia="lv-LV"/>
              </w:rPr>
              <w:t xml:space="preserve"> filiā</w:t>
            </w:r>
            <w:r w:rsidR="00F310B0">
              <w:rPr>
                <w:rFonts w:ascii="Times New Roman" w:eastAsia="Times New Roman" w:hAnsi="Times New Roman" w:cs="Times New Roman"/>
                <w:color w:val="000000"/>
                <w:sz w:val="24"/>
                <w:szCs w:val="24"/>
                <w:lang w:eastAsia="lv-LV"/>
              </w:rPr>
              <w:t>les</w:t>
            </w:r>
            <w:r w:rsidR="00F86360">
              <w:rPr>
                <w:rFonts w:ascii="Times New Roman" w:eastAsia="Times New Roman" w:hAnsi="Times New Roman" w:cs="Times New Roman"/>
                <w:color w:val="000000"/>
                <w:sz w:val="24"/>
                <w:szCs w:val="24"/>
                <w:lang w:eastAsia="lv-LV"/>
              </w:rPr>
              <w:t xml:space="preserve"> publiskajos </w:t>
            </w:r>
            <w:r w:rsidR="00F86360">
              <w:rPr>
                <w:rFonts w:ascii="Times New Roman" w:eastAsia="Times New Roman" w:hAnsi="Times New Roman" w:cs="Times New Roman"/>
                <w:color w:val="000000"/>
                <w:sz w:val="24"/>
                <w:szCs w:val="24"/>
                <w:lang w:eastAsia="lv-LV"/>
              </w:rPr>
              <w:lastRenderedPageBreak/>
              <w:t>ceturkšņa pārskatos iekļaujamās informācijas minimālo saturu, publisko pārskatu publicēšanas kārtību un termiņus</w:t>
            </w:r>
            <w:r w:rsidR="00443E2A">
              <w:rPr>
                <w:rFonts w:ascii="Times New Roman" w:eastAsia="Times New Roman" w:hAnsi="Times New Roman" w:cs="Times New Roman"/>
                <w:color w:val="000000"/>
                <w:sz w:val="24"/>
                <w:szCs w:val="24"/>
                <w:lang w:eastAsia="lv-LV"/>
              </w:rPr>
              <w:t>, kā arī apdrošināšanas sabiedrīb</w:t>
            </w:r>
            <w:r w:rsidR="00F310B0">
              <w:rPr>
                <w:rFonts w:ascii="Times New Roman" w:eastAsia="Times New Roman" w:hAnsi="Times New Roman" w:cs="Times New Roman"/>
                <w:color w:val="000000"/>
                <w:sz w:val="24"/>
                <w:szCs w:val="24"/>
                <w:lang w:eastAsia="lv-LV"/>
              </w:rPr>
              <w:t>as</w:t>
            </w:r>
            <w:r w:rsidR="00443E2A">
              <w:rPr>
                <w:rFonts w:ascii="Times New Roman" w:eastAsia="Times New Roman" w:hAnsi="Times New Roman" w:cs="Times New Roman"/>
                <w:color w:val="000000"/>
                <w:sz w:val="24"/>
                <w:szCs w:val="24"/>
                <w:lang w:eastAsia="lv-LV"/>
              </w:rPr>
              <w:t xml:space="preserve"> </w:t>
            </w:r>
            <w:r w:rsidR="00CC35E9">
              <w:rPr>
                <w:rFonts w:ascii="Times New Roman" w:eastAsia="Times New Roman" w:hAnsi="Times New Roman" w:cs="Times New Roman"/>
                <w:color w:val="000000"/>
                <w:sz w:val="24"/>
                <w:szCs w:val="24"/>
                <w:lang w:eastAsia="lv-LV"/>
              </w:rPr>
              <w:t>p</w:t>
            </w:r>
            <w:r w:rsidR="00443E2A">
              <w:rPr>
                <w:rFonts w:ascii="Times New Roman" w:eastAsia="Times New Roman" w:hAnsi="Times New Roman" w:cs="Times New Roman"/>
                <w:color w:val="000000"/>
                <w:sz w:val="24"/>
                <w:szCs w:val="24"/>
                <w:lang w:eastAsia="lv-LV"/>
              </w:rPr>
              <w:t>ārskat</w:t>
            </w:r>
            <w:r w:rsidR="00F310B0">
              <w:rPr>
                <w:rFonts w:ascii="Times New Roman" w:eastAsia="Times New Roman" w:hAnsi="Times New Roman" w:cs="Times New Roman"/>
                <w:color w:val="000000"/>
                <w:sz w:val="24"/>
                <w:szCs w:val="24"/>
                <w:lang w:eastAsia="lv-LV"/>
              </w:rPr>
              <w:t>a</w:t>
            </w:r>
            <w:r w:rsidR="00443E2A">
              <w:rPr>
                <w:rFonts w:ascii="Times New Roman" w:eastAsia="Times New Roman" w:hAnsi="Times New Roman" w:cs="Times New Roman"/>
                <w:color w:val="000000"/>
                <w:sz w:val="24"/>
                <w:szCs w:val="24"/>
                <w:lang w:eastAsia="lv-LV"/>
              </w:rPr>
              <w:t xml:space="preserve"> iesniegšanas Latvijas Bankai kārtību un termiņus.</w:t>
            </w:r>
            <w:r w:rsidR="00DB410E">
              <w:rPr>
                <w:rFonts w:ascii="Times New Roman" w:eastAsia="Times New Roman" w:hAnsi="Times New Roman" w:cs="Times New Roman"/>
                <w:color w:val="000000"/>
                <w:sz w:val="24"/>
                <w:szCs w:val="24"/>
                <w:lang w:eastAsia="lv-LV"/>
              </w:rPr>
              <w:t xml:space="preserve"> </w:t>
            </w:r>
          </w:p>
          <w:p w14:paraId="0BE18678" w14:textId="766A8AE2" w:rsidR="00414079" w:rsidRDefault="00414079" w:rsidP="00414079">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projekts satur identiskas tiesību normas kā </w:t>
            </w:r>
            <w:r>
              <w:rPr>
                <w:rFonts w:ascii="Times New Roman" w:eastAsia="Times New Roman" w:hAnsi="Times New Roman" w:cs="Times New Roman"/>
                <w:sz w:val="24"/>
                <w:szCs w:val="24"/>
                <w:lang w:eastAsia="lv-LV"/>
              </w:rPr>
              <w:t>Noteikumi Nr.</w:t>
            </w:r>
            <w:r w:rsidR="00DF10AD">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128</w:t>
            </w:r>
            <w:r w:rsidRPr="00894D21">
              <w:rPr>
                <w:rFonts w:ascii="Times New Roman" w:eastAsia="Times New Roman" w:hAnsi="Times New Roman" w:cs="Times New Roman"/>
                <w:sz w:val="24"/>
                <w:szCs w:val="24"/>
                <w:lang w:eastAsia="lv-LV"/>
              </w:rPr>
              <w:t>, kuri zaudē</w:t>
            </w:r>
            <w:r w:rsidR="00DF10AD">
              <w:rPr>
                <w:rFonts w:ascii="Times New Roman" w:eastAsia="Times New Roman" w:hAnsi="Times New Roman" w:cs="Times New Roman"/>
                <w:sz w:val="24"/>
                <w:szCs w:val="24"/>
                <w:lang w:eastAsia="lv-LV"/>
              </w:rPr>
              <w:t>s</w:t>
            </w:r>
            <w:r w:rsidRPr="00894D21">
              <w:rPr>
                <w:rFonts w:ascii="Times New Roman" w:eastAsia="Times New Roman" w:hAnsi="Times New Roman" w:cs="Times New Roman"/>
                <w:sz w:val="24"/>
                <w:szCs w:val="24"/>
                <w:lang w:eastAsia="lv-LV"/>
              </w:rPr>
              <w:t xml:space="preserve"> spēku ar noteikumu projekta spēkā stāšanās </w:t>
            </w:r>
            <w:r w:rsidR="00DF10AD">
              <w:rPr>
                <w:rFonts w:ascii="Times New Roman" w:eastAsia="Times New Roman" w:hAnsi="Times New Roman" w:cs="Times New Roman"/>
                <w:sz w:val="24"/>
                <w:szCs w:val="24"/>
                <w:lang w:eastAsia="lv-LV"/>
              </w:rPr>
              <w:t>dienu</w:t>
            </w:r>
            <w:r w:rsidRPr="00894D21">
              <w:rPr>
                <w:rFonts w:ascii="Times New Roman" w:eastAsia="Times New Roman" w:hAnsi="Times New Roman" w:cs="Times New Roman"/>
                <w:sz w:val="24"/>
                <w:szCs w:val="24"/>
                <w:lang w:eastAsia="lv-LV"/>
              </w:rPr>
              <w:t>, izņemot šādas izmaiņas</w:t>
            </w:r>
            <w:r>
              <w:rPr>
                <w:rFonts w:ascii="Times New Roman" w:eastAsia="Times New Roman" w:hAnsi="Times New Roman" w:cs="Times New Roman"/>
                <w:sz w:val="24"/>
                <w:szCs w:val="24"/>
                <w:lang w:eastAsia="lv-LV"/>
              </w:rPr>
              <w:t xml:space="preserve">: </w:t>
            </w:r>
          </w:p>
          <w:p w14:paraId="306B11FA" w14:textId="64743492" w:rsidR="00414079" w:rsidRDefault="00EC0CBA" w:rsidP="006B4E46">
            <w:pPr>
              <w:pStyle w:val="BodyText"/>
              <w:numPr>
                <w:ilvl w:val="0"/>
                <w:numId w:val="14"/>
              </w:numPr>
              <w:tabs>
                <w:tab w:val="left" w:pos="250"/>
                <w:tab w:val="left" w:pos="431"/>
              </w:tabs>
              <w:spacing w:line="240" w:lineRule="auto"/>
              <w:ind w:left="5"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56799C" w:rsidRPr="00060206">
              <w:rPr>
                <w:rFonts w:ascii="Times New Roman" w:eastAsia="Times New Roman" w:hAnsi="Times New Roman" w:cs="Times New Roman"/>
                <w:sz w:val="24"/>
                <w:szCs w:val="24"/>
                <w:lang w:eastAsia="lv-LV"/>
              </w:rPr>
              <w:t>oteikumu projektā vairs n</w:t>
            </w:r>
            <w:r w:rsidR="0056799C">
              <w:rPr>
                <w:rFonts w:ascii="Times New Roman" w:eastAsia="Times New Roman" w:hAnsi="Times New Roman" w:cs="Times New Roman"/>
                <w:sz w:val="24"/>
                <w:szCs w:val="24"/>
                <w:lang w:eastAsia="lv-LV"/>
              </w:rPr>
              <w:t>av</w:t>
            </w:r>
            <w:r w:rsidR="0056799C" w:rsidRPr="00060206">
              <w:rPr>
                <w:rFonts w:ascii="Times New Roman" w:eastAsia="Times New Roman" w:hAnsi="Times New Roman" w:cs="Times New Roman"/>
                <w:sz w:val="24"/>
                <w:szCs w:val="24"/>
                <w:lang w:eastAsia="lv-LV"/>
              </w:rPr>
              <w:t xml:space="preserve"> iekļauta prasība </w:t>
            </w:r>
            <w:r w:rsidR="0056799C">
              <w:rPr>
                <w:rFonts w:ascii="Times New Roman" w:eastAsia="Times New Roman" w:hAnsi="Times New Roman" w:cs="Times New Roman"/>
                <w:sz w:val="24"/>
                <w:szCs w:val="24"/>
                <w:lang w:eastAsia="lv-LV"/>
              </w:rPr>
              <w:t>apdrošināšanas sabiedrīb</w:t>
            </w:r>
            <w:r w:rsidR="000965D0">
              <w:rPr>
                <w:rFonts w:ascii="Times New Roman" w:eastAsia="Times New Roman" w:hAnsi="Times New Roman" w:cs="Times New Roman"/>
                <w:sz w:val="24"/>
                <w:szCs w:val="24"/>
                <w:lang w:eastAsia="lv-LV"/>
              </w:rPr>
              <w:t>ai</w:t>
            </w:r>
            <w:r w:rsidR="0056799C">
              <w:rPr>
                <w:rFonts w:ascii="Times New Roman" w:eastAsia="Times New Roman" w:hAnsi="Times New Roman" w:cs="Times New Roman"/>
                <w:sz w:val="24"/>
                <w:szCs w:val="24"/>
                <w:lang w:eastAsia="lv-LV"/>
              </w:rPr>
              <w:t xml:space="preserve"> </w:t>
            </w:r>
            <w:r w:rsidR="0056799C" w:rsidRPr="00060206">
              <w:rPr>
                <w:rFonts w:ascii="Times New Roman" w:eastAsia="Times New Roman" w:hAnsi="Times New Roman" w:cs="Times New Roman"/>
                <w:sz w:val="24"/>
                <w:szCs w:val="24"/>
                <w:lang w:eastAsia="lv-LV"/>
              </w:rPr>
              <w:t>atklāt informāciju par risku analīzi, vadību un pārvaldību</w:t>
            </w:r>
            <w:r w:rsidR="002D1112">
              <w:rPr>
                <w:rFonts w:ascii="Times New Roman" w:eastAsia="Times New Roman" w:hAnsi="Times New Roman" w:cs="Times New Roman"/>
                <w:sz w:val="24"/>
                <w:szCs w:val="24"/>
                <w:lang w:eastAsia="lv-LV"/>
              </w:rPr>
              <w:t xml:space="preserve"> un par</w:t>
            </w:r>
            <w:r w:rsidR="0056799C" w:rsidRPr="00060206">
              <w:rPr>
                <w:rFonts w:ascii="Times New Roman" w:eastAsia="Times New Roman" w:hAnsi="Times New Roman" w:cs="Times New Roman"/>
                <w:sz w:val="24"/>
                <w:szCs w:val="24"/>
                <w:lang w:eastAsia="lv-LV"/>
              </w:rPr>
              <w:t xml:space="preserve"> </w:t>
            </w:r>
            <w:r w:rsidR="0056799C">
              <w:rPr>
                <w:rFonts w:ascii="Times New Roman" w:eastAsia="Times New Roman" w:hAnsi="Times New Roman" w:cs="Times New Roman"/>
                <w:sz w:val="24"/>
                <w:szCs w:val="24"/>
                <w:lang w:eastAsia="lv-LV"/>
              </w:rPr>
              <w:t>grupas sastāvu (</w:t>
            </w:r>
            <w:r w:rsidR="0006351B">
              <w:rPr>
                <w:rFonts w:ascii="Times New Roman" w:eastAsia="Times New Roman" w:hAnsi="Times New Roman" w:cs="Times New Roman"/>
                <w:sz w:val="24"/>
                <w:szCs w:val="24"/>
                <w:lang w:eastAsia="lv-LV"/>
              </w:rPr>
              <w:t xml:space="preserve">Noteikumu Nr.128 </w:t>
            </w:r>
            <w:r w:rsidR="00BF4B38">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 </w:t>
            </w:r>
            <w:r w:rsidR="0056799C">
              <w:rPr>
                <w:rFonts w:ascii="Times New Roman" w:eastAsia="Times New Roman" w:hAnsi="Times New Roman" w:cs="Times New Roman"/>
                <w:sz w:val="24"/>
                <w:szCs w:val="24"/>
                <w:lang w:eastAsia="lv-LV"/>
              </w:rPr>
              <w:t xml:space="preserve">pielikums), </w:t>
            </w:r>
            <w:r w:rsidR="0056799C" w:rsidRPr="00060206">
              <w:rPr>
                <w:rFonts w:ascii="Times New Roman" w:eastAsia="Times New Roman" w:hAnsi="Times New Roman" w:cs="Times New Roman"/>
                <w:sz w:val="24"/>
                <w:szCs w:val="24"/>
                <w:lang w:eastAsia="lv-LV"/>
              </w:rPr>
              <w:t xml:space="preserve">kas </w:t>
            </w:r>
            <w:r w:rsidR="00B32067">
              <w:rPr>
                <w:rFonts w:ascii="Times New Roman" w:eastAsia="Times New Roman" w:hAnsi="Times New Roman" w:cs="Times New Roman"/>
                <w:sz w:val="24"/>
                <w:szCs w:val="24"/>
                <w:lang w:eastAsia="lv-LV"/>
              </w:rPr>
              <w:t>apdrošināšanas sabiedrībai</w:t>
            </w:r>
            <w:r w:rsidR="0056799C">
              <w:rPr>
                <w:rFonts w:ascii="Times New Roman" w:eastAsia="Times New Roman" w:hAnsi="Times New Roman" w:cs="Times New Roman"/>
                <w:sz w:val="24"/>
                <w:szCs w:val="24"/>
                <w:lang w:eastAsia="lv-LV"/>
              </w:rPr>
              <w:t xml:space="preserve"> </w:t>
            </w:r>
            <w:r w:rsidR="0056799C" w:rsidRPr="00060206">
              <w:rPr>
                <w:rFonts w:ascii="Times New Roman" w:eastAsia="Times New Roman" w:hAnsi="Times New Roman" w:cs="Times New Roman"/>
                <w:sz w:val="24"/>
                <w:szCs w:val="24"/>
                <w:lang w:eastAsia="lv-LV"/>
              </w:rPr>
              <w:t xml:space="preserve">jāatklāj reizi gadā saskaņā ar </w:t>
            </w:r>
            <w:r w:rsidR="0056799C" w:rsidRPr="00357381">
              <w:rPr>
                <w:rFonts w:ascii="Times New Roman" w:eastAsia="Times New Roman" w:hAnsi="Times New Roman" w:cs="Times New Roman"/>
                <w:sz w:val="24"/>
                <w:szCs w:val="24"/>
                <w:lang w:eastAsia="lv-LV"/>
              </w:rPr>
              <w:t xml:space="preserve">Komisijas </w:t>
            </w:r>
            <w:r w:rsidR="006C34F6">
              <w:rPr>
                <w:rFonts w:ascii="Times New Roman" w:eastAsia="Times New Roman" w:hAnsi="Times New Roman" w:cs="Times New Roman"/>
                <w:sz w:val="24"/>
                <w:szCs w:val="24"/>
                <w:lang w:eastAsia="lv-LV"/>
              </w:rPr>
              <w:t xml:space="preserve">2014. gada 10. oktobra </w:t>
            </w:r>
            <w:r w:rsidRPr="00357381">
              <w:rPr>
                <w:rFonts w:ascii="Times New Roman" w:eastAsia="Times New Roman" w:hAnsi="Times New Roman" w:cs="Times New Roman"/>
                <w:sz w:val="24"/>
                <w:szCs w:val="24"/>
                <w:lang w:eastAsia="lv-LV"/>
              </w:rPr>
              <w:t xml:space="preserve">deleģētās </w:t>
            </w:r>
            <w:r w:rsidR="0056799C" w:rsidRPr="00357381">
              <w:rPr>
                <w:rFonts w:ascii="Times New Roman" w:eastAsia="Times New Roman" w:hAnsi="Times New Roman" w:cs="Times New Roman"/>
                <w:sz w:val="24"/>
                <w:szCs w:val="24"/>
                <w:lang w:eastAsia="lv-LV"/>
              </w:rPr>
              <w:t>regulas (ES) </w:t>
            </w:r>
            <w:hyperlink r:id="rId11" w:tgtFrame="_blank" w:history="1">
              <w:r w:rsidR="0056799C" w:rsidRPr="00357381">
                <w:rPr>
                  <w:rFonts w:ascii="Times New Roman" w:eastAsia="Times New Roman" w:hAnsi="Times New Roman" w:cs="Times New Roman"/>
                  <w:sz w:val="24"/>
                  <w:szCs w:val="24"/>
                  <w:lang w:eastAsia="lv-LV"/>
                </w:rPr>
                <w:t>2015/35</w:t>
              </w:r>
            </w:hyperlink>
            <w:r w:rsidR="0056799C" w:rsidRPr="00357381">
              <w:rPr>
                <w:rFonts w:ascii="Times New Roman" w:eastAsia="Times New Roman" w:hAnsi="Times New Roman" w:cs="Times New Roman"/>
                <w:sz w:val="24"/>
                <w:szCs w:val="24"/>
                <w:lang w:eastAsia="lv-LV"/>
              </w:rPr>
              <w:t xml:space="preserve">, ar ko papildina Eiropas Parlamenta un Padomes </w:t>
            </w:r>
            <w:r w:rsidRPr="00357381">
              <w:rPr>
                <w:rFonts w:ascii="Times New Roman" w:eastAsia="Times New Roman" w:hAnsi="Times New Roman" w:cs="Times New Roman"/>
                <w:sz w:val="24"/>
                <w:szCs w:val="24"/>
                <w:lang w:eastAsia="lv-LV"/>
              </w:rPr>
              <w:t>direktīvu </w:t>
            </w:r>
            <w:hyperlink r:id="rId12" w:tgtFrame="_blank" w:history="1">
              <w:r w:rsidR="0056799C" w:rsidRPr="00357381">
                <w:rPr>
                  <w:rFonts w:ascii="Times New Roman" w:eastAsia="Times New Roman" w:hAnsi="Times New Roman" w:cs="Times New Roman"/>
                  <w:sz w:val="24"/>
                  <w:szCs w:val="24"/>
                  <w:lang w:eastAsia="lv-LV"/>
                </w:rPr>
                <w:t>2009/138/EK</w:t>
              </w:r>
            </w:hyperlink>
            <w:r>
              <w:rPr>
                <w:rFonts w:ascii="Times New Roman" w:eastAsia="Times New Roman" w:hAnsi="Times New Roman" w:cs="Times New Roman"/>
                <w:sz w:val="24"/>
                <w:szCs w:val="24"/>
                <w:lang w:eastAsia="lv-LV"/>
              </w:rPr>
              <w:t xml:space="preserve"> </w:t>
            </w:r>
            <w:r w:rsidR="0056799C" w:rsidRPr="00357381">
              <w:rPr>
                <w:rFonts w:ascii="Times New Roman" w:eastAsia="Times New Roman" w:hAnsi="Times New Roman" w:cs="Times New Roman"/>
                <w:sz w:val="24"/>
                <w:szCs w:val="24"/>
                <w:lang w:eastAsia="lv-LV"/>
              </w:rPr>
              <w:t>par uzņēmējdarbības uzsākšanu un veikšanu apdrošināšanas un pārapdrošināšanas jomā (Maksātspēja</w:t>
            </w:r>
            <w:r>
              <w:rPr>
                <w:rFonts w:ascii="Times New Roman" w:eastAsia="Times New Roman" w:hAnsi="Times New Roman" w:cs="Times New Roman"/>
                <w:sz w:val="24"/>
                <w:szCs w:val="24"/>
                <w:lang w:eastAsia="lv-LV"/>
              </w:rPr>
              <w:t> </w:t>
            </w:r>
            <w:r w:rsidR="0056799C" w:rsidRPr="00357381">
              <w:rPr>
                <w:rFonts w:ascii="Times New Roman" w:eastAsia="Times New Roman" w:hAnsi="Times New Roman" w:cs="Times New Roman"/>
                <w:sz w:val="24"/>
                <w:szCs w:val="24"/>
                <w:lang w:eastAsia="lv-LV"/>
              </w:rPr>
              <w:t>II), prasībām</w:t>
            </w:r>
            <w:r w:rsidR="0056799C">
              <w:rPr>
                <w:rFonts w:ascii="Times New Roman" w:eastAsia="Times New Roman" w:hAnsi="Times New Roman" w:cs="Times New Roman"/>
                <w:sz w:val="24"/>
                <w:szCs w:val="24"/>
                <w:lang w:eastAsia="lv-LV"/>
              </w:rPr>
              <w:t>, ar ko tika i</w:t>
            </w:r>
            <w:r w:rsidR="00414079" w:rsidRPr="003B0F19">
              <w:rPr>
                <w:rFonts w:ascii="Times New Roman" w:eastAsia="Times New Roman" w:hAnsi="Times New Roman" w:cs="Times New Roman"/>
                <w:sz w:val="24"/>
                <w:szCs w:val="24"/>
                <w:lang w:eastAsia="lv-LV"/>
              </w:rPr>
              <w:t>eviest</w:t>
            </w:r>
            <w:r w:rsidR="0056799C">
              <w:rPr>
                <w:rFonts w:ascii="Times New Roman" w:eastAsia="Times New Roman" w:hAnsi="Times New Roman" w:cs="Times New Roman"/>
                <w:sz w:val="24"/>
                <w:szCs w:val="24"/>
                <w:lang w:eastAsia="lv-LV"/>
              </w:rPr>
              <w:t>s</w:t>
            </w:r>
            <w:r w:rsidR="00414079">
              <w:rPr>
                <w:rFonts w:ascii="Times New Roman" w:eastAsia="Times New Roman" w:hAnsi="Times New Roman" w:cs="Times New Roman"/>
                <w:sz w:val="24"/>
                <w:szCs w:val="24"/>
                <w:lang w:eastAsia="lv-LV"/>
              </w:rPr>
              <w:t xml:space="preserve"> </w:t>
            </w:r>
            <w:r w:rsidR="00414079" w:rsidRPr="003B0F19">
              <w:rPr>
                <w:rFonts w:ascii="Times New Roman" w:eastAsia="Times New Roman" w:hAnsi="Times New Roman" w:cs="Times New Roman"/>
                <w:sz w:val="24"/>
                <w:szCs w:val="24"/>
                <w:lang w:eastAsia="lv-LV"/>
              </w:rPr>
              <w:t>vienot</w:t>
            </w:r>
            <w:r w:rsidR="0056799C">
              <w:rPr>
                <w:rFonts w:ascii="Times New Roman" w:eastAsia="Times New Roman" w:hAnsi="Times New Roman" w:cs="Times New Roman"/>
                <w:sz w:val="24"/>
                <w:szCs w:val="24"/>
                <w:lang w:eastAsia="lv-LV"/>
              </w:rPr>
              <w:t>s</w:t>
            </w:r>
            <w:r w:rsidR="00414079" w:rsidRPr="003B0F19">
              <w:rPr>
                <w:rFonts w:ascii="Times New Roman" w:eastAsia="Times New Roman" w:hAnsi="Times New Roman" w:cs="Times New Roman"/>
                <w:sz w:val="24"/>
                <w:szCs w:val="24"/>
                <w:lang w:eastAsia="lv-LV"/>
              </w:rPr>
              <w:t xml:space="preserve"> Eiropas līmeņa regulējum</w:t>
            </w:r>
            <w:r w:rsidR="0056799C">
              <w:rPr>
                <w:rFonts w:ascii="Times New Roman" w:eastAsia="Times New Roman" w:hAnsi="Times New Roman" w:cs="Times New Roman"/>
                <w:sz w:val="24"/>
                <w:szCs w:val="24"/>
                <w:lang w:eastAsia="lv-LV"/>
              </w:rPr>
              <w:t xml:space="preserve">s </w:t>
            </w:r>
            <w:r w:rsidR="00414079" w:rsidRPr="003B0F19">
              <w:rPr>
                <w:rFonts w:ascii="Times New Roman" w:eastAsia="Times New Roman" w:hAnsi="Times New Roman" w:cs="Times New Roman"/>
                <w:sz w:val="24"/>
                <w:szCs w:val="24"/>
                <w:lang w:eastAsia="lv-LV"/>
              </w:rPr>
              <w:t xml:space="preserve">attiecībā uz </w:t>
            </w:r>
            <w:r w:rsidR="00414079">
              <w:rPr>
                <w:rFonts w:ascii="Times New Roman" w:eastAsia="Times New Roman" w:hAnsi="Times New Roman" w:cs="Times New Roman"/>
                <w:sz w:val="24"/>
                <w:szCs w:val="24"/>
                <w:lang w:eastAsia="lv-LV"/>
              </w:rPr>
              <w:t>apdrošinā</w:t>
            </w:r>
            <w:r w:rsidR="00B32067">
              <w:rPr>
                <w:rFonts w:ascii="Times New Roman" w:eastAsia="Times New Roman" w:hAnsi="Times New Roman" w:cs="Times New Roman"/>
                <w:sz w:val="24"/>
                <w:szCs w:val="24"/>
                <w:lang w:eastAsia="lv-LV"/>
              </w:rPr>
              <w:t>šanas sabiedrības r</w:t>
            </w:r>
            <w:r w:rsidR="00414079" w:rsidRPr="003B0F19">
              <w:rPr>
                <w:rFonts w:ascii="Times New Roman" w:eastAsia="Times New Roman" w:hAnsi="Times New Roman" w:cs="Times New Roman"/>
                <w:sz w:val="24"/>
                <w:szCs w:val="24"/>
                <w:lang w:eastAsia="lv-LV"/>
              </w:rPr>
              <w:t xml:space="preserve">egulāri publiskojamās </w:t>
            </w:r>
            <w:proofErr w:type="spellStart"/>
            <w:r w:rsidR="00414079" w:rsidRPr="003B0F19">
              <w:rPr>
                <w:rFonts w:ascii="Times New Roman" w:eastAsia="Times New Roman" w:hAnsi="Times New Roman" w:cs="Times New Roman"/>
                <w:sz w:val="24"/>
                <w:szCs w:val="24"/>
                <w:lang w:eastAsia="lv-LV"/>
              </w:rPr>
              <w:t>prudenciālās</w:t>
            </w:r>
            <w:proofErr w:type="spellEnd"/>
            <w:r w:rsidR="00414079" w:rsidRPr="003B0F19">
              <w:rPr>
                <w:rFonts w:ascii="Times New Roman" w:eastAsia="Times New Roman" w:hAnsi="Times New Roman" w:cs="Times New Roman"/>
                <w:sz w:val="24"/>
                <w:szCs w:val="24"/>
                <w:lang w:eastAsia="lv-LV"/>
              </w:rPr>
              <w:t xml:space="preserve"> (uzraudzības) informācijas atklāšanu</w:t>
            </w:r>
            <w:r w:rsidR="0056799C">
              <w:rPr>
                <w:rFonts w:ascii="Times New Roman" w:eastAsia="Times New Roman" w:hAnsi="Times New Roman" w:cs="Times New Roman"/>
                <w:sz w:val="24"/>
                <w:szCs w:val="24"/>
                <w:lang w:eastAsia="lv-LV"/>
              </w:rPr>
              <w:t>;</w:t>
            </w:r>
          </w:p>
          <w:p w14:paraId="5AE8C309" w14:textId="32FBDF5A" w:rsidR="005C7651" w:rsidRDefault="005C7651" w:rsidP="006B4E46">
            <w:pPr>
              <w:pStyle w:val="BodyText"/>
              <w:numPr>
                <w:ilvl w:val="0"/>
                <w:numId w:val="14"/>
              </w:numPr>
              <w:tabs>
                <w:tab w:val="left" w:pos="250"/>
                <w:tab w:val="left" w:pos="431"/>
              </w:tabs>
              <w:spacing w:line="240" w:lineRule="auto"/>
              <w:ind w:left="5"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dalībvalst</w:t>
            </w:r>
            <w:r w:rsidR="009B658A">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apdrošinātāj</w:t>
            </w:r>
            <w:r w:rsidR="009B658A">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filiālei tiek atcelta prasība publicēt </w:t>
            </w:r>
            <w:r w:rsidRPr="0056799C">
              <w:rPr>
                <w:rFonts w:ascii="Times New Roman" w:eastAsia="Times New Roman" w:hAnsi="Times New Roman" w:cs="Times New Roman"/>
                <w:sz w:val="24"/>
                <w:szCs w:val="24"/>
                <w:lang w:eastAsia="lv-LV"/>
              </w:rPr>
              <w:t xml:space="preserve">dalībvalsts apdrošinātāja, kura filiāle tā ir, jaunāko pieejamo publisko pārskatu par dalībvalsts apdrošinātāja darbību un finanšu rādītājiem, kura pieejamība filiālei </w:t>
            </w:r>
            <w:r>
              <w:rPr>
                <w:rFonts w:ascii="Times New Roman" w:eastAsia="Times New Roman" w:hAnsi="Times New Roman" w:cs="Times New Roman"/>
                <w:sz w:val="24"/>
                <w:szCs w:val="24"/>
                <w:lang w:eastAsia="lv-LV"/>
              </w:rPr>
              <w:t xml:space="preserve">bija </w:t>
            </w:r>
            <w:r w:rsidRPr="0056799C">
              <w:rPr>
                <w:rFonts w:ascii="Times New Roman" w:eastAsia="Times New Roman" w:hAnsi="Times New Roman" w:cs="Times New Roman"/>
                <w:sz w:val="24"/>
                <w:szCs w:val="24"/>
                <w:lang w:eastAsia="lv-LV"/>
              </w:rPr>
              <w:t>jānodrošina valsts valodā</w:t>
            </w:r>
            <w:r>
              <w:rPr>
                <w:rFonts w:ascii="Times New Roman" w:eastAsia="Times New Roman" w:hAnsi="Times New Roman" w:cs="Times New Roman"/>
                <w:sz w:val="24"/>
                <w:szCs w:val="24"/>
                <w:lang w:eastAsia="lv-LV"/>
              </w:rPr>
              <w:t>.</w:t>
            </w:r>
            <w:r w:rsidRPr="005C7651">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Atceļot šādu prasību, </w:t>
            </w:r>
            <w:r w:rsidRPr="005C7651">
              <w:rPr>
                <w:rFonts w:ascii="Times New Roman" w:eastAsia="Times New Roman" w:hAnsi="Times New Roman" w:cs="Times New Roman"/>
                <w:sz w:val="24"/>
                <w:szCs w:val="24"/>
                <w:lang w:eastAsia="lv-LV"/>
              </w:rPr>
              <w:t>tiek samazinātas dalībvalst</w:t>
            </w:r>
            <w:r w:rsidR="00F310B0">
              <w:rPr>
                <w:rFonts w:ascii="Times New Roman" w:eastAsia="Times New Roman" w:hAnsi="Times New Roman" w:cs="Times New Roman"/>
                <w:sz w:val="24"/>
                <w:szCs w:val="24"/>
                <w:lang w:eastAsia="lv-LV"/>
              </w:rPr>
              <w:t>s</w:t>
            </w:r>
            <w:r w:rsidRPr="005C7651">
              <w:rPr>
                <w:rFonts w:ascii="Times New Roman" w:eastAsia="Times New Roman" w:hAnsi="Times New Roman" w:cs="Times New Roman"/>
                <w:sz w:val="24"/>
                <w:szCs w:val="24"/>
                <w:lang w:eastAsia="lv-LV"/>
              </w:rPr>
              <w:t xml:space="preserve"> apdrošinātāj</w:t>
            </w:r>
            <w:r w:rsidR="009B658A">
              <w:rPr>
                <w:rFonts w:ascii="Times New Roman" w:eastAsia="Times New Roman" w:hAnsi="Times New Roman" w:cs="Times New Roman"/>
                <w:sz w:val="24"/>
                <w:szCs w:val="24"/>
                <w:lang w:eastAsia="lv-LV"/>
              </w:rPr>
              <w:t>a</w:t>
            </w:r>
            <w:r w:rsidRPr="005C7651">
              <w:rPr>
                <w:rFonts w:ascii="Times New Roman" w:eastAsia="Times New Roman" w:hAnsi="Times New Roman" w:cs="Times New Roman"/>
                <w:sz w:val="24"/>
                <w:szCs w:val="24"/>
                <w:lang w:eastAsia="lv-LV"/>
              </w:rPr>
              <w:t xml:space="preserve"> filiā</w:t>
            </w:r>
            <w:r w:rsidR="009B658A">
              <w:rPr>
                <w:rFonts w:ascii="Times New Roman" w:eastAsia="Times New Roman" w:hAnsi="Times New Roman" w:cs="Times New Roman"/>
                <w:sz w:val="24"/>
                <w:szCs w:val="24"/>
                <w:lang w:eastAsia="lv-LV"/>
              </w:rPr>
              <w:t>les</w:t>
            </w:r>
            <w:r w:rsidRPr="005C7651">
              <w:rPr>
                <w:rFonts w:ascii="Times New Roman" w:eastAsia="Times New Roman" w:hAnsi="Times New Roman" w:cs="Times New Roman"/>
                <w:sz w:val="24"/>
                <w:szCs w:val="24"/>
                <w:lang w:eastAsia="lv-LV"/>
              </w:rPr>
              <w:t xml:space="preserve"> izmaksas, kas saistītas ar pārskata tulkošanu</w:t>
            </w:r>
            <w:r>
              <w:rPr>
                <w:rFonts w:ascii="Times New Roman" w:eastAsia="Times New Roman" w:hAnsi="Times New Roman" w:cs="Times New Roman"/>
                <w:sz w:val="24"/>
                <w:szCs w:val="24"/>
                <w:lang w:eastAsia="lv-LV"/>
              </w:rPr>
              <w:t xml:space="preserve"> un tā publicēšanu </w:t>
            </w:r>
            <w:r w:rsidR="00443E2A">
              <w:rPr>
                <w:rFonts w:ascii="Times New Roman" w:eastAsia="Times New Roman" w:hAnsi="Times New Roman" w:cs="Times New Roman"/>
                <w:sz w:val="24"/>
                <w:szCs w:val="24"/>
                <w:lang w:eastAsia="lv-LV"/>
              </w:rPr>
              <w:t>savā tīmekļvietnē</w:t>
            </w:r>
            <w:r>
              <w:rPr>
                <w:rFonts w:ascii="Times New Roman" w:eastAsia="Times New Roman" w:hAnsi="Times New Roman" w:cs="Times New Roman"/>
                <w:sz w:val="24"/>
                <w:szCs w:val="24"/>
                <w:lang w:eastAsia="lv-LV"/>
              </w:rPr>
              <w:t>;</w:t>
            </w:r>
          </w:p>
          <w:p w14:paraId="7853E843" w14:textId="7EDDCB16" w:rsidR="00872061" w:rsidRDefault="005C7651" w:rsidP="006B4E46">
            <w:pPr>
              <w:pStyle w:val="BodyText"/>
              <w:numPr>
                <w:ilvl w:val="0"/>
                <w:numId w:val="14"/>
              </w:numPr>
              <w:tabs>
                <w:tab w:val="left" w:pos="250"/>
                <w:tab w:val="left" w:pos="431"/>
              </w:tabs>
              <w:spacing w:line="240" w:lineRule="auto"/>
              <w:ind w:left="5" w:firstLine="0"/>
              <w:jc w:val="both"/>
              <w:rPr>
                <w:rFonts w:ascii="Times New Roman" w:eastAsia="Times New Roman" w:hAnsi="Times New Roman" w:cs="Times New Roman"/>
                <w:sz w:val="24"/>
                <w:szCs w:val="24"/>
                <w:lang w:eastAsia="lv-LV"/>
              </w:rPr>
            </w:pPr>
            <w:r w:rsidRPr="002B347B">
              <w:rPr>
                <w:rFonts w:ascii="Times New Roman" w:eastAsia="Times New Roman" w:hAnsi="Times New Roman" w:cs="Times New Roman"/>
                <w:sz w:val="24"/>
                <w:szCs w:val="24"/>
                <w:lang w:eastAsia="lv-LV"/>
              </w:rPr>
              <w:t>dalībvalst</w:t>
            </w:r>
            <w:r w:rsidR="009B658A">
              <w:rPr>
                <w:rFonts w:ascii="Times New Roman" w:eastAsia="Times New Roman" w:hAnsi="Times New Roman" w:cs="Times New Roman"/>
                <w:sz w:val="24"/>
                <w:szCs w:val="24"/>
                <w:lang w:eastAsia="lv-LV"/>
              </w:rPr>
              <w:t>s</w:t>
            </w:r>
            <w:r w:rsidRPr="002B347B">
              <w:rPr>
                <w:rFonts w:ascii="Times New Roman" w:eastAsia="Times New Roman" w:hAnsi="Times New Roman" w:cs="Times New Roman"/>
                <w:sz w:val="24"/>
                <w:szCs w:val="24"/>
                <w:lang w:eastAsia="lv-LV"/>
              </w:rPr>
              <w:t xml:space="preserve"> apdrošinātāja filiālei tiek ieviesta prasība </w:t>
            </w:r>
            <w:r w:rsidRPr="002B347B">
              <w:rPr>
                <w:rFonts w:ascii="Times New Roman" w:eastAsia="Times New Roman" w:hAnsi="Times New Roman" w:cs="Times New Roman"/>
                <w:color w:val="000000"/>
                <w:sz w:val="24"/>
                <w:szCs w:val="24"/>
                <w:lang w:eastAsia="lv-LV"/>
              </w:rPr>
              <w:t xml:space="preserve">publicēt pārskatu, </w:t>
            </w:r>
            <w:r w:rsidR="009B658A">
              <w:rPr>
                <w:rFonts w:ascii="Times New Roman" w:eastAsia="Times New Roman" w:hAnsi="Times New Roman" w:cs="Times New Roman"/>
                <w:color w:val="000000"/>
                <w:sz w:val="24"/>
                <w:szCs w:val="24"/>
                <w:lang w:eastAsia="lv-LV"/>
              </w:rPr>
              <w:t xml:space="preserve">brīvā formā </w:t>
            </w:r>
            <w:r w:rsidRPr="002B347B">
              <w:rPr>
                <w:rFonts w:ascii="Times New Roman" w:eastAsia="Times New Roman" w:hAnsi="Times New Roman" w:cs="Times New Roman"/>
                <w:color w:val="000000"/>
                <w:sz w:val="24"/>
                <w:szCs w:val="24"/>
                <w:lang w:eastAsia="lv-LV"/>
              </w:rPr>
              <w:t>atklājot informāciju vismaz par Latvijas Republikā bruto parakstītajām apdrošināšanas prēmijām un izmaksātajām apdrošināšanas atlīdzībām sadalījumā pa apdrošināšanas veidiem (Noteikumos Nr.</w:t>
            </w:r>
            <w:r w:rsidR="00EC0CBA">
              <w:rPr>
                <w:rFonts w:ascii="Times New Roman" w:eastAsia="Times New Roman" w:hAnsi="Times New Roman" w:cs="Times New Roman"/>
                <w:color w:val="000000"/>
                <w:sz w:val="24"/>
                <w:szCs w:val="24"/>
                <w:lang w:eastAsia="lv-LV"/>
              </w:rPr>
              <w:t> </w:t>
            </w:r>
            <w:r w:rsidRPr="002B347B">
              <w:rPr>
                <w:rFonts w:ascii="Times New Roman" w:eastAsia="Times New Roman" w:hAnsi="Times New Roman" w:cs="Times New Roman"/>
                <w:color w:val="000000"/>
                <w:sz w:val="24"/>
                <w:szCs w:val="24"/>
                <w:lang w:eastAsia="lv-LV"/>
              </w:rPr>
              <w:t xml:space="preserve">128 </w:t>
            </w:r>
            <w:r w:rsidR="005B0A89">
              <w:rPr>
                <w:rFonts w:ascii="Times New Roman" w:eastAsia="Times New Roman" w:hAnsi="Times New Roman" w:cs="Times New Roman"/>
                <w:color w:val="000000"/>
                <w:sz w:val="24"/>
                <w:szCs w:val="24"/>
                <w:lang w:eastAsia="lv-LV"/>
              </w:rPr>
              <w:t xml:space="preserve">dalībvalsts apdrošinātāja </w:t>
            </w:r>
            <w:r>
              <w:rPr>
                <w:rFonts w:ascii="Times New Roman" w:eastAsia="Times New Roman" w:hAnsi="Times New Roman" w:cs="Times New Roman"/>
                <w:color w:val="000000"/>
                <w:sz w:val="24"/>
                <w:szCs w:val="24"/>
                <w:lang w:eastAsia="lv-LV"/>
              </w:rPr>
              <w:t>filiāles tika aicinātas</w:t>
            </w:r>
            <w:r w:rsidRPr="002B347B">
              <w:rPr>
                <w:rFonts w:ascii="Times New Roman" w:eastAsia="Times New Roman" w:hAnsi="Times New Roman" w:cs="Times New Roman"/>
                <w:color w:val="000000"/>
                <w:sz w:val="24"/>
                <w:szCs w:val="24"/>
                <w:lang w:eastAsia="lv-LV"/>
              </w:rPr>
              <w:t xml:space="preserve"> izvērtēt šādas informācijas publicēšanas lietderību</w:t>
            </w:r>
            <w:r>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sz w:val="24"/>
                <w:szCs w:val="24"/>
                <w:lang w:eastAsia="lv-LV"/>
              </w:rPr>
              <w:t>Nosakot dalībvalst</w:t>
            </w:r>
            <w:r w:rsidR="009B658A">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apdrošinātāj</w:t>
            </w:r>
            <w:r w:rsidR="00F310B0">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filiā</w:t>
            </w:r>
            <w:r w:rsidR="00F310B0">
              <w:rPr>
                <w:rFonts w:ascii="Times New Roman" w:eastAsia="Times New Roman" w:hAnsi="Times New Roman" w:cs="Times New Roman"/>
                <w:sz w:val="24"/>
                <w:szCs w:val="24"/>
                <w:lang w:eastAsia="lv-LV"/>
              </w:rPr>
              <w:t>les</w:t>
            </w:r>
            <w:r>
              <w:rPr>
                <w:rFonts w:ascii="Times New Roman" w:eastAsia="Times New Roman" w:hAnsi="Times New Roman" w:cs="Times New Roman"/>
                <w:sz w:val="24"/>
                <w:szCs w:val="24"/>
                <w:lang w:eastAsia="lv-LV"/>
              </w:rPr>
              <w:t xml:space="preserve"> pārskata publicēšanu kā obligātu prasību, papildu izmaks</w:t>
            </w:r>
            <w:r w:rsidR="00BF4B38">
              <w:rPr>
                <w:rFonts w:ascii="Times New Roman" w:eastAsia="Times New Roman" w:hAnsi="Times New Roman" w:cs="Times New Roman"/>
                <w:sz w:val="24"/>
                <w:szCs w:val="24"/>
                <w:lang w:eastAsia="lv-LV"/>
              </w:rPr>
              <w:t xml:space="preserve">as ir vērtējamas kā </w:t>
            </w:r>
            <w:r>
              <w:rPr>
                <w:rFonts w:ascii="Times New Roman" w:eastAsia="Times New Roman" w:hAnsi="Times New Roman" w:cs="Times New Roman"/>
                <w:sz w:val="24"/>
                <w:szCs w:val="24"/>
                <w:lang w:eastAsia="lv-LV"/>
              </w:rPr>
              <w:t>samērīg</w:t>
            </w:r>
            <w:r w:rsidR="00BF4B38">
              <w:rPr>
                <w:rFonts w:ascii="Times New Roman" w:eastAsia="Times New Roman" w:hAnsi="Times New Roman" w:cs="Times New Roman"/>
                <w:sz w:val="24"/>
                <w:szCs w:val="24"/>
                <w:lang w:eastAsia="lv-LV"/>
              </w:rPr>
              <w:t>as</w:t>
            </w:r>
            <w:r>
              <w:rPr>
                <w:rFonts w:ascii="Times New Roman" w:eastAsia="Times New Roman" w:hAnsi="Times New Roman" w:cs="Times New Roman"/>
                <w:sz w:val="24"/>
                <w:szCs w:val="24"/>
                <w:lang w:eastAsia="lv-LV"/>
              </w:rPr>
              <w:t>, jo pārskatu par parakstīt</w:t>
            </w:r>
            <w:r w:rsidR="00EC0CBA">
              <w:rPr>
                <w:rFonts w:ascii="Times New Roman" w:eastAsia="Times New Roman" w:hAnsi="Times New Roman" w:cs="Times New Roman"/>
                <w:sz w:val="24"/>
                <w:szCs w:val="24"/>
                <w:lang w:eastAsia="lv-LV"/>
              </w:rPr>
              <w:t>aj</w:t>
            </w:r>
            <w:r>
              <w:rPr>
                <w:rFonts w:ascii="Times New Roman" w:eastAsia="Times New Roman" w:hAnsi="Times New Roman" w:cs="Times New Roman"/>
                <w:sz w:val="24"/>
                <w:szCs w:val="24"/>
                <w:lang w:eastAsia="lv-LV"/>
              </w:rPr>
              <w:t>ām prēmijām un izmaksāt</w:t>
            </w:r>
            <w:r w:rsidR="00EC0CBA">
              <w:rPr>
                <w:rFonts w:ascii="Times New Roman" w:eastAsia="Times New Roman" w:hAnsi="Times New Roman" w:cs="Times New Roman"/>
                <w:sz w:val="24"/>
                <w:szCs w:val="24"/>
                <w:lang w:eastAsia="lv-LV"/>
              </w:rPr>
              <w:t>aj</w:t>
            </w:r>
            <w:r>
              <w:rPr>
                <w:rFonts w:ascii="Times New Roman" w:eastAsia="Times New Roman" w:hAnsi="Times New Roman" w:cs="Times New Roman"/>
                <w:sz w:val="24"/>
                <w:szCs w:val="24"/>
                <w:lang w:eastAsia="lv-LV"/>
              </w:rPr>
              <w:t xml:space="preserve">ām atlīdzībām </w:t>
            </w:r>
            <w:r w:rsidR="00E4027B">
              <w:rPr>
                <w:rFonts w:ascii="Times New Roman" w:eastAsia="Times New Roman" w:hAnsi="Times New Roman" w:cs="Times New Roman"/>
                <w:sz w:val="24"/>
                <w:szCs w:val="24"/>
                <w:lang w:eastAsia="lv-LV"/>
              </w:rPr>
              <w:t xml:space="preserve">sadalījumā pa apdrošināšanas veidiem </w:t>
            </w:r>
            <w:r>
              <w:rPr>
                <w:rFonts w:ascii="Times New Roman" w:eastAsia="Times New Roman" w:hAnsi="Times New Roman" w:cs="Times New Roman"/>
                <w:sz w:val="24"/>
                <w:szCs w:val="24"/>
                <w:lang w:eastAsia="lv-LV"/>
              </w:rPr>
              <w:t>filiāle regulāri sniedz Latvijas Bankai uzraudzības vajadzībām</w:t>
            </w:r>
            <w:r w:rsidR="00872061">
              <w:rPr>
                <w:rFonts w:ascii="Times New Roman" w:eastAsia="Times New Roman" w:hAnsi="Times New Roman" w:cs="Times New Roman"/>
                <w:sz w:val="24"/>
                <w:szCs w:val="24"/>
                <w:lang w:eastAsia="lv-LV"/>
              </w:rPr>
              <w:t>;</w:t>
            </w:r>
          </w:p>
          <w:p w14:paraId="6DC63D33" w14:textId="72172A8F" w:rsidR="005C7651" w:rsidRDefault="00872061" w:rsidP="006B4E46">
            <w:pPr>
              <w:pStyle w:val="BodyText"/>
              <w:numPr>
                <w:ilvl w:val="0"/>
                <w:numId w:val="14"/>
              </w:numPr>
              <w:tabs>
                <w:tab w:val="left" w:pos="250"/>
                <w:tab w:val="left" w:pos="431"/>
              </w:tabs>
              <w:spacing w:line="240" w:lineRule="auto"/>
              <w:ind w:left="5" w:firstLine="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apdrošināšanas sabiedrīb</w:t>
            </w:r>
            <w:r w:rsidR="00F310B0">
              <w:rPr>
                <w:rFonts w:ascii="Times New Roman" w:eastAsia="Times New Roman" w:hAnsi="Times New Roman" w:cs="Times New Roman"/>
                <w:sz w:val="24"/>
                <w:szCs w:val="24"/>
                <w:lang w:eastAsia="lv-LV"/>
              </w:rPr>
              <w:t xml:space="preserve">ai, ārvalsts apdrošinātāja filiālei </w:t>
            </w:r>
            <w:r>
              <w:rPr>
                <w:rFonts w:ascii="Times New Roman" w:eastAsia="Times New Roman" w:hAnsi="Times New Roman" w:cs="Times New Roman"/>
                <w:sz w:val="24"/>
                <w:szCs w:val="24"/>
                <w:lang w:eastAsia="lv-LV"/>
              </w:rPr>
              <w:t>un dalībvalsts apdrošinātāj</w:t>
            </w:r>
            <w:r w:rsidR="00F310B0">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filiāl</w:t>
            </w:r>
            <w:r w:rsidR="00F310B0">
              <w:rPr>
                <w:rFonts w:ascii="Times New Roman" w:eastAsia="Times New Roman" w:hAnsi="Times New Roman" w:cs="Times New Roman"/>
                <w:sz w:val="24"/>
                <w:szCs w:val="24"/>
                <w:lang w:eastAsia="lv-LV"/>
              </w:rPr>
              <w:t>ei</w:t>
            </w:r>
            <w:r>
              <w:rPr>
                <w:rFonts w:ascii="Times New Roman" w:eastAsia="Times New Roman" w:hAnsi="Times New Roman" w:cs="Times New Roman"/>
                <w:sz w:val="24"/>
                <w:szCs w:val="24"/>
                <w:lang w:eastAsia="lv-LV"/>
              </w:rPr>
              <w:t xml:space="preserve"> </w:t>
            </w:r>
            <w:r w:rsidR="00EC0CBA">
              <w:rPr>
                <w:rFonts w:ascii="Times New Roman" w:eastAsia="Times New Roman" w:hAnsi="Times New Roman" w:cs="Times New Roman"/>
                <w:sz w:val="24"/>
                <w:szCs w:val="24"/>
                <w:lang w:eastAsia="lv-LV"/>
              </w:rPr>
              <w:t xml:space="preserve">tiek ieviesta prasība, </w:t>
            </w:r>
            <w:r>
              <w:rPr>
                <w:rFonts w:ascii="Times New Roman" w:eastAsia="Times New Roman" w:hAnsi="Times New Roman" w:cs="Times New Roman"/>
                <w:sz w:val="24"/>
                <w:szCs w:val="24"/>
                <w:lang w:eastAsia="lv-LV"/>
              </w:rPr>
              <w:t>publicējot ceturkšņa pārskatus tīmekļvietnē</w:t>
            </w:r>
            <w:r w:rsidR="00EE3950">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norādīt pārskata publicēšanas datumu.</w:t>
            </w:r>
          </w:p>
          <w:p w14:paraId="2CC7B980" w14:textId="2C8E9CA0" w:rsidR="005F1F98" w:rsidRDefault="00872061" w:rsidP="00FE3CF1">
            <w:pPr>
              <w:spacing w:after="120" w:line="240" w:lineRule="auto"/>
              <w:jc w:val="both"/>
              <w:rPr>
                <w:rFonts w:ascii="Times New Roman" w:eastAsia="Times New Roman" w:hAnsi="Times New Roman" w:cs="Times New Roman"/>
                <w:sz w:val="24"/>
                <w:szCs w:val="24"/>
                <w:lang w:eastAsia="lv-LV"/>
              </w:rPr>
            </w:pPr>
            <w:r w:rsidRPr="00872061">
              <w:rPr>
                <w:rFonts w:ascii="Times New Roman" w:eastAsia="Times New Roman" w:hAnsi="Times New Roman" w:cs="Times New Roman"/>
                <w:sz w:val="24"/>
                <w:szCs w:val="24"/>
                <w:lang w:eastAsia="lv-LV"/>
              </w:rPr>
              <w:t xml:space="preserve">Informācijas atklāšanas veidņu </w:t>
            </w:r>
            <w:r w:rsidR="00E4027B">
              <w:rPr>
                <w:rFonts w:ascii="Times New Roman" w:eastAsia="Times New Roman" w:hAnsi="Times New Roman" w:cs="Times New Roman"/>
                <w:sz w:val="24"/>
                <w:szCs w:val="24"/>
                <w:lang w:eastAsia="lv-LV"/>
              </w:rPr>
              <w:t>(</w:t>
            </w:r>
            <w:r w:rsidR="0006351B">
              <w:rPr>
                <w:rFonts w:ascii="Times New Roman" w:eastAsia="Times New Roman" w:hAnsi="Times New Roman" w:cs="Times New Roman"/>
                <w:sz w:val="24"/>
                <w:szCs w:val="24"/>
                <w:lang w:eastAsia="lv-LV"/>
              </w:rPr>
              <w:t xml:space="preserve">noteikumu projekta </w:t>
            </w:r>
            <w:r w:rsidR="00E4027B">
              <w:rPr>
                <w:rFonts w:ascii="Times New Roman" w:eastAsia="Times New Roman" w:hAnsi="Times New Roman" w:cs="Times New Roman"/>
                <w:sz w:val="24"/>
                <w:szCs w:val="24"/>
                <w:lang w:eastAsia="lv-LV"/>
              </w:rPr>
              <w:t>1.</w:t>
            </w:r>
            <w:r w:rsidR="00E4027B" w:rsidRPr="00751877">
              <w:rPr>
                <w:rFonts w:ascii="Times New Roman" w:hAnsi="Times New Roman" w:cs="Times New Roman"/>
                <w:sz w:val="24"/>
                <w:szCs w:val="24"/>
              </w:rPr>
              <w:t>–</w:t>
            </w:r>
            <w:r w:rsidR="00E4027B">
              <w:rPr>
                <w:rFonts w:ascii="Times New Roman" w:eastAsia="Times New Roman" w:hAnsi="Times New Roman" w:cs="Times New Roman"/>
                <w:sz w:val="24"/>
                <w:szCs w:val="24"/>
                <w:lang w:eastAsia="lv-LV"/>
              </w:rPr>
              <w:t xml:space="preserve">4. pielikums) </w:t>
            </w:r>
            <w:r w:rsidRPr="00872061">
              <w:rPr>
                <w:rFonts w:ascii="Times New Roman" w:eastAsia="Times New Roman" w:hAnsi="Times New Roman" w:cs="Times New Roman"/>
                <w:sz w:val="24"/>
                <w:szCs w:val="24"/>
                <w:lang w:eastAsia="lv-LV"/>
              </w:rPr>
              <w:t>saturā izmaiņas</w:t>
            </w:r>
            <w:r w:rsidR="00A040DC">
              <w:rPr>
                <w:rFonts w:ascii="Times New Roman" w:eastAsia="Times New Roman" w:hAnsi="Times New Roman" w:cs="Times New Roman"/>
                <w:sz w:val="24"/>
                <w:szCs w:val="24"/>
                <w:lang w:eastAsia="lv-LV"/>
              </w:rPr>
              <w:t xml:space="preserve"> nav veiktas. </w:t>
            </w:r>
            <w:r w:rsidR="001D19DE">
              <w:rPr>
                <w:rFonts w:ascii="Times New Roman" w:eastAsia="Times New Roman" w:hAnsi="Times New Roman" w:cs="Times New Roman"/>
                <w:sz w:val="24"/>
                <w:szCs w:val="24"/>
                <w:lang w:eastAsia="lv-LV"/>
              </w:rPr>
              <w:t xml:space="preserve">Precizēti </w:t>
            </w:r>
            <w:r w:rsidR="00E1205E">
              <w:rPr>
                <w:rFonts w:ascii="Times New Roman" w:eastAsia="Times New Roman" w:hAnsi="Times New Roman" w:cs="Times New Roman"/>
                <w:sz w:val="24"/>
                <w:szCs w:val="24"/>
                <w:lang w:eastAsia="lv-LV"/>
              </w:rPr>
              <w:t>2.</w:t>
            </w:r>
            <w:r w:rsidR="00DD76CD">
              <w:rPr>
                <w:rFonts w:ascii="Times New Roman" w:eastAsia="Times New Roman" w:hAnsi="Times New Roman" w:cs="Times New Roman"/>
                <w:sz w:val="24"/>
                <w:szCs w:val="24"/>
                <w:lang w:eastAsia="lv-LV"/>
              </w:rPr>
              <w:t> </w:t>
            </w:r>
            <w:r w:rsidR="00E1205E">
              <w:rPr>
                <w:rFonts w:ascii="Times New Roman" w:eastAsia="Times New Roman" w:hAnsi="Times New Roman" w:cs="Times New Roman"/>
                <w:sz w:val="24"/>
                <w:szCs w:val="24"/>
                <w:lang w:eastAsia="lv-LV"/>
              </w:rPr>
              <w:t xml:space="preserve">pielikuma </w:t>
            </w:r>
            <w:r w:rsidR="00C00A5B">
              <w:rPr>
                <w:rFonts w:ascii="Times New Roman" w:eastAsia="Times New Roman" w:hAnsi="Times New Roman" w:cs="Times New Roman"/>
                <w:sz w:val="24"/>
                <w:szCs w:val="24"/>
                <w:lang w:eastAsia="lv-LV"/>
              </w:rPr>
              <w:t xml:space="preserve">pārskata </w:t>
            </w:r>
            <w:r w:rsidR="00B76BEC">
              <w:rPr>
                <w:rFonts w:ascii="Times New Roman" w:eastAsia="Times New Roman" w:hAnsi="Times New Roman" w:cs="Times New Roman"/>
                <w:sz w:val="24"/>
                <w:szCs w:val="24"/>
                <w:lang w:eastAsia="lv-LV"/>
              </w:rPr>
              <w:t xml:space="preserve"> </w:t>
            </w:r>
            <w:r w:rsidR="00BF4B38">
              <w:rPr>
                <w:rFonts w:ascii="Times New Roman" w:eastAsia="Times New Roman" w:hAnsi="Times New Roman" w:cs="Times New Roman"/>
                <w:sz w:val="24"/>
                <w:szCs w:val="24"/>
                <w:lang w:eastAsia="lv-LV"/>
              </w:rPr>
              <w:t xml:space="preserve">aiļu </w:t>
            </w:r>
            <w:r w:rsidR="005E41BA">
              <w:rPr>
                <w:rFonts w:ascii="Times New Roman" w:eastAsia="Times New Roman" w:hAnsi="Times New Roman" w:cs="Times New Roman"/>
                <w:sz w:val="24"/>
                <w:szCs w:val="24"/>
                <w:lang w:eastAsia="lv-LV"/>
              </w:rPr>
              <w:t xml:space="preserve"> un rindu </w:t>
            </w:r>
            <w:r w:rsidR="00BF4B38">
              <w:rPr>
                <w:rFonts w:ascii="Times New Roman" w:eastAsia="Times New Roman" w:hAnsi="Times New Roman" w:cs="Times New Roman"/>
                <w:sz w:val="24"/>
                <w:szCs w:val="24"/>
                <w:lang w:eastAsia="lv-LV"/>
              </w:rPr>
              <w:t>nosaukum</w:t>
            </w:r>
            <w:r w:rsidR="001D19DE">
              <w:rPr>
                <w:rFonts w:ascii="Times New Roman" w:eastAsia="Times New Roman" w:hAnsi="Times New Roman" w:cs="Times New Roman"/>
                <w:sz w:val="24"/>
                <w:szCs w:val="24"/>
                <w:lang w:eastAsia="lv-LV"/>
              </w:rPr>
              <w:t>i</w:t>
            </w:r>
            <w:r w:rsidR="006C34F6">
              <w:rPr>
                <w:rFonts w:ascii="Times New Roman" w:eastAsia="Times New Roman" w:hAnsi="Times New Roman" w:cs="Times New Roman"/>
                <w:sz w:val="24"/>
                <w:szCs w:val="24"/>
                <w:lang w:eastAsia="lv-LV"/>
              </w:rPr>
              <w:t>, kā arī</w:t>
            </w:r>
            <w:r w:rsidR="001D19DE">
              <w:rPr>
                <w:rFonts w:ascii="Times New Roman" w:eastAsia="Times New Roman" w:hAnsi="Times New Roman" w:cs="Times New Roman"/>
                <w:sz w:val="24"/>
                <w:szCs w:val="24"/>
                <w:lang w:eastAsia="lv-LV"/>
              </w:rPr>
              <w:t xml:space="preserve"> </w:t>
            </w:r>
            <w:r w:rsidR="00C00A5B">
              <w:rPr>
                <w:rFonts w:ascii="Times New Roman" w:eastAsia="Times New Roman" w:hAnsi="Times New Roman" w:cs="Times New Roman"/>
                <w:sz w:val="24"/>
                <w:szCs w:val="24"/>
                <w:lang w:eastAsia="lv-LV"/>
              </w:rPr>
              <w:t>ieviesta aiļu numerācija 1., 2. un 4.</w:t>
            </w:r>
            <w:r w:rsidR="00DD76CD">
              <w:rPr>
                <w:rFonts w:ascii="Times New Roman" w:eastAsia="Times New Roman" w:hAnsi="Times New Roman" w:cs="Times New Roman"/>
                <w:sz w:val="24"/>
                <w:szCs w:val="24"/>
                <w:lang w:eastAsia="lv-LV"/>
              </w:rPr>
              <w:t> </w:t>
            </w:r>
            <w:r w:rsidR="00C00A5B">
              <w:rPr>
                <w:rFonts w:ascii="Times New Roman" w:eastAsia="Times New Roman" w:hAnsi="Times New Roman" w:cs="Times New Roman"/>
                <w:sz w:val="24"/>
                <w:szCs w:val="24"/>
                <w:lang w:eastAsia="lv-LV"/>
              </w:rPr>
              <w:t>pielikum</w:t>
            </w:r>
            <w:r w:rsidR="00DF10AD">
              <w:rPr>
                <w:rFonts w:ascii="Times New Roman" w:eastAsia="Times New Roman" w:hAnsi="Times New Roman" w:cs="Times New Roman"/>
                <w:sz w:val="24"/>
                <w:szCs w:val="24"/>
                <w:lang w:eastAsia="lv-LV"/>
              </w:rPr>
              <w:t>ā iekļautajiem</w:t>
            </w:r>
            <w:r w:rsidR="00C00A5B">
              <w:rPr>
                <w:rFonts w:ascii="Times New Roman" w:eastAsia="Times New Roman" w:hAnsi="Times New Roman" w:cs="Times New Roman"/>
                <w:sz w:val="24"/>
                <w:szCs w:val="24"/>
                <w:lang w:eastAsia="lv-LV"/>
              </w:rPr>
              <w:t xml:space="preserve"> pārskatiem</w:t>
            </w:r>
            <w:r w:rsidR="00A040DC">
              <w:rPr>
                <w:rFonts w:ascii="Times New Roman" w:eastAsia="Times New Roman" w:hAnsi="Times New Roman" w:cs="Times New Roman"/>
                <w:sz w:val="24"/>
                <w:szCs w:val="24"/>
                <w:lang w:eastAsia="lv-LV"/>
              </w:rPr>
              <w:t>.</w:t>
            </w:r>
            <w:r w:rsidR="005F1F98">
              <w:rPr>
                <w:rFonts w:ascii="Times New Roman" w:eastAsia="Times New Roman" w:hAnsi="Times New Roman" w:cs="Times New Roman"/>
                <w:sz w:val="24"/>
                <w:szCs w:val="24"/>
                <w:lang w:eastAsia="lv-LV"/>
              </w:rPr>
              <w:t xml:space="preserve"> </w:t>
            </w:r>
            <w:r w:rsidR="00F310B0">
              <w:rPr>
                <w:rFonts w:ascii="Times New Roman" w:eastAsia="Times New Roman" w:hAnsi="Times New Roman" w:cs="Times New Roman"/>
                <w:sz w:val="24"/>
                <w:szCs w:val="24"/>
                <w:lang w:eastAsia="lv-LV"/>
              </w:rPr>
              <w:t xml:space="preserve">Visos pārskatos ir </w:t>
            </w:r>
            <w:r w:rsidR="00C31B16">
              <w:rPr>
                <w:rFonts w:ascii="Times New Roman" w:eastAsia="Times New Roman" w:hAnsi="Times New Roman" w:cs="Times New Roman"/>
                <w:sz w:val="24"/>
                <w:szCs w:val="24"/>
                <w:lang w:eastAsia="lv-LV"/>
              </w:rPr>
              <w:t xml:space="preserve">svītrota </w:t>
            </w:r>
            <w:r w:rsidR="00F310B0">
              <w:rPr>
                <w:rFonts w:ascii="Times New Roman" w:eastAsia="Times New Roman" w:hAnsi="Times New Roman" w:cs="Times New Roman"/>
                <w:sz w:val="24"/>
                <w:szCs w:val="24"/>
                <w:lang w:eastAsia="lv-LV"/>
              </w:rPr>
              <w:t>aile ar pozīciju numerāciju (</w:t>
            </w:r>
            <w:r w:rsidR="00EC0CBA">
              <w:rPr>
                <w:rFonts w:ascii="Times New Roman" w:eastAsia="Times New Roman" w:hAnsi="Times New Roman" w:cs="Times New Roman"/>
                <w:sz w:val="24"/>
                <w:szCs w:val="24"/>
                <w:lang w:eastAsia="lv-LV"/>
              </w:rPr>
              <w:t>"</w:t>
            </w:r>
            <w:r w:rsidR="00F310B0">
              <w:rPr>
                <w:rFonts w:ascii="Times New Roman" w:eastAsia="Times New Roman" w:hAnsi="Times New Roman" w:cs="Times New Roman"/>
                <w:sz w:val="24"/>
                <w:szCs w:val="24"/>
                <w:lang w:eastAsia="lv-LV"/>
              </w:rPr>
              <w:t>Nr.</w:t>
            </w:r>
            <w:r w:rsidR="00EC0CBA">
              <w:rPr>
                <w:rFonts w:ascii="Times New Roman" w:eastAsia="Times New Roman" w:hAnsi="Times New Roman" w:cs="Times New Roman"/>
                <w:sz w:val="24"/>
                <w:szCs w:val="24"/>
                <w:lang w:eastAsia="lv-LV"/>
              </w:rPr>
              <w:t> </w:t>
            </w:r>
            <w:r w:rsidR="00F310B0">
              <w:rPr>
                <w:rFonts w:ascii="Times New Roman" w:eastAsia="Times New Roman" w:hAnsi="Times New Roman" w:cs="Times New Roman"/>
                <w:sz w:val="24"/>
                <w:szCs w:val="24"/>
                <w:lang w:eastAsia="lv-LV"/>
              </w:rPr>
              <w:t>p.</w:t>
            </w:r>
            <w:r w:rsidR="00EC0CBA">
              <w:rPr>
                <w:rFonts w:ascii="Times New Roman" w:eastAsia="Times New Roman" w:hAnsi="Times New Roman" w:cs="Times New Roman"/>
                <w:sz w:val="24"/>
                <w:szCs w:val="24"/>
                <w:lang w:eastAsia="lv-LV"/>
              </w:rPr>
              <w:t> </w:t>
            </w:r>
            <w:r w:rsidR="00F310B0">
              <w:rPr>
                <w:rFonts w:ascii="Times New Roman" w:eastAsia="Times New Roman" w:hAnsi="Times New Roman" w:cs="Times New Roman"/>
                <w:sz w:val="24"/>
                <w:szCs w:val="24"/>
                <w:lang w:eastAsia="lv-LV"/>
              </w:rPr>
              <w:t>k</w:t>
            </w:r>
            <w:r w:rsidR="00C31B16">
              <w:rPr>
                <w:rFonts w:ascii="Times New Roman" w:eastAsia="Times New Roman" w:hAnsi="Times New Roman" w:cs="Times New Roman"/>
                <w:sz w:val="24"/>
                <w:szCs w:val="24"/>
                <w:lang w:eastAsia="lv-LV"/>
              </w:rPr>
              <w:t>.</w:t>
            </w:r>
            <w:r w:rsidR="00EC0CBA">
              <w:rPr>
                <w:rFonts w:ascii="Times New Roman" w:eastAsia="Times New Roman" w:hAnsi="Times New Roman" w:cs="Times New Roman"/>
                <w:sz w:val="24"/>
                <w:szCs w:val="24"/>
                <w:lang w:eastAsia="lv-LV"/>
              </w:rPr>
              <w:t>"</w:t>
            </w:r>
            <w:r w:rsidR="00F310B0">
              <w:rPr>
                <w:rFonts w:ascii="Times New Roman" w:eastAsia="Times New Roman" w:hAnsi="Times New Roman" w:cs="Times New Roman"/>
                <w:sz w:val="24"/>
                <w:szCs w:val="24"/>
                <w:lang w:eastAsia="lv-LV"/>
              </w:rPr>
              <w:t xml:space="preserve">) un ieviesta aile ar pozīciju kodiem, kas atbilst šobrīd elektroniskajās </w:t>
            </w:r>
            <w:r w:rsidR="002D1112" w:rsidRPr="006B4E46">
              <w:rPr>
                <w:rFonts w:ascii="Times New Roman" w:eastAsia="Times New Roman" w:hAnsi="Times New Roman" w:cs="Times New Roman"/>
                <w:i/>
                <w:iCs/>
                <w:sz w:val="24"/>
                <w:szCs w:val="24"/>
                <w:lang w:eastAsia="lv-LV"/>
              </w:rPr>
              <w:t>MS</w:t>
            </w:r>
            <w:r w:rsidR="002D1112">
              <w:rPr>
                <w:rFonts w:ascii="Times New Roman" w:eastAsia="Times New Roman" w:hAnsi="Times New Roman" w:cs="Times New Roman"/>
                <w:sz w:val="24"/>
                <w:szCs w:val="24"/>
                <w:lang w:eastAsia="lv-LV"/>
              </w:rPr>
              <w:t xml:space="preserve"> </w:t>
            </w:r>
            <w:r w:rsidR="00F310B0" w:rsidRPr="00C31B16">
              <w:rPr>
                <w:rFonts w:ascii="Times New Roman" w:eastAsia="Times New Roman" w:hAnsi="Times New Roman" w:cs="Times New Roman"/>
                <w:i/>
                <w:iCs/>
                <w:sz w:val="24"/>
                <w:szCs w:val="24"/>
                <w:lang w:eastAsia="lv-LV"/>
              </w:rPr>
              <w:t>Excel</w:t>
            </w:r>
            <w:r w:rsidR="00F310B0">
              <w:rPr>
                <w:rFonts w:ascii="Times New Roman" w:eastAsia="Times New Roman" w:hAnsi="Times New Roman" w:cs="Times New Roman"/>
                <w:sz w:val="24"/>
                <w:szCs w:val="24"/>
                <w:lang w:eastAsia="lv-LV"/>
              </w:rPr>
              <w:t xml:space="preserve"> sagatavēs esošajiem kodiem. </w:t>
            </w:r>
            <w:r w:rsidR="00AA44BF">
              <w:rPr>
                <w:rFonts w:ascii="Times New Roman" w:eastAsia="Times New Roman" w:hAnsi="Times New Roman" w:cs="Times New Roman"/>
                <w:sz w:val="24"/>
                <w:szCs w:val="24"/>
                <w:lang w:eastAsia="lv-LV"/>
              </w:rPr>
              <w:t xml:space="preserve">3.pielikums sadalīts divās veidnēs: </w:t>
            </w:r>
            <w:proofErr w:type="spellStart"/>
            <w:r w:rsidR="00AA44BF">
              <w:rPr>
                <w:rFonts w:ascii="Times New Roman" w:eastAsia="Times New Roman" w:hAnsi="Times New Roman" w:cs="Times New Roman"/>
                <w:sz w:val="24"/>
                <w:szCs w:val="24"/>
                <w:lang w:eastAsia="lv-LV"/>
              </w:rPr>
              <w:t>nedzīvības</w:t>
            </w:r>
            <w:proofErr w:type="spellEnd"/>
            <w:r w:rsidR="00AA44BF">
              <w:rPr>
                <w:rFonts w:ascii="Times New Roman" w:eastAsia="Times New Roman" w:hAnsi="Times New Roman" w:cs="Times New Roman"/>
                <w:sz w:val="24"/>
                <w:szCs w:val="24"/>
                <w:lang w:eastAsia="lv-LV"/>
              </w:rPr>
              <w:t xml:space="preserve"> apdrošinātāja pārskats un dzīvības apdrošinātāja pārskats, kas atbilst esošajām </w:t>
            </w:r>
            <w:r w:rsidR="00AA44BF" w:rsidRPr="00AA44BF">
              <w:rPr>
                <w:rFonts w:ascii="Times New Roman" w:eastAsia="Times New Roman" w:hAnsi="Times New Roman" w:cs="Times New Roman"/>
                <w:i/>
                <w:iCs/>
                <w:sz w:val="24"/>
                <w:szCs w:val="24"/>
                <w:lang w:eastAsia="lv-LV"/>
              </w:rPr>
              <w:t>MS Excel</w:t>
            </w:r>
            <w:r w:rsidR="00AA44BF">
              <w:rPr>
                <w:rFonts w:ascii="Times New Roman" w:eastAsia="Times New Roman" w:hAnsi="Times New Roman" w:cs="Times New Roman"/>
                <w:sz w:val="24"/>
                <w:szCs w:val="24"/>
                <w:lang w:eastAsia="lv-LV"/>
              </w:rPr>
              <w:t xml:space="preserve"> sagatavēm.</w:t>
            </w:r>
          </w:p>
          <w:p w14:paraId="0D704356" w14:textId="6F679AFC" w:rsidR="00AD1390" w:rsidRPr="00EE3950" w:rsidRDefault="00A040DC" w:rsidP="00FE3CF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P</w:t>
            </w:r>
            <w:r w:rsidR="00AD1390" w:rsidRPr="00EE3950">
              <w:rPr>
                <w:rFonts w:ascii="Times New Roman" w:eastAsia="Times New Roman" w:hAnsi="Times New Roman" w:cs="Times New Roman"/>
                <w:sz w:val="24"/>
                <w:szCs w:val="24"/>
                <w:lang w:eastAsia="lv-LV"/>
              </w:rPr>
              <w:t xml:space="preserve">ārējās noteikumu projekta normas, kuras atšķiras no pašlaik spēkā esošo </w:t>
            </w:r>
            <w:r w:rsidR="002B347B" w:rsidRPr="00EE3950">
              <w:rPr>
                <w:rFonts w:ascii="Times New Roman" w:eastAsia="Times New Roman" w:hAnsi="Times New Roman" w:cs="Times New Roman"/>
                <w:sz w:val="24"/>
                <w:szCs w:val="24"/>
                <w:lang w:eastAsia="lv-LV"/>
              </w:rPr>
              <w:t>Noteikumu</w:t>
            </w:r>
            <w:r w:rsidR="002B347B" w:rsidRPr="00EE3950">
              <w:rPr>
                <w:rFonts w:ascii="Times New Roman" w:hAnsi="Times New Roman" w:cs="Times New Roman"/>
                <w:sz w:val="24"/>
                <w:szCs w:val="24"/>
              </w:rPr>
              <w:t xml:space="preserve"> Nr.</w:t>
            </w:r>
            <w:r w:rsidR="00DD76CD">
              <w:rPr>
                <w:rFonts w:ascii="Times New Roman" w:hAnsi="Times New Roman" w:cs="Times New Roman"/>
                <w:sz w:val="24"/>
                <w:szCs w:val="24"/>
              </w:rPr>
              <w:t> </w:t>
            </w:r>
            <w:r w:rsidR="002B347B" w:rsidRPr="00EE3950">
              <w:rPr>
                <w:rFonts w:ascii="Times New Roman" w:hAnsi="Times New Roman" w:cs="Times New Roman"/>
                <w:sz w:val="24"/>
                <w:szCs w:val="24"/>
              </w:rPr>
              <w:t>128 atbilsto</w:t>
            </w:r>
            <w:r w:rsidR="00AD1390" w:rsidRPr="00EE3950">
              <w:rPr>
                <w:rFonts w:ascii="Times New Roman" w:eastAsia="Times New Roman" w:hAnsi="Times New Roman" w:cs="Times New Roman"/>
                <w:sz w:val="24"/>
                <w:szCs w:val="24"/>
                <w:lang w:eastAsia="lv-LV"/>
              </w:rPr>
              <w:t xml:space="preserve">šajām normām, paredz </w:t>
            </w:r>
            <w:r w:rsidR="00872061" w:rsidRPr="00BF4B38">
              <w:rPr>
                <w:rFonts w:ascii="Times New Roman" w:hAnsi="Times New Roman" w:cs="Times New Roman"/>
                <w:sz w:val="24"/>
                <w:szCs w:val="24"/>
              </w:rPr>
              <w:t xml:space="preserve">redakcionāla vai </w:t>
            </w:r>
            <w:r w:rsidR="00AD1390" w:rsidRPr="00EE3950">
              <w:rPr>
                <w:rFonts w:ascii="Times New Roman" w:eastAsia="Times New Roman" w:hAnsi="Times New Roman" w:cs="Times New Roman"/>
                <w:sz w:val="24"/>
                <w:szCs w:val="24"/>
                <w:lang w:eastAsia="lv-LV"/>
              </w:rPr>
              <w:t>tehniska rakstura precizējumus un pamatā ir saistītas ar numerācijas maiņu un ar to saistīto atsauču precizēšanu un terminu aktualizēšanu</w:t>
            </w:r>
            <w:r w:rsidR="00872061" w:rsidRPr="00BF4B38">
              <w:rPr>
                <w:rFonts w:ascii="Times New Roman" w:hAnsi="Times New Roman" w:cs="Times New Roman"/>
                <w:sz w:val="24"/>
                <w:szCs w:val="24"/>
              </w:rPr>
              <w:t>.</w:t>
            </w:r>
          </w:p>
        </w:tc>
      </w:tr>
      <w:tr w:rsidR="006C3828" w:rsidRPr="00894D21" w14:paraId="1068B2B5" w14:textId="77777777" w:rsidTr="002B2146">
        <w:trPr>
          <w:trHeight w:val="567"/>
        </w:trPr>
        <w:tc>
          <w:tcPr>
            <w:tcW w:w="1014" w:type="pct"/>
            <w:shd w:val="clear" w:color="auto" w:fill="auto"/>
            <w:hideMark/>
          </w:tcPr>
          <w:p w14:paraId="2C814FF0" w14:textId="34707210" w:rsidR="006C3828" w:rsidRPr="00894D21" w:rsidRDefault="00EC0CBA" w:rsidP="00B917A7">
            <w:pPr>
              <w:spacing w:after="120" w:line="240" w:lineRule="auto"/>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L</w:t>
            </w:r>
            <w:r w:rsidR="006C3828" w:rsidRPr="00894D21">
              <w:rPr>
                <w:rFonts w:ascii="Times New Roman" w:eastAsia="Times New Roman" w:hAnsi="Times New Roman" w:cs="Times New Roman"/>
                <w:b/>
                <w:bCs/>
                <w:sz w:val="24"/>
                <w:szCs w:val="24"/>
                <w:lang w:eastAsia="lv-LV"/>
              </w:rPr>
              <w:t>eģitīmais mērķis</w:t>
            </w:r>
          </w:p>
          <w:p w14:paraId="77E478DC" w14:textId="77777777" w:rsidR="006C3828" w:rsidRPr="00894D21" w:rsidRDefault="006C3828" w:rsidP="00B917A7">
            <w:pPr>
              <w:spacing w:after="12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2FD857D" w14:textId="7A469F2F"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w:t>
            </w:r>
            <w:proofErr w:type="spellStart"/>
            <w:r w:rsidRPr="00894D21">
              <w:rPr>
                <w:rFonts w:ascii="Times New Roman" w:eastAsia="Times New Roman" w:hAnsi="Times New Roman" w:cs="Times New Roman"/>
                <w:sz w:val="24"/>
                <w:szCs w:val="24"/>
                <w:lang w:eastAsia="lv-LV"/>
              </w:rPr>
              <w:t>pamattiesību</w:t>
            </w:r>
            <w:proofErr w:type="spellEnd"/>
            <w:r w:rsidRPr="00894D21">
              <w:rPr>
                <w:rFonts w:ascii="Times New Roman" w:eastAsia="Times New Roman" w:hAnsi="Times New Roman" w:cs="Times New Roman"/>
                <w:sz w:val="24"/>
                <w:szCs w:val="24"/>
                <w:lang w:eastAsia="lv-LV"/>
              </w:rPr>
              <w:t xml:space="preserve">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w:t>
            </w:r>
            <w:proofErr w:type="spellStart"/>
            <w:r w:rsidRPr="00894D21">
              <w:rPr>
                <w:rFonts w:ascii="Times New Roman" w:eastAsia="Times New Roman" w:hAnsi="Times New Roman" w:cs="Times New Roman"/>
                <w:sz w:val="24"/>
                <w:szCs w:val="24"/>
                <w:lang w:eastAsia="lv-LV"/>
              </w:rPr>
              <w:t>pamattiesības</w:t>
            </w:r>
            <w:proofErr w:type="spellEnd"/>
            <w:r w:rsidRPr="00894D21">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1E2C8BF1" w14:textId="471A08F6" w:rsidR="005B3C60" w:rsidRDefault="006C3828" w:rsidP="00B917A7">
            <w:pPr>
              <w:spacing w:after="120" w:line="240" w:lineRule="auto"/>
              <w:jc w:val="both"/>
              <w:rPr>
                <w:rFonts w:ascii="Times New Roman" w:eastAsia="Times New Roman" w:hAnsi="Times New Roman" w:cs="Times New Roman"/>
                <w:sz w:val="24"/>
                <w:szCs w:val="24"/>
                <w:lang w:eastAsia="lv-LV"/>
              </w:rPr>
            </w:pPr>
            <w:r w:rsidRPr="005B3C60">
              <w:rPr>
                <w:rFonts w:ascii="Times New Roman" w:eastAsia="Times New Roman" w:hAnsi="Times New Roman" w:cs="Times New Roman"/>
                <w:sz w:val="24"/>
                <w:szCs w:val="24"/>
                <w:lang w:eastAsia="lv-LV"/>
              </w:rPr>
              <w:t xml:space="preserve">Nosakot finanšu tirgus dalībniekiem </w:t>
            </w:r>
            <w:r w:rsidR="005B3C60">
              <w:rPr>
                <w:rFonts w:ascii="Times New Roman" w:eastAsia="Times New Roman" w:hAnsi="Times New Roman" w:cs="Times New Roman"/>
                <w:sz w:val="24"/>
                <w:szCs w:val="24"/>
                <w:lang w:eastAsia="lv-LV"/>
              </w:rPr>
              <w:t xml:space="preserve">vienotas prasības publiskojamās informācijas atklāšanai, </w:t>
            </w:r>
            <w:r w:rsidRPr="005B3C60">
              <w:rPr>
                <w:rFonts w:ascii="Times New Roman" w:eastAsia="Times New Roman" w:hAnsi="Times New Roman" w:cs="Times New Roman"/>
                <w:sz w:val="24"/>
                <w:szCs w:val="24"/>
                <w:lang w:eastAsia="lv-LV"/>
              </w:rPr>
              <w:t>Latvijas Banka nodrošina tai Latvijas Bankas likumā noteikto pienākumu</w:t>
            </w:r>
            <w:r w:rsidR="00056B91" w:rsidRPr="005B3C60">
              <w:rPr>
                <w:rFonts w:ascii="Times New Roman" w:eastAsia="Times New Roman" w:hAnsi="Times New Roman" w:cs="Times New Roman"/>
                <w:sz w:val="24"/>
                <w:szCs w:val="24"/>
                <w:lang w:eastAsia="lv-LV"/>
              </w:rPr>
              <w:t xml:space="preserve"> – </w:t>
            </w:r>
            <w:r w:rsidRPr="005B3C60">
              <w:rPr>
                <w:rFonts w:ascii="Times New Roman" w:eastAsia="Times New Roman" w:hAnsi="Times New Roman" w:cs="Times New Roman"/>
                <w:sz w:val="24"/>
                <w:szCs w:val="24"/>
                <w:lang w:eastAsia="lv-LV"/>
              </w:rPr>
              <w:t xml:space="preserve">veicināt </w:t>
            </w:r>
            <w:r w:rsidR="00D32B74" w:rsidRPr="005B3C60">
              <w:rPr>
                <w:rFonts w:ascii="Times New Roman" w:eastAsia="Times New Roman" w:hAnsi="Times New Roman" w:cs="Times New Roman"/>
                <w:sz w:val="24"/>
                <w:szCs w:val="24"/>
                <w:lang w:eastAsia="lv-LV"/>
              </w:rPr>
              <w:t>apdrošināto personu</w:t>
            </w:r>
            <w:r w:rsidRPr="005B3C60">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5B3C60">
              <w:rPr>
                <w:rFonts w:ascii="Times New Roman" w:eastAsia="Times New Roman" w:hAnsi="Times New Roman" w:cs="Times New Roman"/>
                <w:sz w:val="24"/>
                <w:szCs w:val="24"/>
                <w:lang w:eastAsia="lv-LV"/>
              </w:rPr>
              <w:t> –</w:t>
            </w:r>
            <w:r w:rsidRPr="005B3C60">
              <w:rPr>
                <w:rFonts w:ascii="Times New Roman" w:eastAsia="Times New Roman" w:hAnsi="Times New Roman" w:cs="Times New Roman"/>
                <w:sz w:val="24"/>
                <w:szCs w:val="24"/>
                <w:lang w:eastAsia="lv-LV"/>
              </w:rPr>
              <w:t xml:space="preserve"> izpildi. </w:t>
            </w:r>
          </w:p>
          <w:p w14:paraId="320BF953" w14:textId="1844DA5D" w:rsidR="007D4BE3" w:rsidRPr="00894D21" w:rsidRDefault="00056B91" w:rsidP="00B917A7">
            <w:pPr>
              <w:spacing w:after="120" w:line="240" w:lineRule="auto"/>
              <w:jc w:val="both"/>
              <w:rPr>
                <w:rFonts w:ascii="Times New Roman" w:eastAsia="Times New Roman" w:hAnsi="Times New Roman" w:cs="Times New Roman"/>
                <w:sz w:val="24"/>
                <w:szCs w:val="24"/>
                <w:lang w:eastAsia="lv-LV"/>
              </w:rPr>
            </w:pPr>
            <w:r w:rsidRPr="005B3C60">
              <w:rPr>
                <w:rFonts w:ascii="Times New Roman" w:eastAsia="Times New Roman" w:hAnsi="Times New Roman" w:cs="Times New Roman"/>
                <w:sz w:val="24"/>
                <w:szCs w:val="24"/>
                <w:lang w:eastAsia="lv-LV"/>
              </w:rPr>
              <w:t xml:space="preserve">Līdz ar to </w:t>
            </w:r>
            <w:r w:rsidR="00A35C14" w:rsidRPr="005B3C60">
              <w:rPr>
                <w:rFonts w:ascii="Times New Roman" w:eastAsia="Times New Roman" w:hAnsi="Times New Roman" w:cs="Times New Roman"/>
                <w:sz w:val="24"/>
                <w:szCs w:val="24"/>
                <w:lang w:eastAsia="lv-LV"/>
              </w:rPr>
              <w:t>n</w:t>
            </w:r>
            <w:r w:rsidR="007D4BE3" w:rsidRPr="005B3C60">
              <w:rPr>
                <w:rFonts w:ascii="Times New Roman" w:eastAsia="Times New Roman" w:hAnsi="Times New Roman" w:cs="Times New Roman"/>
                <w:sz w:val="24"/>
                <w:szCs w:val="24"/>
                <w:lang w:eastAsia="lv-LV"/>
              </w:rPr>
              <w:t>oteikum</w:t>
            </w:r>
            <w:r w:rsidRPr="005B3C60">
              <w:rPr>
                <w:rFonts w:ascii="Times New Roman" w:eastAsia="Times New Roman" w:hAnsi="Times New Roman" w:cs="Times New Roman"/>
                <w:sz w:val="24"/>
                <w:szCs w:val="24"/>
                <w:lang w:eastAsia="lv-LV"/>
              </w:rPr>
              <w:t>u projekts</w:t>
            </w:r>
            <w:r w:rsidR="007D4BE3" w:rsidRPr="005B3C60">
              <w:rPr>
                <w:rFonts w:ascii="Times New Roman" w:eastAsia="Times New Roman" w:hAnsi="Times New Roman" w:cs="Times New Roman"/>
                <w:sz w:val="24"/>
                <w:szCs w:val="24"/>
                <w:lang w:eastAsia="lv-LV"/>
              </w:rPr>
              <w:t xml:space="preserve"> ir nepieciešam</w:t>
            </w:r>
            <w:r w:rsidRPr="005B3C60">
              <w:rPr>
                <w:rFonts w:ascii="Times New Roman" w:eastAsia="Times New Roman" w:hAnsi="Times New Roman" w:cs="Times New Roman"/>
                <w:sz w:val="24"/>
                <w:szCs w:val="24"/>
                <w:lang w:eastAsia="lv-LV"/>
              </w:rPr>
              <w:t>s</w:t>
            </w:r>
            <w:r w:rsidR="007D4BE3" w:rsidRPr="005B3C60">
              <w:rPr>
                <w:rFonts w:ascii="Times New Roman" w:eastAsia="Times New Roman" w:hAnsi="Times New Roman" w:cs="Times New Roman"/>
                <w:sz w:val="24"/>
                <w:szCs w:val="24"/>
                <w:lang w:eastAsia="lv-LV"/>
              </w:rPr>
              <w:t xml:space="preserve">, </w:t>
            </w:r>
            <w:r w:rsidR="005B3C60" w:rsidRPr="009A49AE">
              <w:rPr>
                <w:rFonts w:ascii="Times New Roman" w:eastAsia="Times New Roman" w:hAnsi="Times New Roman" w:cs="Times New Roman"/>
                <w:sz w:val="24"/>
                <w:szCs w:val="24"/>
              </w:rPr>
              <w:t xml:space="preserve">lai veicinātu tirgus dalībnieku darbības caurskatāmību un tirgus disciplīnu, savlaicīgi sniedzot tirgus dalībniekiem, ieguldītājiem, </w:t>
            </w:r>
            <w:r w:rsidR="002B347B">
              <w:rPr>
                <w:rFonts w:ascii="Times New Roman" w:eastAsia="Times New Roman" w:hAnsi="Times New Roman" w:cs="Times New Roman"/>
                <w:sz w:val="24"/>
                <w:szCs w:val="24"/>
              </w:rPr>
              <w:t>apdrošināšanas ņēmējiem</w:t>
            </w:r>
            <w:r w:rsidR="005B3C60" w:rsidRPr="009A49AE">
              <w:rPr>
                <w:rFonts w:ascii="Times New Roman" w:eastAsia="Times New Roman" w:hAnsi="Times New Roman" w:cs="Times New Roman"/>
                <w:sz w:val="24"/>
                <w:szCs w:val="24"/>
              </w:rPr>
              <w:t xml:space="preserve"> un citām ieinteresētajām personām salīdzināmu publiski pieejamu informāciju par</w:t>
            </w:r>
            <w:r w:rsidR="002B347B">
              <w:rPr>
                <w:rFonts w:ascii="Times New Roman" w:eastAsia="Times New Roman" w:hAnsi="Times New Roman" w:cs="Times New Roman"/>
                <w:sz w:val="24"/>
                <w:szCs w:val="24"/>
              </w:rPr>
              <w:t xml:space="preserve"> apdrošināšanas sabiedrības</w:t>
            </w:r>
            <w:r w:rsidR="009974B9">
              <w:rPr>
                <w:rFonts w:ascii="Times New Roman" w:eastAsia="Times New Roman" w:hAnsi="Times New Roman" w:cs="Times New Roman"/>
                <w:sz w:val="24"/>
                <w:szCs w:val="24"/>
              </w:rPr>
              <w:t xml:space="preserve">, </w:t>
            </w:r>
            <w:r w:rsidR="00EF0378">
              <w:rPr>
                <w:rFonts w:ascii="Times New Roman" w:eastAsia="Times New Roman" w:hAnsi="Times New Roman" w:cs="Times New Roman"/>
                <w:sz w:val="24"/>
                <w:szCs w:val="24"/>
              </w:rPr>
              <w:t>ārvalsts apdrošinā</w:t>
            </w:r>
            <w:r w:rsidR="00EC0CBA">
              <w:rPr>
                <w:rFonts w:ascii="Times New Roman" w:eastAsia="Times New Roman" w:hAnsi="Times New Roman" w:cs="Times New Roman"/>
                <w:sz w:val="24"/>
                <w:szCs w:val="24"/>
              </w:rPr>
              <w:t>tāja</w:t>
            </w:r>
            <w:r w:rsidR="00EF0378">
              <w:rPr>
                <w:rFonts w:ascii="Times New Roman" w:eastAsia="Times New Roman" w:hAnsi="Times New Roman" w:cs="Times New Roman"/>
                <w:sz w:val="24"/>
                <w:szCs w:val="24"/>
              </w:rPr>
              <w:t xml:space="preserve"> filiāles </w:t>
            </w:r>
            <w:r w:rsidR="002B347B">
              <w:rPr>
                <w:rFonts w:ascii="Times New Roman" w:eastAsia="Times New Roman" w:hAnsi="Times New Roman" w:cs="Times New Roman"/>
                <w:sz w:val="24"/>
                <w:szCs w:val="24"/>
              </w:rPr>
              <w:t xml:space="preserve">un dalībvalsts apdrošinātāja filiāles </w:t>
            </w:r>
            <w:r w:rsidR="005B3C60" w:rsidRPr="009A49AE">
              <w:rPr>
                <w:rFonts w:ascii="Times New Roman" w:eastAsia="Times New Roman" w:hAnsi="Times New Roman" w:cs="Times New Roman"/>
                <w:sz w:val="24"/>
                <w:szCs w:val="24"/>
              </w:rPr>
              <w:t>attiecīgā pārskata perioda finansiālo stāvokli un darbības rādītājiem</w:t>
            </w:r>
            <w:r w:rsidR="005B3C60">
              <w:rPr>
                <w:rFonts w:ascii="Times New Roman" w:eastAsia="Times New Roman" w:hAnsi="Times New Roman" w:cs="Times New Roman"/>
                <w:sz w:val="24"/>
                <w:szCs w:val="24"/>
              </w:rPr>
              <w:t>,</w:t>
            </w:r>
            <w:r w:rsidR="005B3C60" w:rsidRPr="009A49AE">
              <w:rPr>
                <w:rFonts w:ascii="Times New Roman" w:eastAsia="Times New Roman" w:hAnsi="Times New Roman" w:cs="Times New Roman"/>
                <w:sz w:val="24"/>
                <w:szCs w:val="24"/>
              </w:rPr>
              <w:t xml:space="preserve"> un ļautu ieinteresētajām personām pieņemt individuālus lēmumus, saņemot finanšu pakalpojumus</w:t>
            </w:r>
            <w:r w:rsidR="005B3C60" w:rsidRPr="00E7052B">
              <w:rPr>
                <w:rFonts w:ascii="Times New Roman" w:eastAsia="Times New Roman" w:hAnsi="Times New Roman" w:cs="Times New Roman"/>
                <w:sz w:val="24"/>
                <w:szCs w:val="24"/>
                <w:lang w:eastAsia="lv-LV"/>
              </w:rPr>
              <w:t>.</w:t>
            </w:r>
            <w:r w:rsidR="005B3C60">
              <w:rPr>
                <w:rFonts w:ascii="Times New Roman" w:eastAsia="Times New Roman" w:hAnsi="Times New Roman" w:cs="Times New Roman"/>
                <w:sz w:val="24"/>
                <w:szCs w:val="24"/>
                <w:lang w:eastAsia="lv-LV"/>
              </w:rPr>
              <w:t xml:space="preserve"> Latvijas Bankai pārpublicējot savā tīmekļvietnē tirgus dalībnieku publicētos ceturkšņa pārskatus, </w:t>
            </w:r>
            <w:r w:rsidR="00AF3AB7">
              <w:rPr>
                <w:rFonts w:ascii="Times New Roman" w:eastAsia="Times New Roman" w:hAnsi="Times New Roman" w:cs="Times New Roman"/>
                <w:sz w:val="24"/>
                <w:szCs w:val="24"/>
                <w:lang w:eastAsia="lv-LV"/>
              </w:rPr>
              <w:t xml:space="preserve">to </w:t>
            </w:r>
            <w:r w:rsidR="005B3C60">
              <w:rPr>
                <w:rFonts w:ascii="Times New Roman" w:eastAsia="Times New Roman" w:hAnsi="Times New Roman" w:cs="Times New Roman"/>
                <w:sz w:val="24"/>
                <w:szCs w:val="24"/>
                <w:lang w:eastAsia="lv-LV"/>
              </w:rPr>
              <w:t xml:space="preserve">lietotājiem </w:t>
            </w:r>
            <w:r w:rsidR="00364C6A">
              <w:rPr>
                <w:rFonts w:ascii="Times New Roman" w:eastAsia="Times New Roman" w:hAnsi="Times New Roman" w:cs="Times New Roman"/>
                <w:sz w:val="24"/>
                <w:szCs w:val="24"/>
                <w:lang w:eastAsia="lv-LV"/>
              </w:rPr>
              <w:t>tiek</w:t>
            </w:r>
            <w:r w:rsidR="00E4027B">
              <w:rPr>
                <w:rFonts w:ascii="Times New Roman" w:eastAsia="Times New Roman" w:hAnsi="Times New Roman" w:cs="Times New Roman"/>
                <w:sz w:val="24"/>
                <w:szCs w:val="24"/>
                <w:lang w:eastAsia="lv-LV"/>
              </w:rPr>
              <w:t xml:space="preserve"> vienuviet </w:t>
            </w:r>
            <w:r w:rsidR="00364C6A">
              <w:rPr>
                <w:rFonts w:ascii="Times New Roman" w:eastAsia="Times New Roman" w:hAnsi="Times New Roman" w:cs="Times New Roman"/>
                <w:sz w:val="24"/>
                <w:szCs w:val="24"/>
                <w:lang w:eastAsia="lv-LV"/>
              </w:rPr>
              <w:t xml:space="preserve">nodrošināta piekļuve tirgus dalībnieku publicētajiem datiem </w:t>
            </w:r>
            <w:r w:rsidR="005B3C60">
              <w:rPr>
                <w:rFonts w:ascii="Times New Roman" w:eastAsia="Times New Roman" w:hAnsi="Times New Roman" w:cs="Times New Roman"/>
                <w:sz w:val="24"/>
                <w:szCs w:val="24"/>
                <w:lang w:eastAsia="lv-LV"/>
              </w:rPr>
              <w:t xml:space="preserve">pārskatāmā </w:t>
            </w:r>
            <w:r w:rsidR="00364C6A">
              <w:rPr>
                <w:rFonts w:ascii="Times New Roman" w:eastAsia="Times New Roman" w:hAnsi="Times New Roman" w:cs="Times New Roman"/>
                <w:sz w:val="24"/>
                <w:szCs w:val="24"/>
                <w:lang w:eastAsia="lv-LV"/>
              </w:rPr>
              <w:t>un salīdzināmā veidā.</w:t>
            </w:r>
            <w:r w:rsidR="005B3C60">
              <w:rPr>
                <w:rFonts w:ascii="Times New Roman" w:eastAsia="Times New Roman" w:hAnsi="Times New Roman" w:cs="Times New Roman"/>
                <w:sz w:val="24"/>
                <w:szCs w:val="24"/>
                <w:lang w:eastAsia="lv-LV"/>
              </w:rPr>
              <w:t xml:space="preserve"> </w:t>
            </w:r>
          </w:p>
        </w:tc>
      </w:tr>
      <w:tr w:rsidR="006C3828" w:rsidRPr="00894D21" w14:paraId="1C6D72DB" w14:textId="77777777" w:rsidTr="002B2146">
        <w:trPr>
          <w:trHeight w:val="567"/>
        </w:trPr>
        <w:tc>
          <w:tcPr>
            <w:tcW w:w="1014" w:type="pct"/>
            <w:shd w:val="clear" w:color="auto" w:fill="auto"/>
            <w:hideMark/>
          </w:tcPr>
          <w:p w14:paraId="1B9C7D28"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Samērīgums</w:t>
            </w:r>
          </w:p>
          <w:p w14:paraId="5D7A323C"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63CB51A9" w14:textId="6CF70787" w:rsidR="00D6718D" w:rsidRDefault="002032FB" w:rsidP="005C7651">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Nosakot </w:t>
            </w:r>
            <w:r w:rsidR="002B347B">
              <w:rPr>
                <w:rFonts w:ascii="Times New Roman" w:eastAsia="Times New Roman" w:hAnsi="Times New Roman" w:cs="Times New Roman"/>
                <w:sz w:val="24"/>
                <w:szCs w:val="24"/>
                <w:lang w:eastAsia="lv-LV"/>
              </w:rPr>
              <w:t>apdrošināšanas sabiedrīb</w:t>
            </w:r>
            <w:r w:rsidR="00F310B0">
              <w:rPr>
                <w:rFonts w:ascii="Times New Roman" w:eastAsia="Times New Roman" w:hAnsi="Times New Roman" w:cs="Times New Roman"/>
                <w:sz w:val="24"/>
                <w:szCs w:val="24"/>
                <w:lang w:eastAsia="lv-LV"/>
              </w:rPr>
              <w:t>ai</w:t>
            </w:r>
            <w:r w:rsidR="00531148">
              <w:rPr>
                <w:rFonts w:ascii="Times New Roman" w:eastAsia="Times New Roman" w:hAnsi="Times New Roman" w:cs="Times New Roman"/>
                <w:sz w:val="24"/>
                <w:szCs w:val="24"/>
                <w:lang w:eastAsia="lv-LV"/>
              </w:rPr>
              <w:t xml:space="preserve">, ārvalsts </w:t>
            </w:r>
            <w:r w:rsidR="009974B9">
              <w:rPr>
                <w:rFonts w:ascii="Times New Roman" w:eastAsia="Times New Roman" w:hAnsi="Times New Roman" w:cs="Times New Roman"/>
                <w:sz w:val="24"/>
                <w:szCs w:val="24"/>
                <w:lang w:eastAsia="lv-LV"/>
              </w:rPr>
              <w:t>apdrošinātāj</w:t>
            </w:r>
            <w:r w:rsidR="00F310B0">
              <w:rPr>
                <w:rFonts w:ascii="Times New Roman" w:eastAsia="Times New Roman" w:hAnsi="Times New Roman" w:cs="Times New Roman"/>
                <w:sz w:val="24"/>
                <w:szCs w:val="24"/>
                <w:lang w:eastAsia="lv-LV"/>
              </w:rPr>
              <w:t>a</w:t>
            </w:r>
            <w:r w:rsidR="009974B9">
              <w:rPr>
                <w:rFonts w:ascii="Times New Roman" w:eastAsia="Times New Roman" w:hAnsi="Times New Roman" w:cs="Times New Roman"/>
                <w:sz w:val="24"/>
                <w:szCs w:val="24"/>
                <w:lang w:eastAsia="lv-LV"/>
              </w:rPr>
              <w:t xml:space="preserve"> filiāl</w:t>
            </w:r>
            <w:r w:rsidR="00F310B0">
              <w:rPr>
                <w:rFonts w:ascii="Times New Roman" w:eastAsia="Times New Roman" w:hAnsi="Times New Roman" w:cs="Times New Roman"/>
                <w:sz w:val="24"/>
                <w:szCs w:val="24"/>
                <w:lang w:eastAsia="lv-LV"/>
              </w:rPr>
              <w:t>ei</w:t>
            </w:r>
            <w:r w:rsidR="009974B9">
              <w:rPr>
                <w:rFonts w:ascii="Times New Roman" w:eastAsia="Times New Roman" w:hAnsi="Times New Roman" w:cs="Times New Roman"/>
                <w:sz w:val="24"/>
                <w:szCs w:val="24"/>
                <w:lang w:eastAsia="lv-LV"/>
              </w:rPr>
              <w:t xml:space="preserve"> </w:t>
            </w:r>
            <w:r w:rsidR="002B347B">
              <w:rPr>
                <w:rFonts w:ascii="Times New Roman" w:eastAsia="Times New Roman" w:hAnsi="Times New Roman" w:cs="Times New Roman"/>
                <w:sz w:val="24"/>
                <w:szCs w:val="24"/>
                <w:lang w:eastAsia="lv-LV"/>
              </w:rPr>
              <w:t>un dalībvalsts apdrošinātāj</w:t>
            </w:r>
            <w:r w:rsidR="00F310B0">
              <w:rPr>
                <w:rFonts w:ascii="Times New Roman" w:eastAsia="Times New Roman" w:hAnsi="Times New Roman" w:cs="Times New Roman"/>
                <w:sz w:val="24"/>
                <w:szCs w:val="24"/>
                <w:lang w:eastAsia="lv-LV"/>
              </w:rPr>
              <w:t>a</w:t>
            </w:r>
            <w:r w:rsidR="002B347B">
              <w:rPr>
                <w:rFonts w:ascii="Times New Roman" w:eastAsia="Times New Roman" w:hAnsi="Times New Roman" w:cs="Times New Roman"/>
                <w:sz w:val="24"/>
                <w:szCs w:val="24"/>
                <w:lang w:eastAsia="lv-LV"/>
              </w:rPr>
              <w:t xml:space="preserve"> filiāl</w:t>
            </w:r>
            <w:r w:rsidR="00F310B0">
              <w:rPr>
                <w:rFonts w:ascii="Times New Roman" w:eastAsia="Times New Roman" w:hAnsi="Times New Roman" w:cs="Times New Roman"/>
                <w:sz w:val="24"/>
                <w:szCs w:val="24"/>
                <w:lang w:eastAsia="lv-LV"/>
              </w:rPr>
              <w:t>ei</w:t>
            </w:r>
            <w:r w:rsidR="00EC0CB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prasības </w:t>
            </w:r>
            <w:r w:rsidR="002D1112">
              <w:rPr>
                <w:rFonts w:ascii="Times New Roman" w:eastAsia="Times New Roman" w:hAnsi="Times New Roman" w:cs="Times New Roman"/>
                <w:sz w:val="24"/>
                <w:szCs w:val="24"/>
                <w:lang w:eastAsia="lv-LV"/>
              </w:rPr>
              <w:t xml:space="preserve">par </w:t>
            </w:r>
            <w:r>
              <w:rPr>
                <w:rFonts w:ascii="Times New Roman" w:eastAsia="Times New Roman" w:hAnsi="Times New Roman" w:cs="Times New Roman"/>
                <w:sz w:val="24"/>
                <w:szCs w:val="24"/>
                <w:lang w:eastAsia="lv-LV"/>
              </w:rPr>
              <w:t>ceturkšņa publiskajos pārskatos atklājamās informācijas minimālo saturu</w:t>
            </w:r>
            <w:r w:rsidR="00D6718D">
              <w:rPr>
                <w:rFonts w:ascii="Times New Roman" w:eastAsia="Times New Roman" w:hAnsi="Times New Roman" w:cs="Times New Roman"/>
                <w:sz w:val="24"/>
                <w:szCs w:val="24"/>
                <w:lang w:eastAsia="lv-LV"/>
              </w:rPr>
              <w:t xml:space="preserve">, tiek </w:t>
            </w:r>
            <w:r w:rsidR="00D6718D" w:rsidRPr="00FA41FF">
              <w:rPr>
                <w:rFonts w:ascii="Times New Roman" w:eastAsia="Times New Roman" w:hAnsi="Times New Roman" w:cs="Times New Roman"/>
                <w:sz w:val="24"/>
                <w:szCs w:val="24"/>
                <w:lang w:eastAsia="lv-LV"/>
              </w:rPr>
              <w:t xml:space="preserve">nodrošināta vienota tirgus dalībnieku izpratne un pieeja </w:t>
            </w:r>
            <w:r w:rsidR="00D6718D">
              <w:rPr>
                <w:rFonts w:ascii="Times New Roman" w:eastAsia="Times New Roman" w:hAnsi="Times New Roman" w:cs="Times New Roman"/>
                <w:sz w:val="24"/>
                <w:szCs w:val="24"/>
                <w:lang w:eastAsia="lv-LV"/>
              </w:rPr>
              <w:t xml:space="preserve">publicējamās informācijas saturam un </w:t>
            </w:r>
            <w:r w:rsidR="00AF3AB7">
              <w:rPr>
                <w:rFonts w:ascii="Times New Roman" w:eastAsia="Times New Roman" w:hAnsi="Times New Roman" w:cs="Times New Roman"/>
                <w:sz w:val="24"/>
                <w:szCs w:val="24"/>
                <w:lang w:eastAsia="lv-LV"/>
              </w:rPr>
              <w:t xml:space="preserve">tās atklāšanas </w:t>
            </w:r>
            <w:r w:rsidR="00D6718D">
              <w:rPr>
                <w:rFonts w:ascii="Times New Roman" w:eastAsia="Times New Roman" w:hAnsi="Times New Roman" w:cs="Times New Roman"/>
                <w:sz w:val="24"/>
                <w:szCs w:val="24"/>
                <w:lang w:eastAsia="lv-LV"/>
              </w:rPr>
              <w:t>kārtībai.</w:t>
            </w:r>
          </w:p>
          <w:p w14:paraId="270DF230" w14:textId="412E97F5" w:rsidR="007C5300" w:rsidRDefault="007C5300" w:rsidP="00D711E0">
            <w:pPr>
              <w:spacing w:after="120" w:line="240" w:lineRule="auto"/>
              <w:jc w:val="both"/>
              <w:rPr>
                <w:rFonts w:ascii="Times New Roman" w:eastAsia="Times New Roman" w:hAnsi="Times New Roman" w:cs="Times New Roman"/>
                <w:sz w:val="24"/>
                <w:szCs w:val="24"/>
                <w:lang w:eastAsia="lv-LV"/>
              </w:rPr>
            </w:pPr>
            <w:r w:rsidRPr="00D711E0">
              <w:rPr>
                <w:rFonts w:ascii="Times New Roman" w:eastAsia="Times New Roman" w:hAnsi="Times New Roman" w:cs="Times New Roman"/>
                <w:sz w:val="24"/>
                <w:szCs w:val="24"/>
                <w:lang w:eastAsia="lv-LV"/>
              </w:rPr>
              <w:t>Noteikumi tiek izdoti, lai Latvijas</w:t>
            </w:r>
            <w:r w:rsidRPr="005810AC">
              <w:rPr>
                <w:rFonts w:ascii="Times New Roman" w:eastAsia="Times New Roman" w:hAnsi="Times New Roman" w:cs="Times New Roman"/>
                <w:sz w:val="24"/>
                <w:szCs w:val="24"/>
                <w:lang w:eastAsia="lv-LV"/>
              </w:rPr>
              <w:t xml:space="preserve"> Banka</w:t>
            </w:r>
            <w:r w:rsidRPr="00D711E0">
              <w:rPr>
                <w:rFonts w:ascii="Times New Roman" w:eastAsia="Times New Roman" w:hAnsi="Times New Roman" w:cs="Times New Roman"/>
                <w:sz w:val="24"/>
                <w:szCs w:val="24"/>
                <w:lang w:eastAsia="lv-LV"/>
              </w:rPr>
              <w:t xml:space="preserve"> iegūtu datus, kas nepieciešami tās uzdevumu veikšanai, t. sk. finanšu tirgus un tā dalībnieku darbības uzraudzīb</w:t>
            </w:r>
            <w:r w:rsidR="00EC0CBA">
              <w:rPr>
                <w:rFonts w:ascii="Times New Roman" w:eastAsia="Times New Roman" w:hAnsi="Times New Roman" w:cs="Times New Roman"/>
                <w:sz w:val="24"/>
                <w:szCs w:val="24"/>
                <w:lang w:eastAsia="lv-LV"/>
              </w:rPr>
              <w:t>as veikšanai</w:t>
            </w:r>
            <w:r w:rsidRPr="00D711E0">
              <w:rPr>
                <w:rFonts w:ascii="Times New Roman" w:eastAsia="Times New Roman" w:hAnsi="Times New Roman" w:cs="Times New Roman"/>
                <w:sz w:val="24"/>
                <w:szCs w:val="24"/>
                <w:lang w:eastAsia="lv-LV"/>
              </w:rPr>
              <w:t>, uzraudzības statistik</w:t>
            </w:r>
            <w:r w:rsidR="00EC0CBA">
              <w:rPr>
                <w:rFonts w:ascii="Times New Roman" w:eastAsia="Times New Roman" w:hAnsi="Times New Roman" w:cs="Times New Roman"/>
                <w:sz w:val="24"/>
                <w:szCs w:val="24"/>
                <w:lang w:eastAsia="lv-LV"/>
              </w:rPr>
              <w:t>as sagatavošanai</w:t>
            </w:r>
            <w:r w:rsidR="00D711E0" w:rsidRPr="00D711E0">
              <w:rPr>
                <w:rFonts w:ascii="Times New Roman" w:eastAsia="Times New Roman" w:hAnsi="Times New Roman" w:cs="Times New Roman"/>
                <w:sz w:val="24"/>
                <w:szCs w:val="24"/>
                <w:lang w:eastAsia="lv-LV"/>
              </w:rPr>
              <w:t xml:space="preserve"> (</w:t>
            </w:r>
            <w:r w:rsidR="00FE3CF1">
              <w:rPr>
                <w:rFonts w:ascii="Times New Roman" w:eastAsia="Times New Roman" w:hAnsi="Times New Roman" w:cs="Times New Roman"/>
                <w:sz w:val="24"/>
                <w:szCs w:val="24"/>
                <w:lang w:eastAsia="lv-LV"/>
              </w:rPr>
              <w:t xml:space="preserve">publisko ceturkšņa pārskatu </w:t>
            </w:r>
            <w:r w:rsidR="00E90990">
              <w:rPr>
                <w:rFonts w:ascii="Times New Roman" w:eastAsia="Times New Roman" w:hAnsi="Times New Roman" w:cs="Times New Roman"/>
                <w:sz w:val="24"/>
                <w:szCs w:val="24"/>
                <w:lang w:eastAsia="lv-LV"/>
              </w:rPr>
              <w:t xml:space="preserve">datu </w:t>
            </w:r>
            <w:r w:rsidR="00D711E0" w:rsidRPr="00D711E0">
              <w:rPr>
                <w:rFonts w:ascii="Times New Roman" w:eastAsia="Times New Roman" w:hAnsi="Times New Roman" w:cs="Times New Roman"/>
                <w:sz w:val="24"/>
                <w:szCs w:val="24"/>
                <w:lang w:eastAsia="lv-LV"/>
              </w:rPr>
              <w:t xml:space="preserve">publikācija Latvijas Bankas tīmekļvietnē ir iekļauta Latvijas Bankas statistikas </w:t>
            </w:r>
            <w:r w:rsidR="00D711E0" w:rsidRPr="00D711E0">
              <w:rPr>
                <w:rFonts w:ascii="Times New Roman" w:eastAsia="Times New Roman" w:hAnsi="Times New Roman" w:cs="Times New Roman"/>
                <w:sz w:val="24"/>
                <w:szCs w:val="24"/>
                <w:lang w:eastAsia="lv-LV"/>
              </w:rPr>
              <w:lastRenderedPageBreak/>
              <w:t xml:space="preserve">programmā), kā arī </w:t>
            </w:r>
            <w:r w:rsidRPr="005810AC">
              <w:rPr>
                <w:rFonts w:ascii="Times New Roman" w:eastAsia="Times New Roman" w:hAnsi="Times New Roman" w:cs="Times New Roman"/>
                <w:sz w:val="24"/>
                <w:szCs w:val="24"/>
                <w:lang w:eastAsia="lv-LV"/>
              </w:rPr>
              <w:t>cit</w:t>
            </w:r>
            <w:r w:rsidR="009E2416">
              <w:rPr>
                <w:rFonts w:ascii="Times New Roman" w:eastAsia="Times New Roman" w:hAnsi="Times New Roman" w:cs="Times New Roman"/>
                <w:sz w:val="24"/>
                <w:szCs w:val="24"/>
                <w:lang w:eastAsia="lv-LV"/>
              </w:rPr>
              <w:t>u</w:t>
            </w:r>
            <w:r w:rsidRPr="005810AC">
              <w:rPr>
                <w:rFonts w:ascii="Times New Roman" w:eastAsia="Times New Roman" w:hAnsi="Times New Roman" w:cs="Times New Roman"/>
                <w:sz w:val="24"/>
                <w:szCs w:val="24"/>
                <w:lang w:eastAsia="lv-LV"/>
              </w:rPr>
              <w:t xml:space="preserve"> institūcij</w:t>
            </w:r>
            <w:r w:rsidR="009E2416">
              <w:rPr>
                <w:rFonts w:ascii="Times New Roman" w:eastAsia="Times New Roman" w:hAnsi="Times New Roman" w:cs="Times New Roman"/>
                <w:sz w:val="24"/>
                <w:szCs w:val="24"/>
                <w:lang w:eastAsia="lv-LV"/>
              </w:rPr>
              <w:t>u</w:t>
            </w:r>
            <w:r w:rsidRPr="005810AC">
              <w:rPr>
                <w:rFonts w:ascii="Times New Roman" w:eastAsia="Times New Roman" w:hAnsi="Times New Roman" w:cs="Times New Roman"/>
                <w:sz w:val="24"/>
                <w:szCs w:val="24"/>
                <w:lang w:eastAsia="lv-LV"/>
              </w:rPr>
              <w:t xml:space="preserve"> un</w:t>
            </w:r>
            <w:r w:rsidRPr="00D711E0">
              <w:rPr>
                <w:rFonts w:ascii="Times New Roman" w:eastAsia="Times New Roman" w:hAnsi="Times New Roman" w:cs="Times New Roman"/>
                <w:sz w:val="24"/>
                <w:szCs w:val="24"/>
                <w:lang w:eastAsia="lv-LV"/>
              </w:rPr>
              <w:t xml:space="preserve"> sabiedrīb</w:t>
            </w:r>
            <w:r w:rsidR="009E2416">
              <w:rPr>
                <w:rFonts w:ascii="Times New Roman" w:eastAsia="Times New Roman" w:hAnsi="Times New Roman" w:cs="Times New Roman"/>
                <w:sz w:val="24"/>
                <w:szCs w:val="24"/>
                <w:lang w:eastAsia="lv-LV"/>
              </w:rPr>
              <w:t>as informēšanai</w:t>
            </w:r>
            <w:r w:rsidRPr="00D711E0">
              <w:rPr>
                <w:rFonts w:ascii="Times New Roman" w:eastAsia="Times New Roman" w:hAnsi="Times New Roman" w:cs="Times New Roman"/>
                <w:sz w:val="24"/>
                <w:szCs w:val="24"/>
                <w:lang w:eastAsia="lv-LV"/>
              </w:rPr>
              <w:t xml:space="preserve"> par </w:t>
            </w:r>
            <w:r w:rsidR="00BF4B38">
              <w:rPr>
                <w:rFonts w:ascii="Times New Roman" w:eastAsia="Times New Roman" w:hAnsi="Times New Roman" w:cs="Times New Roman"/>
                <w:sz w:val="24"/>
                <w:szCs w:val="24"/>
                <w:lang w:eastAsia="lv-LV"/>
              </w:rPr>
              <w:t>apdrošināšanas sabiedrību</w:t>
            </w:r>
            <w:r w:rsidR="00531148">
              <w:rPr>
                <w:rFonts w:ascii="Times New Roman" w:eastAsia="Times New Roman" w:hAnsi="Times New Roman" w:cs="Times New Roman"/>
                <w:sz w:val="24"/>
                <w:szCs w:val="24"/>
                <w:lang w:eastAsia="lv-LV"/>
              </w:rPr>
              <w:t>, ārvalsts apdrošinātāj</w:t>
            </w:r>
            <w:r w:rsidR="009E2416">
              <w:rPr>
                <w:rFonts w:ascii="Times New Roman" w:eastAsia="Times New Roman" w:hAnsi="Times New Roman" w:cs="Times New Roman"/>
                <w:sz w:val="24"/>
                <w:szCs w:val="24"/>
                <w:lang w:eastAsia="lv-LV"/>
              </w:rPr>
              <w:t>u</w:t>
            </w:r>
            <w:r w:rsidR="00531148">
              <w:rPr>
                <w:rFonts w:ascii="Times New Roman" w:eastAsia="Times New Roman" w:hAnsi="Times New Roman" w:cs="Times New Roman"/>
                <w:sz w:val="24"/>
                <w:szCs w:val="24"/>
                <w:lang w:eastAsia="lv-LV"/>
              </w:rPr>
              <w:t xml:space="preserve"> filiā</w:t>
            </w:r>
            <w:r w:rsidR="009E2416">
              <w:rPr>
                <w:rFonts w:ascii="Times New Roman" w:eastAsia="Times New Roman" w:hAnsi="Times New Roman" w:cs="Times New Roman"/>
                <w:sz w:val="24"/>
                <w:szCs w:val="24"/>
                <w:lang w:eastAsia="lv-LV"/>
              </w:rPr>
              <w:t>ļu</w:t>
            </w:r>
            <w:r w:rsidR="00531148">
              <w:rPr>
                <w:rFonts w:ascii="Times New Roman" w:eastAsia="Times New Roman" w:hAnsi="Times New Roman" w:cs="Times New Roman"/>
                <w:sz w:val="24"/>
                <w:szCs w:val="24"/>
                <w:lang w:eastAsia="lv-LV"/>
              </w:rPr>
              <w:t xml:space="preserve"> </w:t>
            </w:r>
            <w:r w:rsidR="00BF4B38">
              <w:rPr>
                <w:rFonts w:ascii="Times New Roman" w:eastAsia="Times New Roman" w:hAnsi="Times New Roman" w:cs="Times New Roman"/>
                <w:sz w:val="24"/>
                <w:szCs w:val="24"/>
                <w:lang w:eastAsia="lv-LV"/>
              </w:rPr>
              <w:t xml:space="preserve">un </w:t>
            </w:r>
            <w:r w:rsidR="00AD7B25">
              <w:rPr>
                <w:rFonts w:ascii="Times New Roman" w:eastAsia="Times New Roman" w:hAnsi="Times New Roman" w:cs="Times New Roman"/>
                <w:sz w:val="24"/>
                <w:szCs w:val="24"/>
                <w:lang w:eastAsia="lv-LV"/>
              </w:rPr>
              <w:t>dalībvalst</w:t>
            </w:r>
            <w:r w:rsidR="005C021E">
              <w:rPr>
                <w:rFonts w:ascii="Times New Roman" w:eastAsia="Times New Roman" w:hAnsi="Times New Roman" w:cs="Times New Roman"/>
                <w:sz w:val="24"/>
                <w:szCs w:val="24"/>
                <w:lang w:eastAsia="lv-LV"/>
              </w:rPr>
              <w:t>s</w:t>
            </w:r>
            <w:r w:rsidR="00AD7B25">
              <w:rPr>
                <w:rFonts w:ascii="Times New Roman" w:eastAsia="Times New Roman" w:hAnsi="Times New Roman" w:cs="Times New Roman"/>
                <w:sz w:val="24"/>
                <w:szCs w:val="24"/>
                <w:lang w:eastAsia="lv-LV"/>
              </w:rPr>
              <w:t xml:space="preserve"> apdrošinātāj</w:t>
            </w:r>
            <w:r w:rsidR="009E2416">
              <w:rPr>
                <w:rFonts w:ascii="Times New Roman" w:eastAsia="Times New Roman" w:hAnsi="Times New Roman" w:cs="Times New Roman"/>
                <w:sz w:val="24"/>
                <w:szCs w:val="24"/>
                <w:lang w:eastAsia="lv-LV"/>
              </w:rPr>
              <w:t>u</w:t>
            </w:r>
            <w:r w:rsidR="005C021E">
              <w:rPr>
                <w:rFonts w:ascii="Times New Roman" w:eastAsia="Times New Roman" w:hAnsi="Times New Roman" w:cs="Times New Roman"/>
                <w:sz w:val="24"/>
                <w:szCs w:val="24"/>
                <w:lang w:eastAsia="lv-LV"/>
              </w:rPr>
              <w:t xml:space="preserve"> </w:t>
            </w:r>
            <w:r w:rsidR="00AD7B25">
              <w:rPr>
                <w:rFonts w:ascii="Times New Roman" w:eastAsia="Times New Roman" w:hAnsi="Times New Roman" w:cs="Times New Roman"/>
                <w:sz w:val="24"/>
                <w:szCs w:val="24"/>
                <w:lang w:eastAsia="lv-LV"/>
              </w:rPr>
              <w:t>filiā</w:t>
            </w:r>
            <w:r w:rsidR="009E2416">
              <w:rPr>
                <w:rFonts w:ascii="Times New Roman" w:eastAsia="Times New Roman" w:hAnsi="Times New Roman" w:cs="Times New Roman"/>
                <w:sz w:val="24"/>
                <w:szCs w:val="24"/>
                <w:lang w:eastAsia="lv-LV"/>
              </w:rPr>
              <w:t>ļu</w:t>
            </w:r>
            <w:r w:rsidR="00AD7B25">
              <w:rPr>
                <w:rFonts w:ascii="Times New Roman" w:eastAsia="Times New Roman" w:hAnsi="Times New Roman" w:cs="Times New Roman"/>
                <w:sz w:val="24"/>
                <w:szCs w:val="24"/>
                <w:lang w:eastAsia="lv-LV"/>
              </w:rPr>
              <w:t xml:space="preserve"> </w:t>
            </w:r>
            <w:r w:rsidRPr="005068F9">
              <w:rPr>
                <w:rFonts w:ascii="Times New Roman" w:eastAsia="Times New Roman" w:hAnsi="Times New Roman" w:cs="Times New Roman"/>
                <w:sz w:val="24"/>
                <w:szCs w:val="24"/>
                <w:lang w:eastAsia="lv-LV"/>
              </w:rPr>
              <w:t>darbīb</w:t>
            </w:r>
            <w:r w:rsidR="001D19DE">
              <w:rPr>
                <w:rFonts w:ascii="Times New Roman" w:eastAsia="Times New Roman" w:hAnsi="Times New Roman" w:cs="Times New Roman"/>
                <w:sz w:val="24"/>
                <w:szCs w:val="24"/>
                <w:lang w:eastAsia="lv-LV"/>
              </w:rPr>
              <w:t xml:space="preserve">u </w:t>
            </w:r>
            <w:r w:rsidRPr="005068F9">
              <w:rPr>
                <w:rFonts w:ascii="Times New Roman" w:eastAsia="Times New Roman" w:hAnsi="Times New Roman" w:cs="Times New Roman"/>
                <w:sz w:val="24"/>
                <w:szCs w:val="24"/>
                <w:lang w:eastAsia="lv-LV"/>
              </w:rPr>
              <w:t>Latvijā</w:t>
            </w:r>
            <w:r w:rsidR="00FE3CF1">
              <w:rPr>
                <w:rFonts w:ascii="Times New Roman" w:eastAsia="Times New Roman" w:hAnsi="Times New Roman" w:cs="Times New Roman"/>
                <w:sz w:val="24"/>
                <w:szCs w:val="24"/>
                <w:lang w:eastAsia="lv-LV"/>
              </w:rPr>
              <w:t>.</w:t>
            </w:r>
          </w:p>
          <w:p w14:paraId="79D1ADB2" w14:textId="7D2CB2B8" w:rsidR="00897C92"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Līdz ar to atbilstošākais veids, kā noteikt finanšu tirgus dalībniekiem vienotas prasības </w:t>
            </w:r>
            <w:r w:rsidR="005810AC">
              <w:rPr>
                <w:rFonts w:ascii="Times New Roman" w:eastAsia="Times New Roman" w:hAnsi="Times New Roman" w:cs="Times New Roman"/>
                <w:sz w:val="24"/>
                <w:szCs w:val="24"/>
                <w:lang w:eastAsia="lv-LV"/>
              </w:rPr>
              <w:t>pārskat</w:t>
            </w:r>
            <w:r w:rsidR="006B4E46">
              <w:rPr>
                <w:rFonts w:ascii="Times New Roman" w:eastAsia="Times New Roman" w:hAnsi="Times New Roman" w:cs="Times New Roman"/>
                <w:sz w:val="24"/>
                <w:szCs w:val="24"/>
                <w:lang w:eastAsia="lv-LV"/>
              </w:rPr>
              <w:t>u</w:t>
            </w:r>
            <w:r w:rsidR="005810AC">
              <w:rPr>
                <w:rFonts w:ascii="Times New Roman" w:eastAsia="Times New Roman" w:hAnsi="Times New Roman" w:cs="Times New Roman"/>
                <w:sz w:val="24"/>
                <w:szCs w:val="24"/>
                <w:lang w:eastAsia="lv-LV"/>
              </w:rPr>
              <w:t xml:space="preserve"> publicēšanai </w:t>
            </w:r>
            <w:r w:rsidR="00D6718D">
              <w:rPr>
                <w:rFonts w:ascii="Times New Roman" w:eastAsia="Times New Roman" w:hAnsi="Times New Roman" w:cs="Times New Roman"/>
                <w:sz w:val="24"/>
                <w:szCs w:val="24"/>
                <w:lang w:eastAsia="lv-LV"/>
              </w:rPr>
              <w:t>biežāk nekā reizi gadā, kā tas paredzēts</w:t>
            </w:r>
            <w:r w:rsidR="00AD7B25">
              <w:rPr>
                <w:rFonts w:ascii="Times New Roman" w:eastAsia="Times New Roman" w:hAnsi="Times New Roman" w:cs="Times New Roman"/>
                <w:sz w:val="24"/>
                <w:szCs w:val="24"/>
                <w:lang w:eastAsia="lv-LV"/>
              </w:rPr>
              <w:t xml:space="preserve"> </w:t>
            </w:r>
            <w:r w:rsidR="00AD7B25" w:rsidRPr="00357381">
              <w:rPr>
                <w:rFonts w:ascii="Times New Roman" w:eastAsia="Times New Roman" w:hAnsi="Times New Roman" w:cs="Times New Roman"/>
                <w:sz w:val="24"/>
                <w:szCs w:val="24"/>
                <w:lang w:eastAsia="lv-LV"/>
              </w:rPr>
              <w:t xml:space="preserve">Komisijas </w:t>
            </w:r>
            <w:r w:rsidR="00AD7B25">
              <w:rPr>
                <w:rFonts w:ascii="Times New Roman" w:eastAsia="Times New Roman" w:hAnsi="Times New Roman" w:cs="Times New Roman"/>
                <w:sz w:val="24"/>
                <w:szCs w:val="24"/>
                <w:lang w:eastAsia="lv-LV"/>
              </w:rPr>
              <w:t>2014.</w:t>
            </w:r>
            <w:r w:rsidR="009E2416">
              <w:rPr>
                <w:rFonts w:ascii="Times New Roman" w:eastAsia="Times New Roman" w:hAnsi="Times New Roman" w:cs="Times New Roman"/>
                <w:sz w:val="24"/>
                <w:szCs w:val="24"/>
                <w:lang w:eastAsia="lv-LV"/>
              </w:rPr>
              <w:t> </w:t>
            </w:r>
            <w:r w:rsidR="00AD7B25">
              <w:rPr>
                <w:rFonts w:ascii="Times New Roman" w:eastAsia="Times New Roman" w:hAnsi="Times New Roman" w:cs="Times New Roman"/>
                <w:sz w:val="24"/>
                <w:szCs w:val="24"/>
                <w:lang w:eastAsia="lv-LV"/>
              </w:rPr>
              <w:t>gada 10.</w:t>
            </w:r>
            <w:r w:rsidR="009E2416">
              <w:rPr>
                <w:rFonts w:ascii="Times New Roman" w:eastAsia="Times New Roman" w:hAnsi="Times New Roman" w:cs="Times New Roman"/>
                <w:sz w:val="24"/>
                <w:szCs w:val="24"/>
                <w:lang w:eastAsia="lv-LV"/>
              </w:rPr>
              <w:t> </w:t>
            </w:r>
            <w:r w:rsidR="00AD7B25">
              <w:rPr>
                <w:rFonts w:ascii="Times New Roman" w:eastAsia="Times New Roman" w:hAnsi="Times New Roman" w:cs="Times New Roman"/>
                <w:sz w:val="24"/>
                <w:szCs w:val="24"/>
                <w:lang w:eastAsia="lv-LV"/>
              </w:rPr>
              <w:t>oktobra d</w:t>
            </w:r>
            <w:r w:rsidR="00AD7B25" w:rsidRPr="00357381">
              <w:rPr>
                <w:rFonts w:ascii="Times New Roman" w:eastAsia="Times New Roman" w:hAnsi="Times New Roman" w:cs="Times New Roman"/>
                <w:sz w:val="24"/>
                <w:szCs w:val="24"/>
                <w:lang w:eastAsia="lv-LV"/>
              </w:rPr>
              <w:t>eleģēt</w:t>
            </w:r>
            <w:r w:rsidR="00AD7B25">
              <w:rPr>
                <w:rFonts w:ascii="Times New Roman" w:eastAsia="Times New Roman" w:hAnsi="Times New Roman" w:cs="Times New Roman"/>
                <w:sz w:val="24"/>
                <w:szCs w:val="24"/>
                <w:lang w:eastAsia="lv-LV"/>
              </w:rPr>
              <w:t xml:space="preserve">ajā </w:t>
            </w:r>
            <w:r w:rsidR="00AD7B25" w:rsidRPr="00357381">
              <w:rPr>
                <w:rFonts w:ascii="Times New Roman" w:eastAsia="Times New Roman" w:hAnsi="Times New Roman" w:cs="Times New Roman"/>
                <w:sz w:val="24"/>
                <w:szCs w:val="24"/>
                <w:lang w:eastAsia="lv-LV"/>
              </w:rPr>
              <w:t>regul</w:t>
            </w:r>
            <w:r w:rsidR="00AD7B25">
              <w:rPr>
                <w:rFonts w:ascii="Times New Roman" w:eastAsia="Times New Roman" w:hAnsi="Times New Roman" w:cs="Times New Roman"/>
                <w:sz w:val="24"/>
                <w:szCs w:val="24"/>
                <w:lang w:eastAsia="lv-LV"/>
              </w:rPr>
              <w:t xml:space="preserve">ā </w:t>
            </w:r>
            <w:r w:rsidR="00AD7B25" w:rsidRPr="00357381">
              <w:rPr>
                <w:rFonts w:ascii="Times New Roman" w:eastAsia="Times New Roman" w:hAnsi="Times New Roman" w:cs="Times New Roman"/>
                <w:sz w:val="24"/>
                <w:szCs w:val="24"/>
                <w:lang w:eastAsia="lv-LV"/>
              </w:rPr>
              <w:t>(ES) </w:t>
            </w:r>
            <w:hyperlink r:id="rId13" w:tgtFrame="_blank" w:history="1">
              <w:r w:rsidR="00AD7B25" w:rsidRPr="00357381">
                <w:rPr>
                  <w:rFonts w:ascii="Times New Roman" w:eastAsia="Times New Roman" w:hAnsi="Times New Roman" w:cs="Times New Roman"/>
                  <w:sz w:val="24"/>
                  <w:szCs w:val="24"/>
                  <w:lang w:eastAsia="lv-LV"/>
                </w:rPr>
                <w:t>2015/35</w:t>
              </w:r>
            </w:hyperlink>
            <w:r w:rsidR="00AD7B25" w:rsidRPr="00357381">
              <w:rPr>
                <w:rFonts w:ascii="Times New Roman" w:eastAsia="Times New Roman" w:hAnsi="Times New Roman" w:cs="Times New Roman"/>
                <w:sz w:val="24"/>
                <w:szCs w:val="24"/>
                <w:lang w:eastAsia="lv-LV"/>
              </w:rPr>
              <w:t xml:space="preserve">, ar ko papildina Eiropas Parlamenta un Padomes </w:t>
            </w:r>
            <w:r w:rsidR="009E2416" w:rsidRPr="00357381">
              <w:rPr>
                <w:rFonts w:ascii="Times New Roman" w:eastAsia="Times New Roman" w:hAnsi="Times New Roman" w:cs="Times New Roman"/>
                <w:sz w:val="24"/>
                <w:szCs w:val="24"/>
                <w:lang w:eastAsia="lv-LV"/>
              </w:rPr>
              <w:t>direktīvu </w:t>
            </w:r>
            <w:hyperlink r:id="rId14" w:tgtFrame="_blank" w:history="1">
              <w:r w:rsidR="00AD7B25" w:rsidRPr="00357381">
                <w:rPr>
                  <w:rFonts w:ascii="Times New Roman" w:eastAsia="Times New Roman" w:hAnsi="Times New Roman" w:cs="Times New Roman"/>
                  <w:sz w:val="24"/>
                  <w:szCs w:val="24"/>
                  <w:lang w:eastAsia="lv-LV"/>
                </w:rPr>
                <w:t>2009/138/EK</w:t>
              </w:r>
            </w:hyperlink>
            <w:r w:rsidR="009E2416">
              <w:rPr>
                <w:rFonts w:ascii="Times New Roman" w:eastAsia="Times New Roman" w:hAnsi="Times New Roman" w:cs="Times New Roman"/>
                <w:sz w:val="24"/>
                <w:szCs w:val="24"/>
                <w:lang w:eastAsia="lv-LV"/>
              </w:rPr>
              <w:t xml:space="preserve"> </w:t>
            </w:r>
            <w:r w:rsidR="00AD7B25" w:rsidRPr="00357381">
              <w:rPr>
                <w:rFonts w:ascii="Times New Roman" w:eastAsia="Times New Roman" w:hAnsi="Times New Roman" w:cs="Times New Roman"/>
                <w:sz w:val="24"/>
                <w:szCs w:val="24"/>
                <w:lang w:eastAsia="lv-LV"/>
              </w:rPr>
              <w:t>par uzņēmējdarbības uzsākšanu un veikšanu apdrošināšanas un pārapdrošināšanas jomā</w:t>
            </w:r>
            <w:r w:rsidR="00AD7B25">
              <w:rPr>
                <w:rFonts w:ascii="Times New Roman" w:eastAsia="Times New Roman" w:hAnsi="Times New Roman" w:cs="Times New Roman"/>
                <w:sz w:val="24"/>
                <w:szCs w:val="24"/>
                <w:lang w:eastAsia="lv-LV"/>
              </w:rPr>
              <w:t xml:space="preserve"> (Maksātspēja</w:t>
            </w:r>
            <w:r w:rsidR="009E2416">
              <w:rPr>
                <w:rFonts w:ascii="Times New Roman" w:eastAsia="Times New Roman" w:hAnsi="Times New Roman" w:cs="Times New Roman"/>
                <w:sz w:val="24"/>
                <w:szCs w:val="24"/>
                <w:lang w:eastAsia="lv-LV"/>
              </w:rPr>
              <w:t> </w:t>
            </w:r>
            <w:r w:rsidR="00AD7B25">
              <w:rPr>
                <w:rFonts w:ascii="Times New Roman" w:eastAsia="Times New Roman" w:hAnsi="Times New Roman" w:cs="Times New Roman"/>
                <w:sz w:val="24"/>
                <w:szCs w:val="24"/>
                <w:lang w:eastAsia="lv-LV"/>
              </w:rPr>
              <w:t>II</w:t>
            </w:r>
            <w:r w:rsidR="00AA0972">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2D7609FA" w14:textId="6FFD560D" w:rsidR="006D3C40" w:rsidRDefault="006D3C40" w:rsidP="00B917A7">
            <w:pPr>
              <w:spacing w:after="120" w:line="240" w:lineRule="auto"/>
              <w:jc w:val="both"/>
              <w:rPr>
                <w:rFonts w:ascii="Times New Roman" w:eastAsia="Times New Roman" w:hAnsi="Times New Roman" w:cs="Times New Roman"/>
                <w:sz w:val="24"/>
                <w:szCs w:val="24"/>
                <w:lang w:eastAsia="lv-LV"/>
              </w:rPr>
            </w:pPr>
            <w:r w:rsidRPr="006D3C40">
              <w:rPr>
                <w:rFonts w:ascii="Times New Roman" w:eastAsia="Times New Roman" w:hAnsi="Times New Roman" w:cs="Times New Roman"/>
                <w:sz w:val="24"/>
                <w:szCs w:val="24"/>
                <w:lang w:eastAsia="lv-LV"/>
              </w:rPr>
              <w:t>Izraugoties piemērotāko līdzekli leģitīmā mērķa sasniegšanai, Latvijas Banka izvērtēja, ka nebūtu atbilstoši izdot, piemēram, zemāka ranga normatīvos aktus, kuri nebūtu finanšu tirgus dalībniekam juridiski saistoši. Vienlaikus ar noteikumu projektu tiek noteiktas prasības, kuras Latvijas Banka uzraudzības ietvaros var kontrolēt un nepieciešamības gadījumā par konkrētu prasību pārkāpumu piemērot finanšu tirgus dalībniekam korektīvos pasākumus vai sankcijas.</w:t>
            </w:r>
          </w:p>
          <w:p w14:paraId="29E6F5B9" w14:textId="7FD71871" w:rsidR="00C071E2" w:rsidRPr="00894D21" w:rsidRDefault="009E0BDF" w:rsidP="00B917A7">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6C3828" w:rsidRPr="00894D21">
              <w:rPr>
                <w:rFonts w:ascii="Times New Roman" w:eastAsia="Times New Roman" w:hAnsi="Times New Roman" w:cs="Times New Roman"/>
                <w:sz w:val="24"/>
                <w:szCs w:val="24"/>
                <w:lang w:eastAsia="lv-LV"/>
              </w:rPr>
              <w:t>ormatīvais akts kopumā un tajā ietvertās tiesību normas atbilst samērīguma principam, jo, pirmkārt, ar noteikumu projekta ieviešanu tiek sasniegts leģitīmais mērķis (citu personu tiesību un sabiedrības labklājības aizsardzība) un, otrkārt, nav iespējams pēc būtības īstenot citu personu tiesību un sabiedrības labklājības aizsardzību ar citiem līdzekļiem, kā arī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Ņemot vērā iepriekš minētos apstākļus, sabiedrības ieguvums būs lielāks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B917A7">
        <w:trPr>
          <w:trHeight w:val="416"/>
        </w:trPr>
        <w:tc>
          <w:tcPr>
            <w:tcW w:w="1014" w:type="pct"/>
            <w:shd w:val="clear" w:color="auto" w:fill="auto"/>
            <w:hideMark/>
          </w:tcPr>
          <w:p w14:paraId="2DDBFB53"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bookmarkStart w:id="0" w:name="_Hlk129966404"/>
            <w:r w:rsidRPr="00894D21">
              <w:rPr>
                <w:rFonts w:ascii="Times New Roman" w:eastAsia="Times New Roman" w:hAnsi="Times New Roman" w:cs="Times New Roman"/>
                <w:b/>
                <w:bCs/>
                <w:sz w:val="24"/>
                <w:szCs w:val="24"/>
                <w:lang w:eastAsia="lv-LV"/>
              </w:rPr>
              <w:lastRenderedPageBreak/>
              <w:t>Spēkā stāšanās</w:t>
            </w:r>
          </w:p>
          <w:bookmarkEnd w:id="0"/>
          <w:p w14:paraId="6B4568BB"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60CFB602" w14:textId="72276516"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projekts stāsies spēkā 202</w:t>
            </w:r>
            <w:r w:rsidR="009E0BDF">
              <w:rPr>
                <w:rFonts w:ascii="Times New Roman" w:eastAsia="Times New Roman" w:hAnsi="Times New Roman" w:cs="Times New Roman"/>
                <w:sz w:val="24"/>
                <w:szCs w:val="24"/>
                <w:lang w:eastAsia="lv-LV"/>
              </w:rPr>
              <w:t>5</w:t>
            </w:r>
            <w:r w:rsidRPr="00894D21">
              <w:rPr>
                <w:rFonts w:ascii="Times New Roman" w:eastAsia="Times New Roman" w:hAnsi="Times New Roman" w:cs="Times New Roman"/>
                <w:sz w:val="24"/>
                <w:szCs w:val="24"/>
                <w:lang w:eastAsia="lv-LV"/>
              </w:rPr>
              <w:t>.</w:t>
            </w:r>
            <w:r w:rsidR="00F110A0"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gada </w:t>
            </w:r>
            <w:r w:rsidR="001E5AFF" w:rsidRPr="00894D21">
              <w:rPr>
                <w:rFonts w:ascii="Times New Roman" w:eastAsia="Times New Roman" w:hAnsi="Times New Roman" w:cs="Times New Roman"/>
                <w:sz w:val="24"/>
                <w:szCs w:val="24"/>
                <w:lang w:eastAsia="lv-LV"/>
              </w:rPr>
              <w:t>1</w:t>
            </w:r>
            <w:r w:rsidRPr="00894D21">
              <w:rPr>
                <w:rFonts w:ascii="Times New Roman" w:eastAsia="Times New Roman" w:hAnsi="Times New Roman" w:cs="Times New Roman"/>
                <w:sz w:val="24"/>
                <w:szCs w:val="24"/>
                <w:lang w:eastAsia="lv-LV"/>
              </w:rPr>
              <w:t>.</w:t>
            </w:r>
            <w:r w:rsidR="00F110A0" w:rsidRPr="00894D21">
              <w:rPr>
                <w:rFonts w:ascii="Times New Roman" w:eastAsia="Times New Roman" w:hAnsi="Times New Roman" w:cs="Times New Roman"/>
                <w:sz w:val="24"/>
                <w:szCs w:val="24"/>
                <w:lang w:eastAsia="lv-LV"/>
              </w:rPr>
              <w:t> </w:t>
            </w:r>
            <w:r w:rsidR="009E0BDF">
              <w:rPr>
                <w:rFonts w:ascii="Times New Roman" w:eastAsia="Times New Roman" w:hAnsi="Times New Roman" w:cs="Times New Roman"/>
                <w:sz w:val="24"/>
                <w:szCs w:val="24"/>
                <w:lang w:eastAsia="lv-LV"/>
              </w:rPr>
              <w:t>janvārī.</w:t>
            </w:r>
          </w:p>
        </w:tc>
      </w:tr>
      <w:tr w:rsidR="006C3828" w:rsidRPr="00894D21" w14:paraId="0DEA2EE8" w14:textId="77777777" w:rsidTr="002B2146">
        <w:trPr>
          <w:trHeight w:val="567"/>
        </w:trPr>
        <w:tc>
          <w:tcPr>
            <w:tcW w:w="1014" w:type="pct"/>
            <w:shd w:val="clear" w:color="auto" w:fill="auto"/>
            <w:hideMark/>
          </w:tcPr>
          <w:p w14:paraId="0ABBEC6F"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0C919A9" w14:textId="77777777"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2B2146">
        <w:trPr>
          <w:trHeight w:val="567"/>
        </w:trPr>
        <w:tc>
          <w:tcPr>
            <w:tcW w:w="1014" w:type="pct"/>
            <w:shd w:val="clear" w:color="auto" w:fill="auto"/>
            <w:hideMark/>
          </w:tcPr>
          <w:p w14:paraId="6C162AD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bookmarkStart w:id="1"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1"/>
          <w:p w14:paraId="29762232"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7FDE5294" w14:textId="3ABC545F" w:rsidR="006C3828" w:rsidRPr="00894D21" w:rsidRDefault="006C3828" w:rsidP="00EF0378">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projektā ietvertās prasības</w:t>
            </w:r>
            <w:r w:rsidR="009E0BDF">
              <w:rPr>
                <w:rFonts w:ascii="Times New Roman" w:eastAsia="Times New Roman" w:hAnsi="Times New Roman" w:cs="Times New Roman"/>
                <w:color w:val="000000"/>
                <w:sz w:val="24"/>
                <w:szCs w:val="24"/>
                <w:lang w:eastAsia="lv-LV"/>
              </w:rPr>
              <w:t xml:space="preserve"> saistībā ar izmaiņām </w:t>
            </w:r>
            <w:r w:rsidR="009E0BDF" w:rsidRPr="00751877">
              <w:rPr>
                <w:rFonts w:ascii="Times New Roman" w:eastAsia="Times New Roman" w:hAnsi="Times New Roman" w:cs="Times New Roman"/>
                <w:color w:val="000000"/>
                <w:sz w:val="24"/>
                <w:szCs w:val="24"/>
                <w:lang w:eastAsia="lv-LV"/>
              </w:rPr>
              <w:t>informācijas iesniegšanas kārtīb</w:t>
            </w:r>
            <w:r w:rsidR="009E0BDF">
              <w:rPr>
                <w:rFonts w:ascii="Times New Roman" w:eastAsia="Times New Roman" w:hAnsi="Times New Roman" w:cs="Times New Roman"/>
                <w:color w:val="000000"/>
                <w:sz w:val="24"/>
                <w:szCs w:val="24"/>
                <w:lang w:eastAsia="lv-LV"/>
              </w:rPr>
              <w:t xml:space="preserve">ā, pārejot no informācijas </w:t>
            </w:r>
            <w:r w:rsidR="007620BC">
              <w:rPr>
                <w:rFonts w:ascii="Times New Roman" w:eastAsia="Times New Roman" w:hAnsi="Times New Roman" w:cs="Times New Roman"/>
                <w:color w:val="000000"/>
                <w:sz w:val="24"/>
                <w:szCs w:val="24"/>
                <w:lang w:eastAsia="lv-LV"/>
              </w:rPr>
              <w:t>ie</w:t>
            </w:r>
            <w:r w:rsidR="009E0BDF">
              <w:rPr>
                <w:rFonts w:ascii="Times New Roman" w:eastAsia="Times New Roman" w:hAnsi="Times New Roman" w:cs="Times New Roman"/>
                <w:color w:val="000000"/>
                <w:sz w:val="24"/>
                <w:szCs w:val="24"/>
                <w:lang w:eastAsia="lv-LV"/>
              </w:rPr>
              <w:t xml:space="preserve">sniegšanas, izmantojot datu ziņošanas sistēmu, uz informācijas </w:t>
            </w:r>
            <w:r w:rsidR="007620BC">
              <w:rPr>
                <w:rFonts w:ascii="Times New Roman" w:eastAsia="Times New Roman" w:hAnsi="Times New Roman" w:cs="Times New Roman"/>
                <w:color w:val="000000"/>
                <w:sz w:val="24"/>
                <w:szCs w:val="24"/>
                <w:lang w:eastAsia="lv-LV"/>
              </w:rPr>
              <w:t>ie</w:t>
            </w:r>
            <w:r w:rsidR="009E0BDF">
              <w:rPr>
                <w:rFonts w:ascii="Times New Roman" w:eastAsia="Times New Roman" w:hAnsi="Times New Roman" w:cs="Times New Roman"/>
                <w:color w:val="000000"/>
                <w:sz w:val="24"/>
                <w:szCs w:val="24"/>
                <w:lang w:eastAsia="lv-LV"/>
              </w:rPr>
              <w:t xml:space="preserve">sniegšanu, izmantojot </w:t>
            </w:r>
            <w:r w:rsidR="009E0BDF" w:rsidRPr="00E94A3A">
              <w:rPr>
                <w:rFonts w:ascii="Times New Roman" w:eastAsia="Times New Roman" w:hAnsi="Times New Roman" w:cs="Times New Roman"/>
                <w:color w:val="000000"/>
                <w:sz w:val="24"/>
                <w:szCs w:val="24"/>
                <w:lang w:eastAsia="lv-LV"/>
              </w:rPr>
              <w:t>paaugstinātās drošības sistēmu</w:t>
            </w:r>
            <w:r w:rsidR="009E0BDF">
              <w:rPr>
                <w:rFonts w:ascii="Times New Roman" w:eastAsia="Times New Roman" w:hAnsi="Times New Roman" w:cs="Times New Roman"/>
                <w:color w:val="000000"/>
                <w:sz w:val="24"/>
                <w:szCs w:val="24"/>
                <w:lang w:eastAsia="lv-LV"/>
              </w:rPr>
              <w:t xml:space="preserve">, </w:t>
            </w:r>
            <w:r w:rsidR="00500264">
              <w:rPr>
                <w:rFonts w:ascii="Times New Roman" w:eastAsia="Times New Roman" w:hAnsi="Times New Roman" w:cs="Times New Roman"/>
                <w:color w:val="000000"/>
                <w:sz w:val="24"/>
                <w:szCs w:val="24"/>
                <w:lang w:eastAsia="lv-LV"/>
              </w:rPr>
              <w:t>noteikumu piemērošanas sākotnējā periodā</w:t>
            </w:r>
            <w:r w:rsidR="00AD7B25">
              <w:rPr>
                <w:rFonts w:ascii="Times New Roman" w:eastAsia="Times New Roman" w:hAnsi="Times New Roman" w:cs="Times New Roman"/>
                <w:color w:val="000000"/>
                <w:sz w:val="24"/>
                <w:szCs w:val="24"/>
                <w:lang w:eastAsia="lv-LV"/>
              </w:rPr>
              <w:t xml:space="preserve"> radīs</w:t>
            </w:r>
            <w:r w:rsidRPr="00894D21">
              <w:rPr>
                <w:rFonts w:ascii="Times New Roman" w:eastAsia="Times New Roman" w:hAnsi="Times New Roman" w:cs="Times New Roman"/>
                <w:sz w:val="24"/>
                <w:szCs w:val="24"/>
                <w:lang w:eastAsia="lv-LV"/>
              </w:rPr>
              <w:t xml:space="preserve"> </w:t>
            </w:r>
            <w:r w:rsidR="00500264">
              <w:rPr>
                <w:rFonts w:ascii="Times New Roman" w:eastAsia="Times New Roman" w:hAnsi="Times New Roman" w:cs="Times New Roman"/>
                <w:sz w:val="24"/>
                <w:szCs w:val="24"/>
                <w:lang w:eastAsia="lv-LV"/>
              </w:rPr>
              <w:t xml:space="preserve">nelielu </w:t>
            </w:r>
            <w:r w:rsidRPr="00894D21">
              <w:rPr>
                <w:rFonts w:ascii="Times New Roman" w:eastAsia="Times New Roman" w:hAnsi="Times New Roman" w:cs="Times New Roman"/>
                <w:sz w:val="24"/>
                <w:szCs w:val="24"/>
                <w:lang w:eastAsia="lv-LV"/>
              </w:rPr>
              <w:t xml:space="preserve">papildu administratīvo slogu </w:t>
            </w:r>
            <w:r w:rsidR="00A372E9" w:rsidRPr="00894D21">
              <w:rPr>
                <w:rFonts w:ascii="Times New Roman" w:eastAsia="Times New Roman" w:hAnsi="Times New Roman" w:cs="Times New Roman"/>
                <w:sz w:val="24"/>
                <w:szCs w:val="24"/>
                <w:lang w:eastAsia="lv-LV"/>
              </w:rPr>
              <w:t xml:space="preserve">un izmaksas </w:t>
            </w:r>
            <w:r w:rsidRPr="00894D21">
              <w:rPr>
                <w:rFonts w:ascii="Times New Roman" w:eastAsia="Times New Roman" w:hAnsi="Times New Roman" w:cs="Times New Roman"/>
                <w:sz w:val="24"/>
                <w:szCs w:val="24"/>
                <w:lang w:eastAsia="lv-LV"/>
              </w:rPr>
              <w:t>finanšu tirgus dalībniekiem, uz kuriem ir attiecināmas noteikumu projekta prasības.</w:t>
            </w:r>
            <w:r w:rsidR="009974B9">
              <w:rPr>
                <w:rFonts w:ascii="Times New Roman" w:eastAsia="Times New Roman" w:hAnsi="Times New Roman" w:cs="Times New Roman"/>
                <w:sz w:val="24"/>
                <w:szCs w:val="24"/>
                <w:lang w:eastAsia="lv-LV"/>
              </w:rPr>
              <w:t xml:space="preserve"> </w:t>
            </w:r>
            <w:r w:rsidR="00F4369C">
              <w:rPr>
                <w:rFonts w:ascii="Times New Roman" w:eastAsia="Times New Roman" w:hAnsi="Times New Roman" w:cs="Times New Roman"/>
                <w:sz w:val="24"/>
                <w:szCs w:val="24"/>
                <w:lang w:eastAsia="lv-LV"/>
              </w:rPr>
              <w:t>Finanšu tirgus dalībnieku a</w:t>
            </w:r>
            <w:r w:rsidRPr="00894D21">
              <w:rPr>
                <w:rFonts w:ascii="Times New Roman" w:eastAsia="Times New Roman" w:hAnsi="Times New Roman" w:cs="Times New Roman"/>
                <w:sz w:val="24"/>
                <w:szCs w:val="24"/>
                <w:lang w:eastAsia="lv-LV"/>
              </w:rPr>
              <w:t xml:space="preserve">dministratīvās izmaksas </w:t>
            </w:r>
            <w:r w:rsidR="00712F75">
              <w:rPr>
                <w:rFonts w:ascii="Times New Roman" w:eastAsia="Times New Roman" w:hAnsi="Times New Roman" w:cs="Times New Roman"/>
                <w:sz w:val="24"/>
                <w:szCs w:val="24"/>
                <w:lang w:eastAsia="lv-LV"/>
              </w:rPr>
              <w:t xml:space="preserve">jaunas informācijas sniegšanas kārtības ieviešanai </w:t>
            </w:r>
            <w:r w:rsidRPr="00894D21">
              <w:rPr>
                <w:rFonts w:ascii="Times New Roman" w:eastAsia="Times New Roman" w:hAnsi="Times New Roman" w:cs="Times New Roman"/>
                <w:sz w:val="24"/>
                <w:szCs w:val="24"/>
                <w:lang w:eastAsia="lv-LV"/>
              </w:rPr>
              <w:t xml:space="preserve">precīzi nav aprēķināmas, jo </w:t>
            </w:r>
            <w:r w:rsidR="00F4369C">
              <w:rPr>
                <w:rFonts w:ascii="Times New Roman" w:eastAsia="Times New Roman" w:hAnsi="Times New Roman" w:cs="Times New Roman"/>
                <w:sz w:val="24"/>
                <w:szCs w:val="24"/>
                <w:lang w:eastAsia="lv-LV"/>
              </w:rPr>
              <w:t xml:space="preserve">tās </w:t>
            </w:r>
            <w:r w:rsidRPr="00894D21">
              <w:rPr>
                <w:rFonts w:ascii="Times New Roman" w:eastAsia="Times New Roman" w:hAnsi="Times New Roman" w:cs="Times New Roman"/>
                <w:sz w:val="24"/>
                <w:szCs w:val="24"/>
                <w:lang w:eastAsia="lv-LV"/>
              </w:rPr>
              <w:t xml:space="preserve">šajā gadījumā atkarīgas no vairākiem faktoriem, piemēram, no tā, vai noteikumu projektā </w:t>
            </w:r>
            <w:r w:rsidRPr="00894D21">
              <w:rPr>
                <w:rFonts w:ascii="Times New Roman" w:eastAsia="Times New Roman" w:hAnsi="Times New Roman" w:cs="Times New Roman"/>
                <w:sz w:val="24"/>
                <w:szCs w:val="24"/>
                <w:lang w:eastAsia="lv-LV"/>
              </w:rPr>
              <w:lastRenderedPageBreak/>
              <w:t>ietverto prasību ieviešanai finanšu tirgus dalībnieks izmantos iekšējos vai ārējos resursus.</w:t>
            </w:r>
            <w:r w:rsidR="000F5E18" w:rsidRPr="00894D21">
              <w:rPr>
                <w:rFonts w:ascii="Times New Roman" w:eastAsia="Times New Roman" w:hAnsi="Times New Roman" w:cs="Times New Roman"/>
                <w:sz w:val="24"/>
                <w:szCs w:val="24"/>
                <w:lang w:eastAsia="lv-LV"/>
              </w:rPr>
              <w:t xml:space="preserve"> </w:t>
            </w:r>
          </w:p>
        </w:tc>
      </w:tr>
      <w:tr w:rsidR="006C3828" w:rsidRPr="00894D21" w14:paraId="7C375F90" w14:textId="77777777" w:rsidTr="002B2146">
        <w:trPr>
          <w:trHeight w:val="567"/>
        </w:trPr>
        <w:tc>
          <w:tcPr>
            <w:tcW w:w="1014" w:type="pct"/>
            <w:shd w:val="clear" w:color="auto" w:fill="auto"/>
            <w:hideMark/>
          </w:tcPr>
          <w:p w14:paraId="636CB18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Saistītie dokumenti</w:t>
            </w:r>
          </w:p>
          <w:p w14:paraId="5BE3B73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7E3550BE" w14:textId="637F123F" w:rsidR="00894D21" w:rsidRPr="00D53AC5" w:rsidRDefault="00894D21" w:rsidP="00B917A7">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58BF5D2D" w:rsidR="006A1E74" w:rsidRPr="00894D21" w:rsidRDefault="00901F92" w:rsidP="00B917A7">
            <w:pPr>
              <w:pStyle w:val="ListParagraph"/>
              <w:numPr>
                <w:ilvl w:val="0"/>
                <w:numId w:val="6"/>
              </w:numPr>
              <w:tabs>
                <w:tab w:val="left" w:pos="283"/>
              </w:tabs>
              <w:spacing w:after="0" w:line="240" w:lineRule="auto"/>
              <w:ind w:left="33"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Apdrošināšanas un pārapdrošināšanas</w:t>
            </w:r>
            <w:r w:rsidR="006A1E74" w:rsidRPr="00894D21">
              <w:rPr>
                <w:rFonts w:ascii="Times New Roman" w:eastAsia="Times New Roman" w:hAnsi="Times New Roman" w:cs="Times New Roman"/>
                <w:sz w:val="24"/>
                <w:szCs w:val="24"/>
                <w:lang w:eastAsia="lv-LV"/>
              </w:rPr>
              <w:t xml:space="preserve"> likums;</w:t>
            </w:r>
          </w:p>
          <w:p w14:paraId="1F294DB4" w14:textId="56A2E674" w:rsidR="006A1E74" w:rsidRDefault="006A1E74" w:rsidP="00B917A7">
            <w:pPr>
              <w:pStyle w:val="ListParagraph"/>
              <w:numPr>
                <w:ilvl w:val="0"/>
                <w:numId w:val="6"/>
              </w:numPr>
              <w:tabs>
                <w:tab w:val="left" w:pos="283"/>
              </w:tabs>
              <w:spacing w:after="0" w:line="240" w:lineRule="auto"/>
              <w:ind w:left="33" w:firstLine="0"/>
              <w:jc w:val="both"/>
              <w:rPr>
                <w:rFonts w:ascii="Times New Roman" w:hAnsi="Times New Roman" w:cs="Times New Roman"/>
                <w:sz w:val="24"/>
                <w:szCs w:val="24"/>
              </w:rPr>
            </w:pPr>
            <w:r w:rsidRPr="00894D21">
              <w:rPr>
                <w:rFonts w:ascii="Times New Roman" w:hAnsi="Times New Roman" w:cs="Times New Roman"/>
                <w:sz w:val="24"/>
                <w:szCs w:val="24"/>
              </w:rPr>
              <w:t>Latvijas Bankas likums;</w:t>
            </w:r>
          </w:p>
          <w:p w14:paraId="4A5837B2" w14:textId="0B8F076E" w:rsidR="00901F92" w:rsidRPr="00901F92" w:rsidRDefault="00901F92" w:rsidP="00B917A7">
            <w:pPr>
              <w:pStyle w:val="ListParagraph"/>
              <w:numPr>
                <w:ilvl w:val="0"/>
                <w:numId w:val="6"/>
              </w:numPr>
              <w:tabs>
                <w:tab w:val="left" w:pos="283"/>
              </w:tabs>
              <w:spacing w:after="0" w:line="240" w:lineRule="auto"/>
              <w:ind w:left="33" w:firstLine="0"/>
              <w:jc w:val="both"/>
              <w:rPr>
                <w:rFonts w:ascii="Times New Roman" w:hAnsi="Times New Roman" w:cs="Times New Roman"/>
                <w:sz w:val="24"/>
                <w:szCs w:val="24"/>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204AA4">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28;</w:t>
            </w:r>
          </w:p>
          <w:p w14:paraId="354A6E3E" w14:textId="4E990195" w:rsidR="00A06E04" w:rsidRDefault="00901F92" w:rsidP="00B917A7">
            <w:pPr>
              <w:pStyle w:val="ListParagraph"/>
              <w:numPr>
                <w:ilvl w:val="0"/>
                <w:numId w:val="6"/>
              </w:numPr>
              <w:tabs>
                <w:tab w:val="left" w:pos="283"/>
              </w:tabs>
              <w:spacing w:after="120" w:line="240" w:lineRule="auto"/>
              <w:ind w:left="34" w:firstLine="0"/>
              <w:jc w:val="both"/>
              <w:rPr>
                <w:rFonts w:ascii="Times New Roman" w:hAnsi="Times New Roman" w:cs="Times New Roman"/>
                <w:sz w:val="24"/>
                <w:szCs w:val="24"/>
              </w:rPr>
            </w:pPr>
            <w:r w:rsidRPr="00901F92">
              <w:rPr>
                <w:rFonts w:ascii="Times New Roman" w:hAnsi="Times New Roman" w:cs="Times New Roman"/>
                <w:sz w:val="24"/>
                <w:szCs w:val="24"/>
              </w:rPr>
              <w:t>Latvijas Bankas 2022.</w:t>
            </w:r>
            <w:r w:rsidR="00430209">
              <w:rPr>
                <w:rFonts w:ascii="Times New Roman" w:hAnsi="Times New Roman" w:cs="Times New Roman"/>
                <w:sz w:val="24"/>
                <w:szCs w:val="24"/>
              </w:rPr>
              <w:t> </w:t>
            </w:r>
            <w:r w:rsidRPr="00901F92">
              <w:rPr>
                <w:rFonts w:ascii="Times New Roman" w:hAnsi="Times New Roman" w:cs="Times New Roman"/>
                <w:sz w:val="24"/>
                <w:szCs w:val="24"/>
              </w:rPr>
              <w:t>gada 24.</w:t>
            </w:r>
            <w:r w:rsidR="00430209">
              <w:rPr>
                <w:rFonts w:ascii="Times New Roman" w:hAnsi="Times New Roman" w:cs="Times New Roman"/>
                <w:sz w:val="24"/>
                <w:szCs w:val="24"/>
              </w:rPr>
              <w:t> </w:t>
            </w:r>
            <w:r w:rsidRPr="00901F92">
              <w:rPr>
                <w:rFonts w:ascii="Times New Roman" w:hAnsi="Times New Roman" w:cs="Times New Roman"/>
                <w:sz w:val="24"/>
                <w:szCs w:val="24"/>
              </w:rPr>
              <w:t>oktobra noteikumi Nr.</w:t>
            </w:r>
            <w:r w:rsidR="00430209">
              <w:rPr>
                <w:rFonts w:ascii="Times New Roman" w:hAnsi="Times New Roman" w:cs="Times New Roman"/>
                <w:sz w:val="24"/>
                <w:szCs w:val="24"/>
              </w:rPr>
              <w:t> </w:t>
            </w:r>
            <w:r w:rsidRPr="00901F92">
              <w:rPr>
                <w:rFonts w:ascii="Times New Roman" w:hAnsi="Times New Roman" w:cs="Times New Roman"/>
                <w:sz w:val="24"/>
                <w:szCs w:val="24"/>
              </w:rPr>
              <w:t>226 "Noteikumi par elektronisko informācijas apmaiņu ar Latvijas Banku"</w:t>
            </w:r>
            <w:r w:rsidR="00774514">
              <w:rPr>
                <w:rFonts w:ascii="Times New Roman" w:hAnsi="Times New Roman" w:cs="Times New Roman"/>
                <w:sz w:val="24"/>
                <w:szCs w:val="24"/>
              </w:rPr>
              <w:t>;</w:t>
            </w:r>
          </w:p>
          <w:p w14:paraId="69AFD65C" w14:textId="4910AD40" w:rsidR="006C34F6" w:rsidRDefault="006C34F6" w:rsidP="00B917A7">
            <w:pPr>
              <w:pStyle w:val="ListParagraph"/>
              <w:numPr>
                <w:ilvl w:val="0"/>
                <w:numId w:val="6"/>
              </w:numPr>
              <w:tabs>
                <w:tab w:val="left" w:pos="283"/>
              </w:tabs>
              <w:spacing w:after="120" w:line="240" w:lineRule="auto"/>
              <w:ind w:left="34" w:firstLine="0"/>
              <w:jc w:val="both"/>
              <w:rPr>
                <w:rFonts w:ascii="Times New Roman" w:hAnsi="Times New Roman" w:cs="Times New Roman"/>
                <w:sz w:val="24"/>
                <w:szCs w:val="24"/>
              </w:rPr>
            </w:pPr>
            <w:r>
              <w:rPr>
                <w:rFonts w:ascii="Times New Roman" w:hAnsi="Times New Roman" w:cs="Times New Roman"/>
                <w:sz w:val="24"/>
                <w:szCs w:val="24"/>
              </w:rPr>
              <w:t>Latvijas Bankas 2024. gada 30. septembra noteikumi Nr. 320 "</w:t>
            </w:r>
            <w:r w:rsidRPr="006C34F6">
              <w:rPr>
                <w:rFonts w:ascii="Times New Roman" w:hAnsi="Times New Roman" w:cs="Times New Roman"/>
                <w:sz w:val="24"/>
                <w:szCs w:val="24"/>
              </w:rPr>
              <w:t xml:space="preserve">Apdrošinātāju un </w:t>
            </w:r>
            <w:proofErr w:type="spellStart"/>
            <w:r w:rsidRPr="006C34F6">
              <w:rPr>
                <w:rFonts w:ascii="Times New Roman" w:hAnsi="Times New Roman" w:cs="Times New Roman"/>
                <w:sz w:val="24"/>
                <w:szCs w:val="24"/>
              </w:rPr>
              <w:t>pārapdrošinātāju</w:t>
            </w:r>
            <w:proofErr w:type="spellEnd"/>
            <w:r w:rsidRPr="006C34F6">
              <w:rPr>
                <w:rFonts w:ascii="Times New Roman" w:hAnsi="Times New Roman" w:cs="Times New Roman"/>
                <w:sz w:val="24"/>
                <w:szCs w:val="24"/>
              </w:rPr>
              <w:t xml:space="preserve"> pārskatu sagatavošanas noteikumi</w:t>
            </w:r>
            <w:r>
              <w:rPr>
                <w:rFonts w:ascii="Times New Roman" w:hAnsi="Times New Roman" w:cs="Times New Roman"/>
                <w:sz w:val="24"/>
                <w:szCs w:val="24"/>
              </w:rPr>
              <w:t>";</w:t>
            </w:r>
          </w:p>
          <w:p w14:paraId="3B662C35" w14:textId="01711143" w:rsidR="006C34F6" w:rsidRDefault="006C34F6" w:rsidP="00B917A7">
            <w:pPr>
              <w:pStyle w:val="ListParagraph"/>
              <w:numPr>
                <w:ilvl w:val="0"/>
                <w:numId w:val="6"/>
              </w:numPr>
              <w:tabs>
                <w:tab w:val="left" w:pos="283"/>
              </w:tabs>
              <w:spacing w:after="120" w:line="240" w:lineRule="auto"/>
              <w:ind w:left="34" w:firstLine="0"/>
              <w:jc w:val="both"/>
              <w:rPr>
                <w:rFonts w:ascii="Times New Roman" w:hAnsi="Times New Roman" w:cs="Times New Roman"/>
                <w:sz w:val="24"/>
                <w:szCs w:val="24"/>
              </w:rPr>
            </w:pPr>
            <w:r w:rsidRPr="006C34F6">
              <w:rPr>
                <w:rFonts w:ascii="Times New Roman" w:hAnsi="Times New Roman" w:cs="Times New Roman"/>
                <w:sz w:val="24"/>
                <w:szCs w:val="24"/>
              </w:rPr>
              <w:t>Latvijas Bankas noteikum</w:t>
            </w:r>
            <w:r>
              <w:rPr>
                <w:rFonts w:ascii="Times New Roman" w:hAnsi="Times New Roman" w:cs="Times New Roman"/>
                <w:sz w:val="24"/>
                <w:szCs w:val="24"/>
              </w:rPr>
              <w:t>i</w:t>
            </w:r>
            <w:r w:rsidRPr="006C34F6">
              <w:rPr>
                <w:rFonts w:ascii="Times New Roman" w:hAnsi="Times New Roman" w:cs="Times New Roman"/>
                <w:sz w:val="24"/>
                <w:szCs w:val="24"/>
              </w:rPr>
              <w:t>, kas nosaka prasības apdrošināšanas un pārapdrošināšanas sabiedrību un ārvalsts apdrošinātāju filiāļu gada pārskata un konsolidētā gada pārskata sagatavošana</w:t>
            </w:r>
            <w:r>
              <w:rPr>
                <w:rFonts w:ascii="Times New Roman" w:hAnsi="Times New Roman" w:cs="Times New Roman"/>
                <w:sz w:val="24"/>
                <w:szCs w:val="24"/>
              </w:rPr>
              <w:t>s prasības (noteikumi uz noteikumu projekta sagatavošanas brīdi ir izstrādē);</w:t>
            </w:r>
          </w:p>
          <w:p w14:paraId="37E58BF7" w14:textId="6656A822" w:rsidR="00774514" w:rsidRPr="005D5FC5" w:rsidRDefault="00774514" w:rsidP="00B917A7">
            <w:pPr>
              <w:pStyle w:val="ListParagraph"/>
              <w:numPr>
                <w:ilvl w:val="0"/>
                <w:numId w:val="6"/>
              </w:numPr>
              <w:tabs>
                <w:tab w:val="left" w:pos="283"/>
              </w:tabs>
              <w:spacing w:after="120" w:line="240" w:lineRule="auto"/>
              <w:ind w:left="34" w:firstLine="0"/>
              <w:jc w:val="both"/>
              <w:rPr>
                <w:rFonts w:ascii="Times New Roman" w:hAnsi="Times New Roman" w:cs="Times New Roman"/>
                <w:sz w:val="24"/>
                <w:szCs w:val="24"/>
              </w:rPr>
            </w:pPr>
            <w:r w:rsidRPr="00357381">
              <w:rPr>
                <w:rFonts w:ascii="Times New Roman" w:eastAsia="Times New Roman" w:hAnsi="Times New Roman" w:cs="Times New Roman"/>
                <w:sz w:val="24"/>
                <w:szCs w:val="24"/>
                <w:lang w:eastAsia="lv-LV"/>
              </w:rPr>
              <w:t xml:space="preserve">Komisijas </w:t>
            </w:r>
            <w:r w:rsidR="00C25A47">
              <w:rPr>
                <w:rFonts w:ascii="Times New Roman" w:eastAsia="Times New Roman" w:hAnsi="Times New Roman" w:cs="Times New Roman"/>
                <w:sz w:val="24"/>
                <w:szCs w:val="24"/>
                <w:lang w:eastAsia="lv-LV"/>
              </w:rPr>
              <w:t>2014.</w:t>
            </w:r>
            <w:r w:rsidR="009E2416">
              <w:rPr>
                <w:rFonts w:ascii="Times New Roman" w:eastAsia="Times New Roman" w:hAnsi="Times New Roman" w:cs="Times New Roman"/>
                <w:sz w:val="24"/>
                <w:szCs w:val="24"/>
                <w:lang w:eastAsia="lv-LV"/>
              </w:rPr>
              <w:t> </w:t>
            </w:r>
            <w:r w:rsidR="00C25A47">
              <w:rPr>
                <w:rFonts w:ascii="Times New Roman" w:eastAsia="Times New Roman" w:hAnsi="Times New Roman" w:cs="Times New Roman"/>
                <w:sz w:val="24"/>
                <w:szCs w:val="24"/>
                <w:lang w:eastAsia="lv-LV"/>
              </w:rPr>
              <w:t>gada 10.</w:t>
            </w:r>
            <w:r w:rsidR="009E2416">
              <w:rPr>
                <w:rFonts w:ascii="Times New Roman" w:eastAsia="Times New Roman" w:hAnsi="Times New Roman" w:cs="Times New Roman"/>
                <w:sz w:val="24"/>
                <w:szCs w:val="24"/>
                <w:lang w:eastAsia="lv-LV"/>
              </w:rPr>
              <w:t> </w:t>
            </w:r>
            <w:r w:rsidR="00C25A47">
              <w:rPr>
                <w:rFonts w:ascii="Times New Roman" w:eastAsia="Times New Roman" w:hAnsi="Times New Roman" w:cs="Times New Roman"/>
                <w:sz w:val="24"/>
                <w:szCs w:val="24"/>
                <w:lang w:eastAsia="lv-LV"/>
              </w:rPr>
              <w:t>oktobra d</w:t>
            </w:r>
            <w:r w:rsidRPr="00357381">
              <w:rPr>
                <w:rFonts w:ascii="Times New Roman" w:eastAsia="Times New Roman" w:hAnsi="Times New Roman" w:cs="Times New Roman"/>
                <w:sz w:val="24"/>
                <w:szCs w:val="24"/>
                <w:lang w:eastAsia="lv-LV"/>
              </w:rPr>
              <w:t>eleģētā regula</w:t>
            </w:r>
            <w:r>
              <w:rPr>
                <w:rFonts w:ascii="Times New Roman" w:eastAsia="Times New Roman" w:hAnsi="Times New Roman" w:cs="Times New Roman"/>
                <w:sz w:val="24"/>
                <w:szCs w:val="24"/>
                <w:lang w:eastAsia="lv-LV"/>
              </w:rPr>
              <w:t xml:space="preserve"> </w:t>
            </w:r>
            <w:r w:rsidRPr="00357381">
              <w:rPr>
                <w:rFonts w:ascii="Times New Roman" w:eastAsia="Times New Roman" w:hAnsi="Times New Roman" w:cs="Times New Roman"/>
                <w:sz w:val="24"/>
                <w:szCs w:val="24"/>
                <w:lang w:eastAsia="lv-LV"/>
              </w:rPr>
              <w:t>(ES) </w:t>
            </w:r>
            <w:hyperlink r:id="rId15" w:tgtFrame="_blank" w:history="1">
              <w:r w:rsidRPr="00357381">
                <w:rPr>
                  <w:rFonts w:ascii="Times New Roman" w:eastAsia="Times New Roman" w:hAnsi="Times New Roman" w:cs="Times New Roman"/>
                  <w:sz w:val="24"/>
                  <w:szCs w:val="24"/>
                  <w:lang w:eastAsia="lv-LV"/>
                </w:rPr>
                <w:t>2015/35</w:t>
              </w:r>
            </w:hyperlink>
            <w:r w:rsidRPr="00357381">
              <w:rPr>
                <w:rFonts w:ascii="Times New Roman" w:eastAsia="Times New Roman" w:hAnsi="Times New Roman" w:cs="Times New Roman"/>
                <w:sz w:val="24"/>
                <w:szCs w:val="24"/>
                <w:lang w:eastAsia="lv-LV"/>
              </w:rPr>
              <w:t xml:space="preserve">, ar ko papildina Eiropas Parlamenta un Padomes </w:t>
            </w:r>
            <w:r w:rsidR="009E2416" w:rsidRPr="00357381">
              <w:rPr>
                <w:rFonts w:ascii="Times New Roman" w:eastAsia="Times New Roman" w:hAnsi="Times New Roman" w:cs="Times New Roman"/>
                <w:sz w:val="24"/>
                <w:szCs w:val="24"/>
                <w:lang w:eastAsia="lv-LV"/>
              </w:rPr>
              <w:t>direktīvu </w:t>
            </w:r>
            <w:hyperlink r:id="rId16" w:tgtFrame="_blank" w:history="1">
              <w:r w:rsidRPr="00357381">
                <w:rPr>
                  <w:rFonts w:ascii="Times New Roman" w:eastAsia="Times New Roman" w:hAnsi="Times New Roman" w:cs="Times New Roman"/>
                  <w:sz w:val="24"/>
                  <w:szCs w:val="24"/>
                  <w:lang w:eastAsia="lv-LV"/>
                </w:rPr>
                <w:t>2009/138/EK</w:t>
              </w:r>
            </w:hyperlink>
            <w:r w:rsidR="009E2416">
              <w:rPr>
                <w:rFonts w:ascii="Times New Roman" w:eastAsia="Times New Roman" w:hAnsi="Times New Roman" w:cs="Times New Roman"/>
                <w:sz w:val="24"/>
                <w:szCs w:val="24"/>
                <w:lang w:eastAsia="lv-LV"/>
              </w:rPr>
              <w:t xml:space="preserve"> </w:t>
            </w:r>
            <w:r w:rsidRPr="00357381">
              <w:rPr>
                <w:rFonts w:ascii="Times New Roman" w:eastAsia="Times New Roman" w:hAnsi="Times New Roman" w:cs="Times New Roman"/>
                <w:sz w:val="24"/>
                <w:szCs w:val="24"/>
                <w:lang w:eastAsia="lv-LV"/>
              </w:rPr>
              <w:t>par uzņēmējdarbības uzsākšanu un veikšanu apdrošināšanas un pārapdrošināšanas jomā</w:t>
            </w:r>
            <w:r w:rsidR="00C25A47">
              <w:rPr>
                <w:rFonts w:ascii="Times New Roman" w:eastAsia="Times New Roman" w:hAnsi="Times New Roman" w:cs="Times New Roman"/>
                <w:sz w:val="24"/>
                <w:szCs w:val="24"/>
                <w:lang w:eastAsia="lv-LV"/>
              </w:rPr>
              <w:t xml:space="preserve"> (Maksātspēja</w:t>
            </w:r>
            <w:r w:rsidR="009E2416">
              <w:rPr>
                <w:rFonts w:ascii="Times New Roman" w:eastAsia="Times New Roman" w:hAnsi="Times New Roman" w:cs="Times New Roman"/>
                <w:sz w:val="24"/>
                <w:szCs w:val="24"/>
                <w:lang w:eastAsia="lv-LV"/>
              </w:rPr>
              <w:t> </w:t>
            </w:r>
            <w:r w:rsidR="00C25A47">
              <w:rPr>
                <w:rFonts w:ascii="Times New Roman" w:eastAsia="Times New Roman" w:hAnsi="Times New Roman" w:cs="Times New Roman"/>
                <w:sz w:val="24"/>
                <w:szCs w:val="24"/>
                <w:lang w:eastAsia="lv-LV"/>
              </w:rPr>
              <w:t>II)</w:t>
            </w:r>
            <w:r>
              <w:rPr>
                <w:rFonts w:ascii="Times New Roman" w:eastAsia="Times New Roman" w:hAnsi="Times New Roman" w:cs="Times New Roman"/>
                <w:sz w:val="24"/>
                <w:szCs w:val="24"/>
                <w:lang w:eastAsia="lv-LV"/>
              </w:rPr>
              <w:t>.</w:t>
            </w:r>
          </w:p>
        </w:tc>
      </w:tr>
      <w:tr w:rsidR="006C3828" w:rsidRPr="00894D21" w14:paraId="40B6FA4E" w14:textId="77777777" w:rsidTr="002B2146">
        <w:trPr>
          <w:trHeight w:val="567"/>
        </w:trPr>
        <w:tc>
          <w:tcPr>
            <w:tcW w:w="1014" w:type="pct"/>
            <w:shd w:val="clear" w:color="auto" w:fill="auto"/>
            <w:hideMark/>
          </w:tcPr>
          <w:p w14:paraId="735A198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2BDC6261" w14:textId="3CCFC56B" w:rsidR="006C3828" w:rsidRPr="00894D21" w:rsidRDefault="006C3828" w:rsidP="00B917A7">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2B2146">
        <w:trPr>
          <w:trHeight w:val="567"/>
        </w:trPr>
        <w:tc>
          <w:tcPr>
            <w:tcW w:w="1014" w:type="pct"/>
            <w:shd w:val="clear" w:color="auto" w:fill="auto"/>
            <w:hideMark/>
          </w:tcPr>
          <w:p w14:paraId="46AD5EB9"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19F442AC" w14:textId="77777777" w:rsidR="005550D8" w:rsidRDefault="005550D8" w:rsidP="005550D8">
            <w:pPr>
              <w:pStyle w:val="NormalWeb"/>
              <w:spacing w:before="0" w:beforeAutospacing="0" w:after="120" w:afterAutospacing="0"/>
              <w:jc w:val="both"/>
              <w:rPr>
                <w:rFonts w:asciiTheme="minorHAnsi" w:eastAsiaTheme="minorHAnsi" w:hAnsiTheme="minorHAnsi" w:cstheme="minorBidi"/>
                <w:sz w:val="22"/>
                <w:szCs w:val="22"/>
                <w:lang w:eastAsia="en-US"/>
              </w:rPr>
            </w:pPr>
            <w:r w:rsidRPr="005550D8">
              <w:t>Noteikumu projekts 2024. gada 23. oktobrī tika publicēts Latvijas Bankas tīmekļvietnes </w:t>
            </w:r>
            <w:hyperlink r:id="rId17" w:tgtFrame="_blank" w:tooltip="http://www.bank.lv/" w:history="1">
              <w:r w:rsidRPr="005550D8">
                <w:rPr>
                  <w:rFonts w:asciiTheme="minorHAnsi" w:eastAsiaTheme="minorHAnsi" w:hAnsiTheme="minorHAnsi" w:cstheme="minorBidi"/>
                  <w:color w:val="0000FF"/>
                  <w:sz w:val="22"/>
                  <w:szCs w:val="22"/>
                  <w:u w:val="single"/>
                  <w:lang w:eastAsia="en-US"/>
                </w:rPr>
                <w:t>www.bank.lv</w:t>
              </w:r>
            </w:hyperlink>
            <w:r w:rsidRPr="005550D8">
              <w:rPr>
                <w:rFonts w:asciiTheme="minorHAnsi" w:eastAsiaTheme="minorHAnsi" w:hAnsiTheme="minorHAnsi" w:cstheme="minorBidi"/>
                <w:sz w:val="22"/>
                <w:szCs w:val="22"/>
                <w:lang w:eastAsia="en-US"/>
              </w:rPr>
              <w:t xml:space="preserve"> </w:t>
            </w:r>
            <w:r w:rsidRPr="005550D8">
              <w:t xml:space="preserve">sadaļas "Tiesību akti" </w:t>
            </w:r>
            <w:proofErr w:type="spellStart"/>
            <w:r w:rsidRPr="005550D8">
              <w:t>apakšsadaļā</w:t>
            </w:r>
            <w:proofErr w:type="spellEnd"/>
            <w:r w:rsidRPr="005550D8">
              <w:t xml:space="preserve"> "Sabiedrības līdzdalība", aicinot priekšlikumus iesniegt līdz 2024. gada 6. </w:t>
            </w:r>
            <w:proofErr w:type="spellStart"/>
            <w:r w:rsidRPr="005550D8">
              <w:t>novembrim.</w:t>
            </w:r>
            <w:proofErr w:type="spellEnd"/>
          </w:p>
          <w:p w14:paraId="2CCCD760" w14:textId="0D29DC47" w:rsidR="005D5FC5" w:rsidRPr="00894D21" w:rsidRDefault="00E90990" w:rsidP="005550D8">
            <w:pPr>
              <w:pStyle w:val="NormalWeb"/>
              <w:spacing w:before="0" w:beforeAutospacing="0" w:after="120" w:afterAutospacing="0"/>
              <w:jc w:val="both"/>
            </w:pPr>
            <w:r w:rsidRPr="00E90990">
              <w:t>Vienlaikus par noteikumu projektu un notiekošo sabiedrības līdzdalību individuāli tik</w:t>
            </w:r>
            <w:r w:rsidR="0096060E">
              <w:t>a</w:t>
            </w:r>
            <w:r w:rsidR="009974B9">
              <w:t xml:space="preserve"> informēta Latvijas </w:t>
            </w:r>
            <w:r w:rsidR="009E2416">
              <w:t xml:space="preserve">Apdrošinātāju </w:t>
            </w:r>
            <w:r w:rsidR="009974B9">
              <w:t>asociācija</w:t>
            </w:r>
            <w:r w:rsidR="0096060E">
              <w:t xml:space="preserve"> un visi</w:t>
            </w:r>
            <w:r w:rsidRPr="00E90990">
              <w:t xml:space="preserve"> tirgus dalībnieki, kuriem būs saistoša noteikumu projektā ietverto prasību izpilde</w:t>
            </w:r>
            <w:r w:rsidR="003A7753">
              <w:t>.</w:t>
            </w:r>
          </w:p>
        </w:tc>
      </w:tr>
      <w:tr w:rsidR="006C3828" w:rsidRPr="00894D21" w14:paraId="61D339D9" w14:textId="77777777" w:rsidTr="002B2146">
        <w:trPr>
          <w:trHeight w:val="567"/>
        </w:trPr>
        <w:tc>
          <w:tcPr>
            <w:tcW w:w="1014" w:type="pct"/>
            <w:shd w:val="clear" w:color="auto" w:fill="auto"/>
            <w:hideMark/>
          </w:tcPr>
          <w:p w14:paraId="4CB6397C"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B917A7">
            <w:pPr>
              <w:spacing w:after="0" w:line="240" w:lineRule="auto"/>
              <w:rPr>
                <w:rFonts w:ascii="Times New Roman" w:eastAsia="Times New Roman" w:hAnsi="Times New Roman" w:cs="Times New Roman"/>
                <w:b/>
                <w:bCs/>
                <w:sz w:val="24"/>
                <w:szCs w:val="24"/>
                <w:lang w:eastAsia="lv-LV"/>
              </w:rPr>
            </w:pPr>
          </w:p>
        </w:tc>
        <w:tc>
          <w:tcPr>
            <w:tcW w:w="3986" w:type="pct"/>
            <w:shd w:val="clear" w:color="auto" w:fill="auto"/>
          </w:tcPr>
          <w:p w14:paraId="692F977B" w14:textId="41B3DBA5" w:rsidR="005B5025" w:rsidRPr="00894D21" w:rsidRDefault="0096060E" w:rsidP="0096060E">
            <w:pPr>
              <w:pStyle w:val="ListParagraph"/>
              <w:tabs>
                <w:tab w:val="left" w:pos="310"/>
              </w:tabs>
              <w:spacing w:before="120" w:after="120"/>
              <w:ind w:left="0"/>
              <w:contextualSpacing w:val="0"/>
            </w:pPr>
            <w:r w:rsidRPr="009520D3">
              <w:rPr>
                <w:rFonts w:ascii="Times New Roman" w:eastAsia="Times New Roman" w:hAnsi="Times New Roman" w:cs="Times New Roman"/>
                <w:sz w:val="24"/>
                <w:szCs w:val="24"/>
                <w:lang w:eastAsia="lv-LV"/>
              </w:rPr>
              <w:t>Sabiedrības līdzdalības rezultātā par noteikumu projektu netika saņemti iebildumi vai priekšlikumi.</w:t>
            </w:r>
          </w:p>
        </w:tc>
      </w:tr>
    </w:tbl>
    <w:p w14:paraId="086EF7E5" w14:textId="77777777" w:rsidR="00A62B63" w:rsidRPr="0017269A" w:rsidRDefault="00A62B63" w:rsidP="00B917A7">
      <w:pPr>
        <w:spacing w:line="240" w:lineRule="auto"/>
      </w:pPr>
    </w:p>
    <w:sectPr w:rsidR="00A62B63" w:rsidRPr="0017269A" w:rsidSect="007159B5">
      <w:headerReference w:type="default" r:id="rId18"/>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0BB62" w14:textId="77777777" w:rsidR="00856A79" w:rsidRDefault="00856A79" w:rsidP="006C3828">
      <w:pPr>
        <w:spacing w:after="0" w:line="240" w:lineRule="auto"/>
      </w:pPr>
      <w:r>
        <w:separator/>
      </w:r>
    </w:p>
  </w:endnote>
  <w:endnote w:type="continuationSeparator" w:id="0">
    <w:p w14:paraId="1483DE9B" w14:textId="77777777" w:rsidR="00856A79" w:rsidRDefault="00856A79" w:rsidP="006C3828">
      <w:pPr>
        <w:spacing w:after="0" w:line="240" w:lineRule="auto"/>
      </w:pPr>
      <w:r>
        <w:continuationSeparator/>
      </w:r>
    </w:p>
  </w:endnote>
  <w:endnote w:type="continuationNotice" w:id="1">
    <w:p w14:paraId="63DE22D0" w14:textId="77777777" w:rsidR="00856A79" w:rsidRDefault="00856A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33E76" w14:textId="77777777" w:rsidR="00856A79" w:rsidRDefault="00856A79" w:rsidP="006C3828">
      <w:pPr>
        <w:spacing w:after="0" w:line="240" w:lineRule="auto"/>
      </w:pPr>
      <w:r>
        <w:separator/>
      </w:r>
    </w:p>
  </w:footnote>
  <w:footnote w:type="continuationSeparator" w:id="0">
    <w:p w14:paraId="7F412261" w14:textId="77777777" w:rsidR="00856A79" w:rsidRDefault="00856A79" w:rsidP="006C3828">
      <w:pPr>
        <w:spacing w:after="0" w:line="240" w:lineRule="auto"/>
      </w:pPr>
      <w:r>
        <w:continuationSeparator/>
      </w:r>
    </w:p>
  </w:footnote>
  <w:footnote w:type="continuationNotice" w:id="1">
    <w:p w14:paraId="678A250B" w14:textId="77777777" w:rsidR="00856A79" w:rsidRDefault="00856A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1A014549"/>
    <w:multiLevelType w:val="hybridMultilevel"/>
    <w:tmpl w:val="09F8CB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9"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3"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3988287">
    <w:abstractNumId w:val="7"/>
  </w:num>
  <w:num w:numId="2" w16cid:durableId="66001806">
    <w:abstractNumId w:val="0"/>
  </w:num>
  <w:num w:numId="3" w16cid:durableId="1474834947">
    <w:abstractNumId w:val="13"/>
  </w:num>
  <w:num w:numId="4" w16cid:durableId="995378933">
    <w:abstractNumId w:val="12"/>
  </w:num>
  <w:num w:numId="5" w16cid:durableId="610938957">
    <w:abstractNumId w:val="2"/>
  </w:num>
  <w:num w:numId="6" w16cid:durableId="1992098003">
    <w:abstractNumId w:val="4"/>
  </w:num>
  <w:num w:numId="7" w16cid:durableId="1446123305">
    <w:abstractNumId w:val="10"/>
  </w:num>
  <w:num w:numId="8" w16cid:durableId="2020306951">
    <w:abstractNumId w:val="3"/>
  </w:num>
  <w:num w:numId="9" w16cid:durableId="536311884">
    <w:abstractNumId w:val="9"/>
  </w:num>
  <w:num w:numId="10" w16cid:durableId="1263997823">
    <w:abstractNumId w:val="8"/>
  </w:num>
  <w:num w:numId="11" w16cid:durableId="675426046">
    <w:abstractNumId w:val="1"/>
  </w:num>
  <w:num w:numId="12" w16cid:durableId="798692480">
    <w:abstractNumId w:val="5"/>
  </w:num>
  <w:num w:numId="13" w16cid:durableId="1957129373">
    <w:abstractNumId w:val="11"/>
  </w:num>
  <w:num w:numId="14" w16cid:durableId="16419539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3A4"/>
    <w:rsid w:val="00005CBA"/>
    <w:rsid w:val="00007625"/>
    <w:rsid w:val="00011527"/>
    <w:rsid w:val="0001158A"/>
    <w:rsid w:val="00011E6A"/>
    <w:rsid w:val="000128D4"/>
    <w:rsid w:val="00013F7A"/>
    <w:rsid w:val="00014B96"/>
    <w:rsid w:val="00015F04"/>
    <w:rsid w:val="00016559"/>
    <w:rsid w:val="00016CFF"/>
    <w:rsid w:val="000176FD"/>
    <w:rsid w:val="00017EBF"/>
    <w:rsid w:val="00020E1E"/>
    <w:rsid w:val="000238EF"/>
    <w:rsid w:val="00023D0D"/>
    <w:rsid w:val="00025657"/>
    <w:rsid w:val="00026C7F"/>
    <w:rsid w:val="00031030"/>
    <w:rsid w:val="0003113C"/>
    <w:rsid w:val="000346F9"/>
    <w:rsid w:val="00041510"/>
    <w:rsid w:val="00043BB1"/>
    <w:rsid w:val="00044039"/>
    <w:rsid w:val="000457D9"/>
    <w:rsid w:val="000460F0"/>
    <w:rsid w:val="00046130"/>
    <w:rsid w:val="00046B32"/>
    <w:rsid w:val="00051FF1"/>
    <w:rsid w:val="000546BD"/>
    <w:rsid w:val="00055599"/>
    <w:rsid w:val="000569F4"/>
    <w:rsid w:val="00056B91"/>
    <w:rsid w:val="0005752D"/>
    <w:rsid w:val="00060206"/>
    <w:rsid w:val="0006351B"/>
    <w:rsid w:val="000651A4"/>
    <w:rsid w:val="000674E2"/>
    <w:rsid w:val="000674F9"/>
    <w:rsid w:val="00070B88"/>
    <w:rsid w:val="00071E26"/>
    <w:rsid w:val="00073A5A"/>
    <w:rsid w:val="0007692E"/>
    <w:rsid w:val="00086723"/>
    <w:rsid w:val="000916EA"/>
    <w:rsid w:val="0009394F"/>
    <w:rsid w:val="000965D0"/>
    <w:rsid w:val="000A1E24"/>
    <w:rsid w:val="000A2BA1"/>
    <w:rsid w:val="000A3A29"/>
    <w:rsid w:val="000B0981"/>
    <w:rsid w:val="000B20A8"/>
    <w:rsid w:val="000B4EA6"/>
    <w:rsid w:val="000B6C81"/>
    <w:rsid w:val="000C0126"/>
    <w:rsid w:val="000C0D4C"/>
    <w:rsid w:val="000C158C"/>
    <w:rsid w:val="000C2B69"/>
    <w:rsid w:val="000C3109"/>
    <w:rsid w:val="000D4CBC"/>
    <w:rsid w:val="000D77DE"/>
    <w:rsid w:val="000E0577"/>
    <w:rsid w:val="000E2D29"/>
    <w:rsid w:val="000E346A"/>
    <w:rsid w:val="000E3AFF"/>
    <w:rsid w:val="000E4A51"/>
    <w:rsid w:val="000E7B66"/>
    <w:rsid w:val="000F0ED6"/>
    <w:rsid w:val="000F3ABE"/>
    <w:rsid w:val="000F4375"/>
    <w:rsid w:val="000F5E18"/>
    <w:rsid w:val="000F7131"/>
    <w:rsid w:val="000F7294"/>
    <w:rsid w:val="000F7307"/>
    <w:rsid w:val="00100870"/>
    <w:rsid w:val="00100B55"/>
    <w:rsid w:val="00100C7F"/>
    <w:rsid w:val="0010366B"/>
    <w:rsid w:val="001038B2"/>
    <w:rsid w:val="00105FBE"/>
    <w:rsid w:val="0011062E"/>
    <w:rsid w:val="00110D41"/>
    <w:rsid w:val="001120C9"/>
    <w:rsid w:val="00114B2A"/>
    <w:rsid w:val="00123B5A"/>
    <w:rsid w:val="00131096"/>
    <w:rsid w:val="00132833"/>
    <w:rsid w:val="00133AA4"/>
    <w:rsid w:val="00133DD1"/>
    <w:rsid w:val="0013551E"/>
    <w:rsid w:val="00141AB9"/>
    <w:rsid w:val="0015034B"/>
    <w:rsid w:val="00150902"/>
    <w:rsid w:val="00155273"/>
    <w:rsid w:val="00160409"/>
    <w:rsid w:val="0016071E"/>
    <w:rsid w:val="00160F67"/>
    <w:rsid w:val="00162140"/>
    <w:rsid w:val="0017269A"/>
    <w:rsid w:val="00172B56"/>
    <w:rsid w:val="00193502"/>
    <w:rsid w:val="001A0DD7"/>
    <w:rsid w:val="001B08A2"/>
    <w:rsid w:val="001B4086"/>
    <w:rsid w:val="001B6287"/>
    <w:rsid w:val="001B7557"/>
    <w:rsid w:val="001C4B26"/>
    <w:rsid w:val="001C51F0"/>
    <w:rsid w:val="001C6278"/>
    <w:rsid w:val="001D0A40"/>
    <w:rsid w:val="001D15F6"/>
    <w:rsid w:val="001D19DE"/>
    <w:rsid w:val="001D243F"/>
    <w:rsid w:val="001D3078"/>
    <w:rsid w:val="001D3420"/>
    <w:rsid w:val="001D7F3F"/>
    <w:rsid w:val="001E2E7A"/>
    <w:rsid w:val="001E3896"/>
    <w:rsid w:val="001E5AFF"/>
    <w:rsid w:val="001E718D"/>
    <w:rsid w:val="001E7AF1"/>
    <w:rsid w:val="001E7E15"/>
    <w:rsid w:val="001F069D"/>
    <w:rsid w:val="001F4690"/>
    <w:rsid w:val="001F55A2"/>
    <w:rsid w:val="001F5D03"/>
    <w:rsid w:val="001F6F78"/>
    <w:rsid w:val="00201593"/>
    <w:rsid w:val="00202AFF"/>
    <w:rsid w:val="002032FB"/>
    <w:rsid w:val="00203426"/>
    <w:rsid w:val="00204AA4"/>
    <w:rsid w:val="00207D96"/>
    <w:rsid w:val="00207DA3"/>
    <w:rsid w:val="002134DD"/>
    <w:rsid w:val="0021534E"/>
    <w:rsid w:val="002204A1"/>
    <w:rsid w:val="00220CBD"/>
    <w:rsid w:val="0022224A"/>
    <w:rsid w:val="00226480"/>
    <w:rsid w:val="00227386"/>
    <w:rsid w:val="0023330A"/>
    <w:rsid w:val="002359D1"/>
    <w:rsid w:val="00237A0A"/>
    <w:rsid w:val="00243CAB"/>
    <w:rsid w:val="00244740"/>
    <w:rsid w:val="002452DB"/>
    <w:rsid w:val="00245C21"/>
    <w:rsid w:val="00246E1F"/>
    <w:rsid w:val="002522C7"/>
    <w:rsid w:val="00253E4A"/>
    <w:rsid w:val="00257CA0"/>
    <w:rsid w:val="00260E91"/>
    <w:rsid w:val="00261400"/>
    <w:rsid w:val="00262330"/>
    <w:rsid w:val="00262863"/>
    <w:rsid w:val="00262981"/>
    <w:rsid w:val="00264914"/>
    <w:rsid w:val="00270DED"/>
    <w:rsid w:val="00276C94"/>
    <w:rsid w:val="002821EA"/>
    <w:rsid w:val="00284D38"/>
    <w:rsid w:val="002855C4"/>
    <w:rsid w:val="002866A5"/>
    <w:rsid w:val="00286B90"/>
    <w:rsid w:val="0028721D"/>
    <w:rsid w:val="00296A1E"/>
    <w:rsid w:val="00296D06"/>
    <w:rsid w:val="00297444"/>
    <w:rsid w:val="002A59C8"/>
    <w:rsid w:val="002A7D54"/>
    <w:rsid w:val="002B2146"/>
    <w:rsid w:val="002B276C"/>
    <w:rsid w:val="002B347B"/>
    <w:rsid w:val="002B382B"/>
    <w:rsid w:val="002B3947"/>
    <w:rsid w:val="002C058B"/>
    <w:rsid w:val="002C0712"/>
    <w:rsid w:val="002C10BB"/>
    <w:rsid w:val="002C2A7E"/>
    <w:rsid w:val="002C3E3C"/>
    <w:rsid w:val="002C409A"/>
    <w:rsid w:val="002C6211"/>
    <w:rsid w:val="002D1112"/>
    <w:rsid w:val="002D17C7"/>
    <w:rsid w:val="002D62BB"/>
    <w:rsid w:val="002D7927"/>
    <w:rsid w:val="002E2076"/>
    <w:rsid w:val="002E6B3F"/>
    <w:rsid w:val="002E7931"/>
    <w:rsid w:val="002F30E4"/>
    <w:rsid w:val="002F607C"/>
    <w:rsid w:val="002F6857"/>
    <w:rsid w:val="002F77FB"/>
    <w:rsid w:val="003010D6"/>
    <w:rsid w:val="00306230"/>
    <w:rsid w:val="00306672"/>
    <w:rsid w:val="00306D39"/>
    <w:rsid w:val="00310EDD"/>
    <w:rsid w:val="003134F1"/>
    <w:rsid w:val="003231B3"/>
    <w:rsid w:val="00326362"/>
    <w:rsid w:val="00331BC3"/>
    <w:rsid w:val="0033661A"/>
    <w:rsid w:val="00341646"/>
    <w:rsid w:val="00341A9D"/>
    <w:rsid w:val="00342AF3"/>
    <w:rsid w:val="003447BE"/>
    <w:rsid w:val="00357381"/>
    <w:rsid w:val="0035787E"/>
    <w:rsid w:val="00361CD6"/>
    <w:rsid w:val="00362E0B"/>
    <w:rsid w:val="00364619"/>
    <w:rsid w:val="00364C6A"/>
    <w:rsid w:val="003659BD"/>
    <w:rsid w:val="00366E75"/>
    <w:rsid w:val="00370DA6"/>
    <w:rsid w:val="0037372E"/>
    <w:rsid w:val="00374AC8"/>
    <w:rsid w:val="00375D09"/>
    <w:rsid w:val="00376595"/>
    <w:rsid w:val="00376741"/>
    <w:rsid w:val="00377480"/>
    <w:rsid w:val="0038189C"/>
    <w:rsid w:val="00382072"/>
    <w:rsid w:val="00382774"/>
    <w:rsid w:val="00385989"/>
    <w:rsid w:val="003865BA"/>
    <w:rsid w:val="00386D44"/>
    <w:rsid w:val="00386E24"/>
    <w:rsid w:val="00393061"/>
    <w:rsid w:val="003930E2"/>
    <w:rsid w:val="00394C66"/>
    <w:rsid w:val="003950E4"/>
    <w:rsid w:val="003978C0"/>
    <w:rsid w:val="003A1DB0"/>
    <w:rsid w:val="003A3DAC"/>
    <w:rsid w:val="003A5B12"/>
    <w:rsid w:val="003A6361"/>
    <w:rsid w:val="003A7753"/>
    <w:rsid w:val="003B0F19"/>
    <w:rsid w:val="003B25C0"/>
    <w:rsid w:val="003B58DB"/>
    <w:rsid w:val="003C08FF"/>
    <w:rsid w:val="003C3E41"/>
    <w:rsid w:val="003C653B"/>
    <w:rsid w:val="003D2EFB"/>
    <w:rsid w:val="003D5703"/>
    <w:rsid w:val="003D6EDD"/>
    <w:rsid w:val="003E190B"/>
    <w:rsid w:val="003E7A38"/>
    <w:rsid w:val="003F3117"/>
    <w:rsid w:val="003F4CCA"/>
    <w:rsid w:val="003F511D"/>
    <w:rsid w:val="003F6C76"/>
    <w:rsid w:val="003F7A1F"/>
    <w:rsid w:val="00406646"/>
    <w:rsid w:val="004069D7"/>
    <w:rsid w:val="00414079"/>
    <w:rsid w:val="00415E32"/>
    <w:rsid w:val="00415F0F"/>
    <w:rsid w:val="004228C1"/>
    <w:rsid w:val="00424089"/>
    <w:rsid w:val="00425111"/>
    <w:rsid w:val="00427EFC"/>
    <w:rsid w:val="00430209"/>
    <w:rsid w:val="00436791"/>
    <w:rsid w:val="00440995"/>
    <w:rsid w:val="00443E2A"/>
    <w:rsid w:val="004457B0"/>
    <w:rsid w:val="00447D0E"/>
    <w:rsid w:val="0045291E"/>
    <w:rsid w:val="00452AD8"/>
    <w:rsid w:val="0045317F"/>
    <w:rsid w:val="00453F22"/>
    <w:rsid w:val="004544FD"/>
    <w:rsid w:val="004607F0"/>
    <w:rsid w:val="00460E2E"/>
    <w:rsid w:val="004712F1"/>
    <w:rsid w:val="0047310B"/>
    <w:rsid w:val="004801B2"/>
    <w:rsid w:val="00480201"/>
    <w:rsid w:val="00483980"/>
    <w:rsid w:val="00484BD5"/>
    <w:rsid w:val="00484CFB"/>
    <w:rsid w:val="0048525E"/>
    <w:rsid w:val="004920FA"/>
    <w:rsid w:val="00492A77"/>
    <w:rsid w:val="004947BC"/>
    <w:rsid w:val="00496BCF"/>
    <w:rsid w:val="00497C64"/>
    <w:rsid w:val="004A1DC3"/>
    <w:rsid w:val="004A2553"/>
    <w:rsid w:val="004A6C0A"/>
    <w:rsid w:val="004B0537"/>
    <w:rsid w:val="004B1143"/>
    <w:rsid w:val="004B2B86"/>
    <w:rsid w:val="004B6031"/>
    <w:rsid w:val="004B6CA7"/>
    <w:rsid w:val="004C112D"/>
    <w:rsid w:val="004C233F"/>
    <w:rsid w:val="004C2AB3"/>
    <w:rsid w:val="004C35E0"/>
    <w:rsid w:val="004C4E47"/>
    <w:rsid w:val="004C5F77"/>
    <w:rsid w:val="004D0329"/>
    <w:rsid w:val="004D0490"/>
    <w:rsid w:val="004D25FC"/>
    <w:rsid w:val="004D3D3A"/>
    <w:rsid w:val="004D40FF"/>
    <w:rsid w:val="004D5195"/>
    <w:rsid w:val="004D5704"/>
    <w:rsid w:val="004D7A9B"/>
    <w:rsid w:val="004E6BCE"/>
    <w:rsid w:val="004F01AD"/>
    <w:rsid w:val="004F02A7"/>
    <w:rsid w:val="004F3EC2"/>
    <w:rsid w:val="004F5B9C"/>
    <w:rsid w:val="004F7AA5"/>
    <w:rsid w:val="005000A7"/>
    <w:rsid w:val="00500264"/>
    <w:rsid w:val="005005A6"/>
    <w:rsid w:val="00500796"/>
    <w:rsid w:val="005068F9"/>
    <w:rsid w:val="00506D2E"/>
    <w:rsid w:val="005079B0"/>
    <w:rsid w:val="00511299"/>
    <w:rsid w:val="005167A1"/>
    <w:rsid w:val="00516ADD"/>
    <w:rsid w:val="00517E8B"/>
    <w:rsid w:val="0052442B"/>
    <w:rsid w:val="00525135"/>
    <w:rsid w:val="00525E78"/>
    <w:rsid w:val="00526DB7"/>
    <w:rsid w:val="005274E9"/>
    <w:rsid w:val="00530FE0"/>
    <w:rsid w:val="00531148"/>
    <w:rsid w:val="005329F4"/>
    <w:rsid w:val="005333C9"/>
    <w:rsid w:val="00533B01"/>
    <w:rsid w:val="00533B50"/>
    <w:rsid w:val="00535192"/>
    <w:rsid w:val="00535960"/>
    <w:rsid w:val="00536B46"/>
    <w:rsid w:val="00541ECF"/>
    <w:rsid w:val="00544848"/>
    <w:rsid w:val="00545CC7"/>
    <w:rsid w:val="0055074B"/>
    <w:rsid w:val="0055241A"/>
    <w:rsid w:val="00554136"/>
    <w:rsid w:val="005550D8"/>
    <w:rsid w:val="005554D7"/>
    <w:rsid w:val="00556D06"/>
    <w:rsid w:val="005619C0"/>
    <w:rsid w:val="00561BA6"/>
    <w:rsid w:val="00561E86"/>
    <w:rsid w:val="0056235A"/>
    <w:rsid w:val="00563287"/>
    <w:rsid w:val="0056799C"/>
    <w:rsid w:val="00567A9C"/>
    <w:rsid w:val="00570818"/>
    <w:rsid w:val="005810AC"/>
    <w:rsid w:val="00581381"/>
    <w:rsid w:val="00583F25"/>
    <w:rsid w:val="0058754A"/>
    <w:rsid w:val="00591CBF"/>
    <w:rsid w:val="005970F5"/>
    <w:rsid w:val="005A4392"/>
    <w:rsid w:val="005A4DDD"/>
    <w:rsid w:val="005A72AB"/>
    <w:rsid w:val="005B0A89"/>
    <w:rsid w:val="005B0C94"/>
    <w:rsid w:val="005B26BA"/>
    <w:rsid w:val="005B36FC"/>
    <w:rsid w:val="005B3C60"/>
    <w:rsid w:val="005B4BB1"/>
    <w:rsid w:val="005B5025"/>
    <w:rsid w:val="005B533C"/>
    <w:rsid w:val="005C021E"/>
    <w:rsid w:val="005C2733"/>
    <w:rsid w:val="005C7651"/>
    <w:rsid w:val="005D0D05"/>
    <w:rsid w:val="005D36EC"/>
    <w:rsid w:val="005D5FC5"/>
    <w:rsid w:val="005D6FC6"/>
    <w:rsid w:val="005D793C"/>
    <w:rsid w:val="005E1DBA"/>
    <w:rsid w:val="005E2A59"/>
    <w:rsid w:val="005E3382"/>
    <w:rsid w:val="005E3DF1"/>
    <w:rsid w:val="005E41BA"/>
    <w:rsid w:val="005F0919"/>
    <w:rsid w:val="005F0DB5"/>
    <w:rsid w:val="005F10BB"/>
    <w:rsid w:val="005F1F98"/>
    <w:rsid w:val="005F4ECC"/>
    <w:rsid w:val="005F660A"/>
    <w:rsid w:val="005F67CC"/>
    <w:rsid w:val="005F7915"/>
    <w:rsid w:val="00604F9E"/>
    <w:rsid w:val="006055D6"/>
    <w:rsid w:val="006064AD"/>
    <w:rsid w:val="0061086B"/>
    <w:rsid w:val="006114CB"/>
    <w:rsid w:val="00613D58"/>
    <w:rsid w:val="00616C86"/>
    <w:rsid w:val="00616F84"/>
    <w:rsid w:val="006170AC"/>
    <w:rsid w:val="006218CC"/>
    <w:rsid w:val="00621F4F"/>
    <w:rsid w:val="006233CA"/>
    <w:rsid w:val="006235AB"/>
    <w:rsid w:val="00624231"/>
    <w:rsid w:val="006248DB"/>
    <w:rsid w:val="00631E97"/>
    <w:rsid w:val="00634938"/>
    <w:rsid w:val="0063542F"/>
    <w:rsid w:val="00643F90"/>
    <w:rsid w:val="0064658A"/>
    <w:rsid w:val="00646AD1"/>
    <w:rsid w:val="00650342"/>
    <w:rsid w:val="0065104E"/>
    <w:rsid w:val="006570A1"/>
    <w:rsid w:val="0065755B"/>
    <w:rsid w:val="00660A87"/>
    <w:rsid w:val="00660BB1"/>
    <w:rsid w:val="00660F6C"/>
    <w:rsid w:val="00661EC6"/>
    <w:rsid w:val="00662AB8"/>
    <w:rsid w:val="00664457"/>
    <w:rsid w:val="00664E5A"/>
    <w:rsid w:val="00666435"/>
    <w:rsid w:val="006676B9"/>
    <w:rsid w:val="00671872"/>
    <w:rsid w:val="00680242"/>
    <w:rsid w:val="00680366"/>
    <w:rsid w:val="00682971"/>
    <w:rsid w:val="0068362A"/>
    <w:rsid w:val="00684BBA"/>
    <w:rsid w:val="00684C6F"/>
    <w:rsid w:val="00685523"/>
    <w:rsid w:val="00687FD4"/>
    <w:rsid w:val="00690481"/>
    <w:rsid w:val="0069208D"/>
    <w:rsid w:val="00692F3D"/>
    <w:rsid w:val="00693032"/>
    <w:rsid w:val="006A0BA5"/>
    <w:rsid w:val="006A1E74"/>
    <w:rsid w:val="006A2A11"/>
    <w:rsid w:val="006A4A2E"/>
    <w:rsid w:val="006A4D71"/>
    <w:rsid w:val="006B2A55"/>
    <w:rsid w:val="006B3421"/>
    <w:rsid w:val="006B461C"/>
    <w:rsid w:val="006B4E46"/>
    <w:rsid w:val="006B4F70"/>
    <w:rsid w:val="006C0E01"/>
    <w:rsid w:val="006C2FD1"/>
    <w:rsid w:val="006C34F6"/>
    <w:rsid w:val="006C3828"/>
    <w:rsid w:val="006C429D"/>
    <w:rsid w:val="006C4E15"/>
    <w:rsid w:val="006C5842"/>
    <w:rsid w:val="006C72AD"/>
    <w:rsid w:val="006D0296"/>
    <w:rsid w:val="006D0D37"/>
    <w:rsid w:val="006D1B49"/>
    <w:rsid w:val="006D20A2"/>
    <w:rsid w:val="006D2A84"/>
    <w:rsid w:val="006D3C40"/>
    <w:rsid w:val="006D5A35"/>
    <w:rsid w:val="006D76DA"/>
    <w:rsid w:val="006E1822"/>
    <w:rsid w:val="006F3B79"/>
    <w:rsid w:val="006F7B9A"/>
    <w:rsid w:val="007021CC"/>
    <w:rsid w:val="0070233B"/>
    <w:rsid w:val="0071033A"/>
    <w:rsid w:val="00712F75"/>
    <w:rsid w:val="007159B5"/>
    <w:rsid w:val="007218F1"/>
    <w:rsid w:val="007223D9"/>
    <w:rsid w:val="00722DEF"/>
    <w:rsid w:val="00722EC7"/>
    <w:rsid w:val="0072523C"/>
    <w:rsid w:val="00726EC2"/>
    <w:rsid w:val="00732243"/>
    <w:rsid w:val="00734BF5"/>
    <w:rsid w:val="007357DC"/>
    <w:rsid w:val="00737E9C"/>
    <w:rsid w:val="00740596"/>
    <w:rsid w:val="00742F43"/>
    <w:rsid w:val="00745442"/>
    <w:rsid w:val="00746B48"/>
    <w:rsid w:val="007471E3"/>
    <w:rsid w:val="0074791A"/>
    <w:rsid w:val="00751877"/>
    <w:rsid w:val="0075531E"/>
    <w:rsid w:val="00757B75"/>
    <w:rsid w:val="007620BC"/>
    <w:rsid w:val="007676EA"/>
    <w:rsid w:val="00767878"/>
    <w:rsid w:val="00771002"/>
    <w:rsid w:val="00771555"/>
    <w:rsid w:val="007729C2"/>
    <w:rsid w:val="00773EED"/>
    <w:rsid w:val="00774514"/>
    <w:rsid w:val="00776966"/>
    <w:rsid w:val="007816B1"/>
    <w:rsid w:val="00781A3E"/>
    <w:rsid w:val="00790887"/>
    <w:rsid w:val="00792ADE"/>
    <w:rsid w:val="00794470"/>
    <w:rsid w:val="00794EAF"/>
    <w:rsid w:val="0079577C"/>
    <w:rsid w:val="00796745"/>
    <w:rsid w:val="007B13FC"/>
    <w:rsid w:val="007B15A3"/>
    <w:rsid w:val="007B1B00"/>
    <w:rsid w:val="007B2A2B"/>
    <w:rsid w:val="007B315A"/>
    <w:rsid w:val="007B49FC"/>
    <w:rsid w:val="007B5F80"/>
    <w:rsid w:val="007B75B9"/>
    <w:rsid w:val="007B7B16"/>
    <w:rsid w:val="007B7C21"/>
    <w:rsid w:val="007C300A"/>
    <w:rsid w:val="007C5300"/>
    <w:rsid w:val="007C7D57"/>
    <w:rsid w:val="007D0923"/>
    <w:rsid w:val="007D1EBF"/>
    <w:rsid w:val="007D3112"/>
    <w:rsid w:val="007D4BE3"/>
    <w:rsid w:val="007E0362"/>
    <w:rsid w:val="007E0BD3"/>
    <w:rsid w:val="007E125A"/>
    <w:rsid w:val="007E378B"/>
    <w:rsid w:val="007E3AB6"/>
    <w:rsid w:val="007E3C20"/>
    <w:rsid w:val="007E4051"/>
    <w:rsid w:val="007E452C"/>
    <w:rsid w:val="007E520B"/>
    <w:rsid w:val="007F1630"/>
    <w:rsid w:val="007F1C0E"/>
    <w:rsid w:val="007F1C71"/>
    <w:rsid w:val="007F2955"/>
    <w:rsid w:val="007F2988"/>
    <w:rsid w:val="007F4D10"/>
    <w:rsid w:val="007F72B4"/>
    <w:rsid w:val="008014BA"/>
    <w:rsid w:val="0080286F"/>
    <w:rsid w:val="00804C24"/>
    <w:rsid w:val="00812050"/>
    <w:rsid w:val="008141E0"/>
    <w:rsid w:val="008154C6"/>
    <w:rsid w:val="00817DDC"/>
    <w:rsid w:val="0082129D"/>
    <w:rsid w:val="00821EA1"/>
    <w:rsid w:val="0082342F"/>
    <w:rsid w:val="0082704A"/>
    <w:rsid w:val="00830973"/>
    <w:rsid w:val="00830C70"/>
    <w:rsid w:val="00831F05"/>
    <w:rsid w:val="008342B7"/>
    <w:rsid w:val="008347DA"/>
    <w:rsid w:val="0083648E"/>
    <w:rsid w:val="00841A2A"/>
    <w:rsid w:val="00842DAA"/>
    <w:rsid w:val="008433D4"/>
    <w:rsid w:val="0084689E"/>
    <w:rsid w:val="00851657"/>
    <w:rsid w:val="00854255"/>
    <w:rsid w:val="00856A79"/>
    <w:rsid w:val="0086087C"/>
    <w:rsid w:val="00861FCB"/>
    <w:rsid w:val="0086200A"/>
    <w:rsid w:val="0086312A"/>
    <w:rsid w:val="00863C7B"/>
    <w:rsid w:val="00866E2D"/>
    <w:rsid w:val="00872061"/>
    <w:rsid w:val="008730EE"/>
    <w:rsid w:val="00873448"/>
    <w:rsid w:val="00875D2F"/>
    <w:rsid w:val="008778BB"/>
    <w:rsid w:val="00880843"/>
    <w:rsid w:val="0088143D"/>
    <w:rsid w:val="00881F26"/>
    <w:rsid w:val="00882736"/>
    <w:rsid w:val="00883EEF"/>
    <w:rsid w:val="00886F2A"/>
    <w:rsid w:val="00887CBC"/>
    <w:rsid w:val="00890829"/>
    <w:rsid w:val="008929B8"/>
    <w:rsid w:val="00894480"/>
    <w:rsid w:val="00894D21"/>
    <w:rsid w:val="00895104"/>
    <w:rsid w:val="00896DBD"/>
    <w:rsid w:val="00897495"/>
    <w:rsid w:val="00897948"/>
    <w:rsid w:val="00897A62"/>
    <w:rsid w:val="00897C92"/>
    <w:rsid w:val="008A3468"/>
    <w:rsid w:val="008A3794"/>
    <w:rsid w:val="008A5438"/>
    <w:rsid w:val="008B0683"/>
    <w:rsid w:val="008B090E"/>
    <w:rsid w:val="008B1929"/>
    <w:rsid w:val="008B2848"/>
    <w:rsid w:val="008B3C23"/>
    <w:rsid w:val="008B702A"/>
    <w:rsid w:val="008B7F53"/>
    <w:rsid w:val="008C0BD7"/>
    <w:rsid w:val="008C1F91"/>
    <w:rsid w:val="008C6EEC"/>
    <w:rsid w:val="008D0877"/>
    <w:rsid w:val="008D0C1B"/>
    <w:rsid w:val="008D0DC2"/>
    <w:rsid w:val="008D58BD"/>
    <w:rsid w:val="008E1212"/>
    <w:rsid w:val="008F1372"/>
    <w:rsid w:val="008F47D2"/>
    <w:rsid w:val="008F729E"/>
    <w:rsid w:val="00901061"/>
    <w:rsid w:val="0090117F"/>
    <w:rsid w:val="00901F92"/>
    <w:rsid w:val="0090232B"/>
    <w:rsid w:val="00904685"/>
    <w:rsid w:val="00907E79"/>
    <w:rsid w:val="00913932"/>
    <w:rsid w:val="0091494D"/>
    <w:rsid w:val="00916EC1"/>
    <w:rsid w:val="00921630"/>
    <w:rsid w:val="0092266E"/>
    <w:rsid w:val="009226BF"/>
    <w:rsid w:val="00922B4A"/>
    <w:rsid w:val="0092462C"/>
    <w:rsid w:val="009308D6"/>
    <w:rsid w:val="0093282C"/>
    <w:rsid w:val="00933239"/>
    <w:rsid w:val="00950FBD"/>
    <w:rsid w:val="00951489"/>
    <w:rsid w:val="00951C31"/>
    <w:rsid w:val="009520D3"/>
    <w:rsid w:val="00954C36"/>
    <w:rsid w:val="00955419"/>
    <w:rsid w:val="00955DBB"/>
    <w:rsid w:val="0096060E"/>
    <w:rsid w:val="009607EA"/>
    <w:rsid w:val="0096545F"/>
    <w:rsid w:val="00965525"/>
    <w:rsid w:val="00972EE3"/>
    <w:rsid w:val="00974CF6"/>
    <w:rsid w:val="0097512B"/>
    <w:rsid w:val="00975C81"/>
    <w:rsid w:val="00980F0B"/>
    <w:rsid w:val="0098107B"/>
    <w:rsid w:val="0098127D"/>
    <w:rsid w:val="009844DE"/>
    <w:rsid w:val="00986340"/>
    <w:rsid w:val="00987457"/>
    <w:rsid w:val="0099023D"/>
    <w:rsid w:val="009908AB"/>
    <w:rsid w:val="00990C7D"/>
    <w:rsid w:val="00993856"/>
    <w:rsid w:val="00993A38"/>
    <w:rsid w:val="009974B9"/>
    <w:rsid w:val="009A1427"/>
    <w:rsid w:val="009A2505"/>
    <w:rsid w:val="009A27C5"/>
    <w:rsid w:val="009A426E"/>
    <w:rsid w:val="009A6917"/>
    <w:rsid w:val="009B1E0B"/>
    <w:rsid w:val="009B2723"/>
    <w:rsid w:val="009B658A"/>
    <w:rsid w:val="009C3A76"/>
    <w:rsid w:val="009C3E75"/>
    <w:rsid w:val="009C4DFC"/>
    <w:rsid w:val="009D0104"/>
    <w:rsid w:val="009D13B7"/>
    <w:rsid w:val="009D2D30"/>
    <w:rsid w:val="009D4488"/>
    <w:rsid w:val="009D787C"/>
    <w:rsid w:val="009D799F"/>
    <w:rsid w:val="009E0BDF"/>
    <w:rsid w:val="009E2416"/>
    <w:rsid w:val="009E3C28"/>
    <w:rsid w:val="009E4874"/>
    <w:rsid w:val="009E69DC"/>
    <w:rsid w:val="009E7B0E"/>
    <w:rsid w:val="009F2A48"/>
    <w:rsid w:val="009F3CF4"/>
    <w:rsid w:val="009F4C41"/>
    <w:rsid w:val="009F4DED"/>
    <w:rsid w:val="009F58E5"/>
    <w:rsid w:val="00A02D03"/>
    <w:rsid w:val="00A031C6"/>
    <w:rsid w:val="00A040DC"/>
    <w:rsid w:val="00A0462E"/>
    <w:rsid w:val="00A04E33"/>
    <w:rsid w:val="00A06E04"/>
    <w:rsid w:val="00A07E5B"/>
    <w:rsid w:val="00A07F57"/>
    <w:rsid w:val="00A11613"/>
    <w:rsid w:val="00A222EC"/>
    <w:rsid w:val="00A32EF9"/>
    <w:rsid w:val="00A35B78"/>
    <w:rsid w:val="00A35C14"/>
    <w:rsid w:val="00A37114"/>
    <w:rsid w:val="00A372E9"/>
    <w:rsid w:val="00A413F5"/>
    <w:rsid w:val="00A428D2"/>
    <w:rsid w:val="00A443D9"/>
    <w:rsid w:val="00A44A82"/>
    <w:rsid w:val="00A4569C"/>
    <w:rsid w:val="00A47E75"/>
    <w:rsid w:val="00A47EB1"/>
    <w:rsid w:val="00A50F20"/>
    <w:rsid w:val="00A50F6C"/>
    <w:rsid w:val="00A54733"/>
    <w:rsid w:val="00A56648"/>
    <w:rsid w:val="00A56DC5"/>
    <w:rsid w:val="00A61687"/>
    <w:rsid w:val="00A62B63"/>
    <w:rsid w:val="00A64349"/>
    <w:rsid w:val="00A65568"/>
    <w:rsid w:val="00A66566"/>
    <w:rsid w:val="00A66EEF"/>
    <w:rsid w:val="00A673F4"/>
    <w:rsid w:val="00A74CF3"/>
    <w:rsid w:val="00A7604B"/>
    <w:rsid w:val="00A8380B"/>
    <w:rsid w:val="00A8548C"/>
    <w:rsid w:val="00A90189"/>
    <w:rsid w:val="00A90BD4"/>
    <w:rsid w:val="00A968A4"/>
    <w:rsid w:val="00AA0972"/>
    <w:rsid w:val="00AA2BB5"/>
    <w:rsid w:val="00AA2F5E"/>
    <w:rsid w:val="00AA44BF"/>
    <w:rsid w:val="00AA5A84"/>
    <w:rsid w:val="00AA5AB1"/>
    <w:rsid w:val="00AA6DCC"/>
    <w:rsid w:val="00AB25B1"/>
    <w:rsid w:val="00AB55C6"/>
    <w:rsid w:val="00AB66B0"/>
    <w:rsid w:val="00AB6738"/>
    <w:rsid w:val="00AB7167"/>
    <w:rsid w:val="00AC1A75"/>
    <w:rsid w:val="00AC1D96"/>
    <w:rsid w:val="00AC4761"/>
    <w:rsid w:val="00AD0DA2"/>
    <w:rsid w:val="00AD1390"/>
    <w:rsid w:val="00AD1F6B"/>
    <w:rsid w:val="00AD42FC"/>
    <w:rsid w:val="00AD5BE6"/>
    <w:rsid w:val="00AD6B42"/>
    <w:rsid w:val="00AD79E6"/>
    <w:rsid w:val="00AD7B25"/>
    <w:rsid w:val="00AE07C5"/>
    <w:rsid w:val="00AE1720"/>
    <w:rsid w:val="00AE23F3"/>
    <w:rsid w:val="00AE4F02"/>
    <w:rsid w:val="00AE52D9"/>
    <w:rsid w:val="00AF1013"/>
    <w:rsid w:val="00AF3AB7"/>
    <w:rsid w:val="00B00C35"/>
    <w:rsid w:val="00B01DB0"/>
    <w:rsid w:val="00B0470C"/>
    <w:rsid w:val="00B1460F"/>
    <w:rsid w:val="00B203C0"/>
    <w:rsid w:val="00B25316"/>
    <w:rsid w:val="00B25C30"/>
    <w:rsid w:val="00B25E9A"/>
    <w:rsid w:val="00B26309"/>
    <w:rsid w:val="00B26CA2"/>
    <w:rsid w:val="00B2773A"/>
    <w:rsid w:val="00B32067"/>
    <w:rsid w:val="00B32147"/>
    <w:rsid w:val="00B36448"/>
    <w:rsid w:val="00B37735"/>
    <w:rsid w:val="00B37F0C"/>
    <w:rsid w:val="00B4428F"/>
    <w:rsid w:val="00B45014"/>
    <w:rsid w:val="00B46369"/>
    <w:rsid w:val="00B50512"/>
    <w:rsid w:val="00B5224F"/>
    <w:rsid w:val="00B52652"/>
    <w:rsid w:val="00B538D8"/>
    <w:rsid w:val="00B55483"/>
    <w:rsid w:val="00B60307"/>
    <w:rsid w:val="00B609BE"/>
    <w:rsid w:val="00B62977"/>
    <w:rsid w:val="00B634A0"/>
    <w:rsid w:val="00B71171"/>
    <w:rsid w:val="00B71A08"/>
    <w:rsid w:val="00B71E28"/>
    <w:rsid w:val="00B73C46"/>
    <w:rsid w:val="00B73FB5"/>
    <w:rsid w:val="00B76BEC"/>
    <w:rsid w:val="00B76CDA"/>
    <w:rsid w:val="00B77A4B"/>
    <w:rsid w:val="00B823AC"/>
    <w:rsid w:val="00B86268"/>
    <w:rsid w:val="00B8646A"/>
    <w:rsid w:val="00B87348"/>
    <w:rsid w:val="00B91553"/>
    <w:rsid w:val="00B917A7"/>
    <w:rsid w:val="00B95FC1"/>
    <w:rsid w:val="00BA158A"/>
    <w:rsid w:val="00BA3DDB"/>
    <w:rsid w:val="00BA6414"/>
    <w:rsid w:val="00BA7271"/>
    <w:rsid w:val="00BA7799"/>
    <w:rsid w:val="00BA7EB2"/>
    <w:rsid w:val="00BB4163"/>
    <w:rsid w:val="00BB43FE"/>
    <w:rsid w:val="00BB4736"/>
    <w:rsid w:val="00BB7E32"/>
    <w:rsid w:val="00BC41FD"/>
    <w:rsid w:val="00BC5392"/>
    <w:rsid w:val="00BD03CC"/>
    <w:rsid w:val="00BD24BE"/>
    <w:rsid w:val="00BD3615"/>
    <w:rsid w:val="00BD4DF2"/>
    <w:rsid w:val="00BD6060"/>
    <w:rsid w:val="00BE026C"/>
    <w:rsid w:val="00BE1575"/>
    <w:rsid w:val="00BE2161"/>
    <w:rsid w:val="00BF1FBA"/>
    <w:rsid w:val="00BF3363"/>
    <w:rsid w:val="00BF37CB"/>
    <w:rsid w:val="00BF3F58"/>
    <w:rsid w:val="00BF4B38"/>
    <w:rsid w:val="00C00109"/>
    <w:rsid w:val="00C00A0B"/>
    <w:rsid w:val="00C00A5B"/>
    <w:rsid w:val="00C027EF"/>
    <w:rsid w:val="00C03D36"/>
    <w:rsid w:val="00C04F52"/>
    <w:rsid w:val="00C05B30"/>
    <w:rsid w:val="00C067BE"/>
    <w:rsid w:val="00C06FB6"/>
    <w:rsid w:val="00C071E2"/>
    <w:rsid w:val="00C07E3E"/>
    <w:rsid w:val="00C100BE"/>
    <w:rsid w:val="00C107CB"/>
    <w:rsid w:val="00C15D72"/>
    <w:rsid w:val="00C17CB8"/>
    <w:rsid w:val="00C20122"/>
    <w:rsid w:val="00C22272"/>
    <w:rsid w:val="00C2291F"/>
    <w:rsid w:val="00C23B11"/>
    <w:rsid w:val="00C24C64"/>
    <w:rsid w:val="00C2524C"/>
    <w:rsid w:val="00C25A47"/>
    <w:rsid w:val="00C31B16"/>
    <w:rsid w:val="00C32023"/>
    <w:rsid w:val="00C32E5B"/>
    <w:rsid w:val="00C34DD8"/>
    <w:rsid w:val="00C377E1"/>
    <w:rsid w:val="00C40452"/>
    <w:rsid w:val="00C4137D"/>
    <w:rsid w:val="00C41B5C"/>
    <w:rsid w:val="00C420E2"/>
    <w:rsid w:val="00C46E8B"/>
    <w:rsid w:val="00C46EFD"/>
    <w:rsid w:val="00C515EA"/>
    <w:rsid w:val="00C5179B"/>
    <w:rsid w:val="00C52588"/>
    <w:rsid w:val="00C601BD"/>
    <w:rsid w:val="00C60929"/>
    <w:rsid w:val="00C70EFE"/>
    <w:rsid w:val="00C710DD"/>
    <w:rsid w:val="00C81386"/>
    <w:rsid w:val="00C81530"/>
    <w:rsid w:val="00C8323B"/>
    <w:rsid w:val="00C86378"/>
    <w:rsid w:val="00C92D8B"/>
    <w:rsid w:val="00C948CA"/>
    <w:rsid w:val="00C96BDD"/>
    <w:rsid w:val="00C97300"/>
    <w:rsid w:val="00CA0C02"/>
    <w:rsid w:val="00CA24FD"/>
    <w:rsid w:val="00CA2A0A"/>
    <w:rsid w:val="00CA7A24"/>
    <w:rsid w:val="00CB559B"/>
    <w:rsid w:val="00CB638D"/>
    <w:rsid w:val="00CB6EAD"/>
    <w:rsid w:val="00CB79EA"/>
    <w:rsid w:val="00CC35E9"/>
    <w:rsid w:val="00CC47B6"/>
    <w:rsid w:val="00CC5D5D"/>
    <w:rsid w:val="00CC6538"/>
    <w:rsid w:val="00CC7A1D"/>
    <w:rsid w:val="00CD27C9"/>
    <w:rsid w:val="00CD3645"/>
    <w:rsid w:val="00CE1BD6"/>
    <w:rsid w:val="00CE5280"/>
    <w:rsid w:val="00CF05D0"/>
    <w:rsid w:val="00CF2312"/>
    <w:rsid w:val="00CF3F5A"/>
    <w:rsid w:val="00CF4150"/>
    <w:rsid w:val="00CF74C0"/>
    <w:rsid w:val="00D007D6"/>
    <w:rsid w:val="00D112A9"/>
    <w:rsid w:val="00D135C9"/>
    <w:rsid w:val="00D16368"/>
    <w:rsid w:val="00D22BCE"/>
    <w:rsid w:val="00D255A8"/>
    <w:rsid w:val="00D26E32"/>
    <w:rsid w:val="00D2743A"/>
    <w:rsid w:val="00D31BC2"/>
    <w:rsid w:val="00D32B74"/>
    <w:rsid w:val="00D33B7B"/>
    <w:rsid w:val="00D35F7C"/>
    <w:rsid w:val="00D404CA"/>
    <w:rsid w:val="00D42BCE"/>
    <w:rsid w:val="00D46365"/>
    <w:rsid w:val="00D47D32"/>
    <w:rsid w:val="00D5091E"/>
    <w:rsid w:val="00D536F1"/>
    <w:rsid w:val="00D53AC5"/>
    <w:rsid w:val="00D603B0"/>
    <w:rsid w:val="00D64A47"/>
    <w:rsid w:val="00D65805"/>
    <w:rsid w:val="00D65F70"/>
    <w:rsid w:val="00D66869"/>
    <w:rsid w:val="00D6718D"/>
    <w:rsid w:val="00D711E0"/>
    <w:rsid w:val="00D71ADD"/>
    <w:rsid w:val="00D76833"/>
    <w:rsid w:val="00D76B92"/>
    <w:rsid w:val="00D770E9"/>
    <w:rsid w:val="00D80EF8"/>
    <w:rsid w:val="00D8333E"/>
    <w:rsid w:val="00D85DDE"/>
    <w:rsid w:val="00D8650E"/>
    <w:rsid w:val="00D874BA"/>
    <w:rsid w:val="00D879FE"/>
    <w:rsid w:val="00D902AB"/>
    <w:rsid w:val="00D91398"/>
    <w:rsid w:val="00D91FF5"/>
    <w:rsid w:val="00DA010F"/>
    <w:rsid w:val="00DA40EA"/>
    <w:rsid w:val="00DA7B63"/>
    <w:rsid w:val="00DB3529"/>
    <w:rsid w:val="00DB3BAB"/>
    <w:rsid w:val="00DB410E"/>
    <w:rsid w:val="00DC010D"/>
    <w:rsid w:val="00DC15F9"/>
    <w:rsid w:val="00DC31A6"/>
    <w:rsid w:val="00DC6A4C"/>
    <w:rsid w:val="00DD058F"/>
    <w:rsid w:val="00DD54AE"/>
    <w:rsid w:val="00DD5BA4"/>
    <w:rsid w:val="00DD76CD"/>
    <w:rsid w:val="00DD7E30"/>
    <w:rsid w:val="00DE1E7F"/>
    <w:rsid w:val="00DE3F52"/>
    <w:rsid w:val="00DF10AD"/>
    <w:rsid w:val="00DF13C2"/>
    <w:rsid w:val="00DF4A3F"/>
    <w:rsid w:val="00DF6451"/>
    <w:rsid w:val="00E0097E"/>
    <w:rsid w:val="00E016F6"/>
    <w:rsid w:val="00E0340D"/>
    <w:rsid w:val="00E037FB"/>
    <w:rsid w:val="00E03A88"/>
    <w:rsid w:val="00E055AC"/>
    <w:rsid w:val="00E07CA2"/>
    <w:rsid w:val="00E1205E"/>
    <w:rsid w:val="00E12A7D"/>
    <w:rsid w:val="00E13025"/>
    <w:rsid w:val="00E1384B"/>
    <w:rsid w:val="00E22CBD"/>
    <w:rsid w:val="00E2347B"/>
    <w:rsid w:val="00E23A37"/>
    <w:rsid w:val="00E32B51"/>
    <w:rsid w:val="00E33C36"/>
    <w:rsid w:val="00E3499E"/>
    <w:rsid w:val="00E36ABE"/>
    <w:rsid w:val="00E40201"/>
    <w:rsid w:val="00E4027B"/>
    <w:rsid w:val="00E4085B"/>
    <w:rsid w:val="00E41229"/>
    <w:rsid w:val="00E4131F"/>
    <w:rsid w:val="00E4176F"/>
    <w:rsid w:val="00E43821"/>
    <w:rsid w:val="00E44413"/>
    <w:rsid w:val="00E446DA"/>
    <w:rsid w:val="00E44A69"/>
    <w:rsid w:val="00E44E45"/>
    <w:rsid w:val="00E475B0"/>
    <w:rsid w:val="00E5088A"/>
    <w:rsid w:val="00E5548E"/>
    <w:rsid w:val="00E60127"/>
    <w:rsid w:val="00E60CB2"/>
    <w:rsid w:val="00E62616"/>
    <w:rsid w:val="00E65047"/>
    <w:rsid w:val="00E6677A"/>
    <w:rsid w:val="00E70D74"/>
    <w:rsid w:val="00E727A4"/>
    <w:rsid w:val="00E7294C"/>
    <w:rsid w:val="00E752DC"/>
    <w:rsid w:val="00E8240C"/>
    <w:rsid w:val="00E83C44"/>
    <w:rsid w:val="00E858FE"/>
    <w:rsid w:val="00E87AFC"/>
    <w:rsid w:val="00E90892"/>
    <w:rsid w:val="00E90990"/>
    <w:rsid w:val="00E94A3A"/>
    <w:rsid w:val="00E9512C"/>
    <w:rsid w:val="00E963E5"/>
    <w:rsid w:val="00E97FDB"/>
    <w:rsid w:val="00EA7437"/>
    <w:rsid w:val="00EA74A4"/>
    <w:rsid w:val="00EA7F3C"/>
    <w:rsid w:val="00EB39FE"/>
    <w:rsid w:val="00EC0CBA"/>
    <w:rsid w:val="00EC3D3A"/>
    <w:rsid w:val="00EC7C63"/>
    <w:rsid w:val="00ED2754"/>
    <w:rsid w:val="00ED399C"/>
    <w:rsid w:val="00ED7F06"/>
    <w:rsid w:val="00EE1A5E"/>
    <w:rsid w:val="00EE2559"/>
    <w:rsid w:val="00EE3694"/>
    <w:rsid w:val="00EE3950"/>
    <w:rsid w:val="00EE3D3F"/>
    <w:rsid w:val="00EE63D5"/>
    <w:rsid w:val="00EF0378"/>
    <w:rsid w:val="00EF381D"/>
    <w:rsid w:val="00EF4595"/>
    <w:rsid w:val="00EF675B"/>
    <w:rsid w:val="00F0112C"/>
    <w:rsid w:val="00F029CE"/>
    <w:rsid w:val="00F02B94"/>
    <w:rsid w:val="00F031B6"/>
    <w:rsid w:val="00F05383"/>
    <w:rsid w:val="00F05C1B"/>
    <w:rsid w:val="00F06332"/>
    <w:rsid w:val="00F065CE"/>
    <w:rsid w:val="00F066A6"/>
    <w:rsid w:val="00F067E6"/>
    <w:rsid w:val="00F072B9"/>
    <w:rsid w:val="00F07965"/>
    <w:rsid w:val="00F110A0"/>
    <w:rsid w:val="00F16CFF"/>
    <w:rsid w:val="00F16F23"/>
    <w:rsid w:val="00F21431"/>
    <w:rsid w:val="00F310B0"/>
    <w:rsid w:val="00F3170C"/>
    <w:rsid w:val="00F31E33"/>
    <w:rsid w:val="00F36FED"/>
    <w:rsid w:val="00F37FD2"/>
    <w:rsid w:val="00F40BF9"/>
    <w:rsid w:val="00F430D9"/>
    <w:rsid w:val="00F4369C"/>
    <w:rsid w:val="00F443B5"/>
    <w:rsid w:val="00F449DB"/>
    <w:rsid w:val="00F46960"/>
    <w:rsid w:val="00F46FE3"/>
    <w:rsid w:val="00F47D28"/>
    <w:rsid w:val="00F52C5F"/>
    <w:rsid w:val="00F55EE5"/>
    <w:rsid w:val="00F6251E"/>
    <w:rsid w:val="00F64B0A"/>
    <w:rsid w:val="00F64C2D"/>
    <w:rsid w:val="00F700C0"/>
    <w:rsid w:val="00F7013B"/>
    <w:rsid w:val="00F7033D"/>
    <w:rsid w:val="00F75790"/>
    <w:rsid w:val="00F76465"/>
    <w:rsid w:val="00F841D8"/>
    <w:rsid w:val="00F84949"/>
    <w:rsid w:val="00F86360"/>
    <w:rsid w:val="00F90992"/>
    <w:rsid w:val="00F9559C"/>
    <w:rsid w:val="00F96824"/>
    <w:rsid w:val="00FA13FA"/>
    <w:rsid w:val="00FA24B2"/>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33AF"/>
    <w:rsid w:val="00FC48BE"/>
    <w:rsid w:val="00FC5242"/>
    <w:rsid w:val="00FD0F3B"/>
    <w:rsid w:val="00FD41B2"/>
    <w:rsid w:val="00FD78F5"/>
    <w:rsid w:val="00FE1306"/>
    <w:rsid w:val="00FE15AB"/>
    <w:rsid w:val="00FE1A5E"/>
    <w:rsid w:val="00FE3CF1"/>
    <w:rsid w:val="00FE52CC"/>
    <w:rsid w:val="00FF2D43"/>
    <w:rsid w:val="00FF2F4A"/>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paragraph" w:customStyle="1" w:styleId="pf0">
    <w:name w:val="pf0"/>
    <w:basedOn w:val="Normal"/>
    <w:rsid w:val="00E90990"/>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96060E"/>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954138999">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eli/reg_del/1935/2015/oj/?locale=LV"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ur-lex.europa.eu/eli/dir/2009/138/oj/?locale=LV" TargetMode="External"/><Relationship Id="rId17" Type="http://schemas.openxmlformats.org/officeDocument/2006/relationships/hyperlink" Target="http://www.bank.lv" TargetMode="External"/><Relationship Id="rId2" Type="http://schemas.openxmlformats.org/officeDocument/2006/relationships/customXml" Target="../customXml/item2.xml"/><Relationship Id="rId16" Type="http://schemas.openxmlformats.org/officeDocument/2006/relationships/hyperlink" Target="http://eur-lex.europa.eu/eli/dir/2009/138/oj/?locale=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_del/1935/2015/oj/?locale=LV" TargetMode="External"/><Relationship Id="rId5" Type="http://schemas.openxmlformats.org/officeDocument/2006/relationships/numbering" Target="numbering.xml"/><Relationship Id="rId15" Type="http://schemas.openxmlformats.org/officeDocument/2006/relationships/hyperlink" Target="http://eur-lex.europa.eu/eli/reg_del/1935/2015/oj/?locale=LV"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lex.europa.eu/eli/dir/2009/138/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8943</Words>
  <Characters>5098</Characters>
  <Application>Microsoft Office Word</Application>
  <DocSecurity>0</DocSecurity>
  <Lines>42</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14013</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RPAMP</cp:lastModifiedBy>
  <cp:revision>10</cp:revision>
  <cp:lastPrinted>2024-09-11T11:50:00Z</cp:lastPrinted>
  <dcterms:created xsi:type="dcterms:W3CDTF">2024-10-22T09:07:00Z</dcterms:created>
  <dcterms:modified xsi:type="dcterms:W3CDTF">2024-11-12T11:17:00Z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