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44545" w14:textId="77777777" w:rsidR="009C42A8" w:rsidRPr="0079205D" w:rsidRDefault="00000000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960D29F1C911446BB445AA6214923AC3"/>
          </w:placeholder>
          <w:showingPlcHdr/>
        </w:sdtPr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0E50C6C" w14:textId="77777777" w:rsidR="00334FC3" w:rsidRDefault="00334FC3" w:rsidP="003C1EF2">
      <w:pPr>
        <w:spacing w:before="240"/>
        <w:jc w:val="right"/>
        <w:rPr>
          <w:rFonts w:cs="Times New Roman"/>
          <w:szCs w:val="24"/>
        </w:rPr>
      </w:pPr>
    </w:p>
    <w:p w14:paraId="7B9223B5" w14:textId="29627311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EE21B3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3C1EF2" w14:paraId="049E634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86850C41B1F54AF1830B14178F6B3863"/>
            </w:placeholder>
            <w:showingPlcHdr/>
          </w:sdtPr>
          <w:sdtContent>
            <w:tc>
              <w:tcPr>
                <w:tcW w:w="4360" w:type="dxa"/>
                <w:vAlign w:val="bottom"/>
              </w:tcPr>
              <w:p w14:paraId="3070C713" w14:textId="77777777" w:rsidR="003C1EF2" w:rsidRDefault="00E36793" w:rsidP="00B661AA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 w:rsidRPr="00723141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191E22A" w14:textId="77777777" w:rsidR="003C1EF2" w:rsidRDefault="00000000" w:rsidP="00B661AA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5305C031246D484CB9D7168FEB13FD2C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A71AE52656A4A64967E5082138DBCA8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CB2B81BFC63648F58CF243219DC4AA36"/>
                </w:placeholder>
                <w:showingPlcHdr/>
              </w:sdtPr>
              <w:sdtContent>
                <w:r w:rsidR="00723141" w:rsidRPr="00723141">
                  <w:rPr>
                    <w:color w:val="808080" w:themeColor="background1" w:themeShade="80"/>
                  </w:rPr>
                  <w:t>[_</w:t>
                </w:r>
                <w:r w:rsidR="007A4159" w:rsidRPr="00723141">
                  <w:rPr>
                    <w:color w:val="808080" w:themeColor="background1" w:themeShade="80"/>
                  </w:rPr>
                  <w:t>___</w:t>
                </w:r>
                <w:r w:rsidR="00723141" w:rsidRPr="00723141">
                  <w:rPr>
                    <w:color w:val="808080" w:themeColor="background1" w:themeShade="80"/>
                  </w:rPr>
                  <w:t>]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338C69BDF33440C9B99F5A816780F07"/>
        </w:placeholder>
        <w:showingPlcHdr/>
      </w:sdtPr>
      <w:sdtContent>
        <w:p w14:paraId="4B53D570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D5626151A5404C6DA6D23600EB4CF058"/>
        </w:placeholder>
      </w:sdtPr>
      <w:sdtContent>
        <w:sdt>
          <w:sdtPr>
            <w:rPr>
              <w:rFonts w:cs="Times New Roman"/>
              <w:b/>
              <w:szCs w:val="24"/>
            </w:rPr>
            <w:alias w:val="Nosaukums"/>
            <w:tag w:val="Nosaukums"/>
            <w:id w:val="-1537886273"/>
            <w:placeholder>
              <w:docPart w:val="9FBA266867E1401481048B3ABFE5786B"/>
            </w:placeholder>
          </w:sdtPr>
          <w:sdtContent>
            <w:p w14:paraId="6A30156F" w14:textId="0426C7A8" w:rsidR="00C2284A" w:rsidRDefault="00A42E46" w:rsidP="00C2284A">
              <w:pPr>
                <w:spacing w:before="240" w:after="240"/>
                <w:rPr>
                  <w:rFonts w:cs="Times New Roman"/>
                  <w:b/>
                  <w:szCs w:val="24"/>
                </w:rPr>
              </w:pPr>
              <w:r>
                <w:rPr>
                  <w:rFonts w:cs="Times New Roman"/>
                  <w:b/>
                  <w:szCs w:val="24"/>
                </w:rPr>
                <w:t>N</w:t>
              </w:r>
              <w:r w:rsidRPr="00A42E46">
                <w:rPr>
                  <w:rFonts w:cs="Times New Roman"/>
                  <w:b/>
                  <w:szCs w:val="24"/>
                </w:rPr>
                <w:t xml:space="preserve">oteikumi par </w:t>
              </w:r>
              <w:r w:rsidR="002A6E79">
                <w:rPr>
                  <w:rFonts w:cs="Times New Roman"/>
                  <w:b/>
                  <w:szCs w:val="24"/>
                </w:rPr>
                <w:t xml:space="preserve">veidlapas paraugu </w:t>
              </w:r>
              <w:r w:rsidR="004D7777">
                <w:rPr>
                  <w:rFonts w:cs="Times New Roman"/>
                  <w:b/>
                  <w:szCs w:val="24"/>
                </w:rPr>
                <w:t xml:space="preserve">informācijas sniegšanai </w:t>
              </w:r>
              <w:r w:rsidRPr="00A42E46">
                <w:rPr>
                  <w:rFonts w:cs="Times New Roman"/>
                  <w:b/>
                  <w:szCs w:val="24"/>
                </w:rPr>
                <w:t xml:space="preserve">noguldītājam </w:t>
              </w:r>
            </w:p>
          </w:sdtContent>
        </w:sdt>
      </w:sdtContent>
    </w:sdt>
    <w:p w14:paraId="51B324CE" w14:textId="77777777" w:rsidR="00C2284A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9D2090A0296446AA81338AA8DFC26F9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7FEF0E2847AB467F9BE1B99FAED0F433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4B1AC723C7834459A297931942B68773"/>
        </w:placeholder>
      </w:sdtPr>
      <w:sdtContent>
        <w:p w14:paraId="6097D8BD" w14:textId="27436344" w:rsidR="00301089" w:rsidRDefault="00C24F61" w:rsidP="00DB385B">
          <w:pPr>
            <w:jc w:val="right"/>
            <w:rPr>
              <w:rFonts w:cs="Times New Roman"/>
              <w:szCs w:val="24"/>
            </w:rPr>
          </w:pPr>
          <w:r w:rsidRPr="00C24F61">
            <w:rPr>
              <w:rFonts w:cs="Times New Roman"/>
              <w:szCs w:val="24"/>
            </w:rPr>
            <w:t>Noguldījumu garantiju likuma</w:t>
          </w:r>
        </w:p>
      </w:sdtContent>
    </w:sdt>
    <w:p w14:paraId="3C62A5B3" w14:textId="3E5073FA" w:rsidR="00301089" w:rsidRDefault="00C24F61" w:rsidP="00DB385B">
      <w:pPr>
        <w:jc w:val="right"/>
        <w:rPr>
          <w:rFonts w:cs="Times New Roman"/>
          <w:szCs w:val="24"/>
        </w:rPr>
      </w:pPr>
      <w:r w:rsidRPr="00C24F61">
        <w:rPr>
          <w:rFonts w:cs="Times New Roman"/>
          <w:szCs w:val="24"/>
        </w:rPr>
        <w:t>28.</w:t>
      </w:r>
      <w:r w:rsidR="00716916">
        <w:rPr>
          <w:rFonts w:cs="Times New Roman"/>
          <w:szCs w:val="24"/>
        </w:rPr>
        <w:t> </w:t>
      </w:r>
      <w:r w:rsidRPr="00C24F61">
        <w:rPr>
          <w:rFonts w:cs="Times New Roman"/>
          <w:szCs w:val="24"/>
        </w:rPr>
        <w:t>panta otro daļu</w:t>
      </w:r>
    </w:p>
    <w:p w14:paraId="6C01C5FD" w14:textId="1DDC243B" w:rsidR="00885A72" w:rsidRPr="00885A72" w:rsidRDefault="00F529CA" w:rsidP="00885A72">
      <w:pPr>
        <w:pStyle w:val="NApunkts1"/>
        <w:rPr>
          <w:bCs/>
        </w:rPr>
      </w:pPr>
      <w:r w:rsidRPr="00F529CA">
        <w:rPr>
          <w:bCs/>
        </w:rPr>
        <w:t>Noteikumi nosaka veidlapas paraugu (pielikums) Noguldījumu garantiju likuma 28.</w:t>
      </w:r>
      <w:r w:rsidR="007D64EA">
        <w:rPr>
          <w:bCs/>
        </w:rPr>
        <w:t> </w:t>
      </w:r>
      <w:r w:rsidRPr="00F529CA">
        <w:rPr>
          <w:bCs/>
        </w:rPr>
        <w:t>panta pirmajā daļā minētās informācijas sniegšanai un vispārējās informācijas sniegšanai par noguldījumiem,</w:t>
      </w:r>
      <w:r w:rsidR="006300F2">
        <w:rPr>
          <w:bCs/>
        </w:rPr>
        <w:t xml:space="preserve"> </w:t>
      </w:r>
      <w:r w:rsidRPr="00F529CA">
        <w:rPr>
          <w:bCs/>
        </w:rPr>
        <w:t>par kuriem saskaņā ar Noguldījumu garantiju likuma 23.</w:t>
      </w:r>
      <w:r w:rsidR="007D64EA">
        <w:rPr>
          <w:bCs/>
        </w:rPr>
        <w:t> </w:t>
      </w:r>
      <w:r w:rsidRPr="00F529CA">
        <w:rPr>
          <w:bCs/>
        </w:rPr>
        <w:t>pantu garantēto atlīdzību neizmaksā.</w:t>
      </w:r>
    </w:p>
    <w:p w14:paraId="0F7D8C0E" w14:textId="06C970C8" w:rsidR="001808BB" w:rsidRPr="00E06255" w:rsidRDefault="00885A72" w:rsidP="00E06255">
      <w:pPr>
        <w:pStyle w:val="NApunkts1"/>
        <w:rPr>
          <w:bCs/>
        </w:rPr>
      </w:pPr>
      <w:r w:rsidRPr="00885A72">
        <w:rPr>
          <w:bCs/>
        </w:rPr>
        <w:t>A</w:t>
      </w:r>
      <w:r w:rsidR="008810D0">
        <w:rPr>
          <w:bCs/>
        </w:rPr>
        <w:t>tzīt par</w:t>
      </w:r>
      <w:r w:rsidRPr="00885A72">
        <w:rPr>
          <w:bCs/>
        </w:rPr>
        <w:t xml:space="preserve"> </w:t>
      </w:r>
      <w:r w:rsidR="008810D0">
        <w:rPr>
          <w:bCs/>
        </w:rPr>
        <w:t>spēku zaudējušiem</w:t>
      </w:r>
      <w:r w:rsidRPr="00885A72">
        <w:rPr>
          <w:bCs/>
        </w:rPr>
        <w:t xml:space="preserve"> Finanšu un kapitāla tirgus komisijas 20</w:t>
      </w:r>
      <w:r w:rsidR="009727C4">
        <w:rPr>
          <w:bCs/>
        </w:rPr>
        <w:t>20</w:t>
      </w:r>
      <w:r w:rsidRPr="00885A72">
        <w:rPr>
          <w:bCs/>
        </w:rPr>
        <w:t>.</w:t>
      </w:r>
      <w:r w:rsidR="008810D0">
        <w:rPr>
          <w:bCs/>
        </w:rPr>
        <w:t> </w:t>
      </w:r>
      <w:r w:rsidRPr="00885A72">
        <w:rPr>
          <w:bCs/>
        </w:rPr>
        <w:t xml:space="preserve">gada </w:t>
      </w:r>
      <w:r w:rsidR="009727C4">
        <w:rPr>
          <w:bCs/>
        </w:rPr>
        <w:t>29</w:t>
      </w:r>
      <w:r w:rsidRPr="00885A72">
        <w:rPr>
          <w:bCs/>
        </w:rPr>
        <w:t>.</w:t>
      </w:r>
      <w:r w:rsidR="008810D0">
        <w:rPr>
          <w:bCs/>
        </w:rPr>
        <w:t> </w:t>
      </w:r>
      <w:r w:rsidR="009727C4">
        <w:rPr>
          <w:bCs/>
        </w:rPr>
        <w:t>septem</w:t>
      </w:r>
      <w:r w:rsidRPr="00885A72">
        <w:rPr>
          <w:bCs/>
        </w:rPr>
        <w:t>bra normatīv</w:t>
      </w:r>
      <w:r w:rsidR="0049784D">
        <w:rPr>
          <w:bCs/>
        </w:rPr>
        <w:t>os</w:t>
      </w:r>
      <w:r w:rsidRPr="00885A72">
        <w:rPr>
          <w:bCs/>
        </w:rPr>
        <w:t xml:space="preserve"> noteikum</w:t>
      </w:r>
      <w:r w:rsidR="0049784D">
        <w:rPr>
          <w:bCs/>
        </w:rPr>
        <w:t>us</w:t>
      </w:r>
      <w:r w:rsidRPr="00885A72">
        <w:rPr>
          <w:bCs/>
        </w:rPr>
        <w:t xml:space="preserve"> Nr.</w:t>
      </w:r>
      <w:r w:rsidR="008810D0">
        <w:rPr>
          <w:bCs/>
        </w:rPr>
        <w:t> </w:t>
      </w:r>
      <w:r w:rsidRPr="00885A72">
        <w:rPr>
          <w:bCs/>
        </w:rPr>
        <w:t>1</w:t>
      </w:r>
      <w:r w:rsidR="009727C4">
        <w:rPr>
          <w:bCs/>
        </w:rPr>
        <w:t>80</w:t>
      </w:r>
      <w:r w:rsidRPr="00885A72">
        <w:rPr>
          <w:bCs/>
        </w:rPr>
        <w:t xml:space="preserve"> "Normatīvie noteikumi par noguldītājam sniedzamo informāciju"</w:t>
      </w:r>
      <w:r w:rsidR="009727C4">
        <w:rPr>
          <w:bCs/>
        </w:rPr>
        <w:t xml:space="preserve"> </w:t>
      </w:r>
      <w:r w:rsidR="009727C4" w:rsidRPr="009727C4">
        <w:rPr>
          <w:bCs/>
        </w:rPr>
        <w:t>(Latvijas Vēstnesis, 2020, Nr.</w:t>
      </w:r>
      <w:r w:rsidR="008810D0">
        <w:rPr>
          <w:bCs/>
        </w:rPr>
        <w:t> </w:t>
      </w:r>
      <w:r w:rsidR="009727C4">
        <w:rPr>
          <w:bCs/>
        </w:rPr>
        <w:t>194</w:t>
      </w:r>
      <w:r w:rsidR="009727C4" w:rsidRPr="009727C4">
        <w:rPr>
          <w:bCs/>
        </w:rPr>
        <w:t>)</w:t>
      </w:r>
      <w:r w:rsidRPr="00885A72">
        <w:rPr>
          <w:bCs/>
        </w:rPr>
        <w:t>.</w:t>
      </w:r>
    </w:p>
    <w:p w14:paraId="0B0A5326" w14:textId="77777777" w:rsidR="006600DE" w:rsidRPr="001808BB" w:rsidRDefault="006600DE" w:rsidP="001808BB">
      <w:pPr>
        <w:pStyle w:val="NApunkts1"/>
        <w:numPr>
          <w:ilvl w:val="0"/>
          <w:numId w:val="0"/>
        </w:numPr>
        <w:rPr>
          <w:bCs/>
        </w:rPr>
      </w:pPr>
    </w:p>
    <w:p w14:paraId="18966334" w14:textId="27199A3F" w:rsidR="009727C4" w:rsidRPr="008D721D" w:rsidRDefault="009727C4" w:rsidP="00184377">
      <w:pPr>
        <w:pStyle w:val="NApunkts1"/>
        <w:numPr>
          <w:ilvl w:val="0"/>
          <w:numId w:val="0"/>
        </w:numPr>
        <w:jc w:val="left"/>
        <w:rPr>
          <w:b/>
          <w:sz w:val="20"/>
          <w:szCs w:val="20"/>
        </w:rPr>
      </w:pPr>
      <w:r w:rsidRPr="008D721D">
        <w:rPr>
          <w:b/>
          <w:sz w:val="20"/>
          <w:szCs w:val="20"/>
        </w:rPr>
        <w:t xml:space="preserve">ŠIS DOKUMENTS IR ELEKTRONISKI PARAKSTĪTS AR DROŠU ELEKTRONISKO </w:t>
      </w:r>
      <w:r w:rsidR="00184377">
        <w:rPr>
          <w:b/>
          <w:sz w:val="20"/>
          <w:szCs w:val="20"/>
        </w:rPr>
        <w:br/>
      </w:r>
      <w:r w:rsidRPr="008D721D">
        <w:rPr>
          <w:b/>
          <w:sz w:val="20"/>
          <w:szCs w:val="20"/>
        </w:rPr>
        <w:t>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792"/>
      </w:tblGrid>
      <w:tr w:rsidR="00716916" w14:paraId="701F6C2F" w14:textId="77777777" w:rsidTr="00092D4F">
        <w:tc>
          <w:tcPr>
            <w:tcW w:w="4928" w:type="dxa"/>
            <w:vAlign w:val="bottom"/>
          </w:tcPr>
          <w:p w14:paraId="58EEF9CB" w14:textId="77777777" w:rsidR="00716916" w:rsidRDefault="00000000" w:rsidP="00716916">
            <w:pPr>
              <w:pStyle w:val="Bezatstarpm"/>
              <w:spacing w:before="480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1666357439"/>
                <w:placeholder>
                  <w:docPart w:val="8F458A0A481145CF9EB853FBC0898BC9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716916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640770598"/>
            <w:placeholder>
              <w:docPart w:val="36B1731D21164495BE2887728D459565"/>
            </w:placeholder>
          </w:sdtPr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-800080182"/>
                <w:placeholder>
                  <w:docPart w:val="64C622B84202463EBB0FE2C460B48B18"/>
                </w:placeholder>
              </w:sdtPr>
              <w:sdtContent>
                <w:tc>
                  <w:tcPr>
                    <w:tcW w:w="3792" w:type="dxa"/>
                    <w:vAlign w:val="bottom"/>
                  </w:tcPr>
                  <w:p w14:paraId="62F1C500" w14:textId="79110385" w:rsidR="00716916" w:rsidRDefault="00716916" w:rsidP="00716916">
                    <w:pPr>
                      <w:pStyle w:val="Bezatstarpm"/>
                      <w:spacing w:before="480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t>M.</w:t>
                    </w:r>
                    <w:r w:rsidR="00184377">
                      <w:t> </w:t>
                    </w:r>
                    <w:r>
                      <w:t>Kazāks</w:t>
                    </w:r>
                  </w:p>
                </w:tc>
              </w:sdtContent>
            </w:sdt>
          </w:sdtContent>
        </w:sdt>
      </w:tr>
    </w:tbl>
    <w:p w14:paraId="09FC4958" w14:textId="400D970C" w:rsidR="00B266B6" w:rsidRPr="00B266B6" w:rsidRDefault="00E33781" w:rsidP="00BB7E15">
      <w:pPr>
        <w:pStyle w:val="NApunkts1"/>
        <w:numPr>
          <w:ilvl w:val="0"/>
          <w:numId w:val="0"/>
        </w:numPr>
        <w:spacing w:before="0"/>
        <w:ind w:left="7200"/>
        <w:jc w:val="right"/>
        <w:rPr>
          <w:bCs/>
        </w:rPr>
      </w:pPr>
      <w:r>
        <w:rPr>
          <w:bCs/>
        </w:rPr>
        <w:br w:type="page"/>
      </w:r>
      <w:r w:rsidR="00B266B6" w:rsidRPr="00B266B6">
        <w:rPr>
          <w:bCs/>
        </w:rPr>
        <w:lastRenderedPageBreak/>
        <w:t>Pielikums</w:t>
      </w:r>
    </w:p>
    <w:p w14:paraId="2E96667F" w14:textId="2F2F6EDF" w:rsidR="00B266B6" w:rsidRPr="00B266B6" w:rsidRDefault="00B266B6" w:rsidP="00B266B6">
      <w:pPr>
        <w:pStyle w:val="NApunkts1"/>
        <w:numPr>
          <w:ilvl w:val="0"/>
          <w:numId w:val="0"/>
        </w:numPr>
        <w:spacing w:before="0"/>
        <w:ind w:left="4679"/>
        <w:jc w:val="right"/>
        <w:rPr>
          <w:bCs/>
        </w:rPr>
      </w:pPr>
      <w:r>
        <w:rPr>
          <w:bCs/>
        </w:rPr>
        <w:t>Latvijas Bankas [datums]</w:t>
      </w:r>
    </w:p>
    <w:p w14:paraId="273C4B18" w14:textId="568D7B35" w:rsidR="00B266B6" w:rsidRDefault="00B266B6" w:rsidP="00B266B6">
      <w:pPr>
        <w:pStyle w:val="NApunkts1"/>
        <w:numPr>
          <w:ilvl w:val="0"/>
          <w:numId w:val="0"/>
        </w:numPr>
        <w:spacing w:before="0"/>
        <w:jc w:val="right"/>
        <w:rPr>
          <w:bCs/>
        </w:rPr>
      </w:pPr>
      <w:r w:rsidRPr="00B266B6">
        <w:rPr>
          <w:bCs/>
        </w:rPr>
        <w:t>noteikumiem Nr.</w:t>
      </w:r>
      <w:r w:rsidR="00716916">
        <w:rPr>
          <w:bCs/>
        </w:rPr>
        <w:t> </w:t>
      </w:r>
      <w:r>
        <w:rPr>
          <w:bCs/>
        </w:rPr>
        <w:t>[        ]</w:t>
      </w:r>
    </w:p>
    <w:p w14:paraId="31D11FF2" w14:textId="0DF390E3" w:rsidR="00B266B6" w:rsidRDefault="00B266B6" w:rsidP="00B266B6">
      <w:pPr>
        <w:pStyle w:val="NApunkts1"/>
        <w:numPr>
          <w:ilvl w:val="0"/>
          <w:numId w:val="0"/>
        </w:numPr>
        <w:rPr>
          <w:bCs/>
        </w:rPr>
      </w:pPr>
    </w:p>
    <w:tbl>
      <w:tblPr>
        <w:tblW w:w="5010" w:type="pct"/>
        <w:tblInd w:w="-8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9"/>
        <w:gridCol w:w="6271"/>
      </w:tblGrid>
      <w:tr w:rsidR="0054149E" w:rsidRPr="0054149E" w14:paraId="63402F84" w14:textId="77777777" w:rsidTr="00BB7E15">
        <w:tc>
          <w:tcPr>
            <w:tcW w:w="50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2F2F2"/>
            <w:vAlign w:val="center"/>
            <w:hideMark/>
          </w:tcPr>
          <w:p w14:paraId="2108A21E" w14:textId="77092E67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/>
                <w:bCs/>
              </w:rPr>
            </w:pPr>
            <w:r w:rsidRPr="0054149E">
              <w:rPr>
                <w:b/>
                <w:bCs/>
              </w:rPr>
              <w:t>Pamatinformācija</w:t>
            </w:r>
            <w:r w:rsidRPr="0054149E">
              <w:rPr>
                <w:b/>
                <w:bCs/>
              </w:rPr>
              <w:br/>
              <w:t>par</w:t>
            </w:r>
            <w:r w:rsidR="00146B8F">
              <w:rPr>
                <w:b/>
                <w:bCs/>
              </w:rPr>
              <w:t xml:space="preserve"> </w:t>
            </w:r>
            <w:r w:rsidRPr="0054149E">
              <w:rPr>
                <w:b/>
                <w:bCs/>
              </w:rPr>
              <w:t>noguldījum</w:t>
            </w:r>
            <w:r w:rsidR="00146B8F">
              <w:rPr>
                <w:b/>
                <w:bCs/>
              </w:rPr>
              <w:t>u</w:t>
            </w:r>
            <w:r w:rsidRPr="0054149E">
              <w:rPr>
                <w:b/>
                <w:bCs/>
              </w:rPr>
              <w:t xml:space="preserve"> aizsardzību</w:t>
            </w:r>
          </w:p>
        </w:tc>
      </w:tr>
      <w:tr w:rsidR="0054149E" w:rsidRPr="0054149E" w14:paraId="0E076893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6BB3E5" w14:textId="55701E73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Garant</w:t>
            </w:r>
            <w:r w:rsidR="00F13CBA">
              <w:rPr>
                <w:bCs/>
              </w:rPr>
              <w:t>ēt</w:t>
            </w:r>
            <w:r w:rsidR="00044094">
              <w:rPr>
                <w:bCs/>
              </w:rPr>
              <w:t>ā atlīdzība</w:t>
            </w:r>
            <w:r w:rsidRPr="0054149E">
              <w:rPr>
                <w:bCs/>
              </w:rPr>
              <w:t xml:space="preserve"> </w:t>
            </w:r>
            <w:r w:rsidR="00873CB5">
              <w:rPr>
                <w:bCs/>
              </w:rPr>
              <w:t xml:space="preserve">par </w:t>
            </w:r>
            <w:r w:rsidRPr="0054149E">
              <w:rPr>
                <w:bCs/>
              </w:rPr>
              <w:t xml:space="preserve">noguldījumiem kredītiestādē vai </w:t>
            </w:r>
            <w:proofErr w:type="spellStart"/>
            <w:r w:rsidRPr="0054149E">
              <w:rPr>
                <w:bCs/>
              </w:rPr>
              <w:t>krājaizdevu</w:t>
            </w:r>
            <w:proofErr w:type="spellEnd"/>
            <w:r w:rsidRPr="0054149E">
              <w:rPr>
                <w:bCs/>
              </w:rPr>
              <w:t xml:space="preserve"> sabiedrībā</w:t>
            </w:r>
            <w:r w:rsidR="00972A3D">
              <w:rPr>
                <w:bCs/>
              </w:rPr>
              <w:t xml:space="preserve"> (noguldījumu piesaistītājā)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E122F9" w14:textId="1F879621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54149E">
              <w:rPr>
                <w:bCs/>
              </w:rPr>
              <w:t xml:space="preserve">Jūsu noguldījumu </w:t>
            </w:r>
            <w:r w:rsidR="00B46517">
              <w:rPr>
                <w:bCs/>
              </w:rPr>
              <w:t>aizsardzību</w:t>
            </w:r>
            <w:r w:rsidR="00B46517" w:rsidRPr="0054149E">
              <w:rPr>
                <w:bCs/>
              </w:rPr>
              <w:t xml:space="preserve"> </w:t>
            </w:r>
            <w:r w:rsidRPr="0054149E">
              <w:rPr>
                <w:bCs/>
              </w:rPr>
              <w:t xml:space="preserve">garantē </w:t>
            </w:r>
            <w:r w:rsidRPr="00CF49CA">
              <w:rPr>
                <w:bCs/>
              </w:rPr>
              <w:t>noguldījumu garantiju sistēma</w:t>
            </w:r>
            <w:r w:rsidRPr="0054149E">
              <w:rPr>
                <w:bCs/>
              </w:rPr>
              <w:t>, kas izveidota saskaņā ar</w:t>
            </w:r>
            <w:r w:rsidR="00044094">
              <w:rPr>
                <w:bCs/>
              </w:rPr>
              <w:t xml:space="preserve"> Noguldījumu garantiju likumu.</w:t>
            </w:r>
            <w:r w:rsidRPr="0054149E">
              <w:rPr>
                <w:bCs/>
              </w:rPr>
              <w:t xml:space="preserve"> Ja iestātos noguldījumu nepieejamība kredītiestādē vai </w:t>
            </w:r>
            <w:proofErr w:type="spellStart"/>
            <w:r w:rsidRPr="0054149E">
              <w:rPr>
                <w:bCs/>
              </w:rPr>
              <w:t>krājaizdevu</w:t>
            </w:r>
            <w:proofErr w:type="spellEnd"/>
            <w:r w:rsidRPr="0054149E">
              <w:rPr>
                <w:bCs/>
              </w:rPr>
              <w:t xml:space="preserve"> sabiedrībā</w:t>
            </w:r>
            <w:r w:rsidR="00972A3D">
              <w:rPr>
                <w:bCs/>
              </w:rPr>
              <w:t xml:space="preserve"> </w:t>
            </w:r>
            <w:r w:rsidR="00972A3D" w:rsidRPr="00972A3D">
              <w:rPr>
                <w:bCs/>
              </w:rPr>
              <w:t>(noguldījumu piesaistītājā)</w:t>
            </w:r>
            <w:r w:rsidRPr="0054149E">
              <w:rPr>
                <w:bCs/>
              </w:rPr>
              <w:t>, Jūsu noguldījumus līdz 100 000 </w:t>
            </w:r>
            <w:proofErr w:type="spellStart"/>
            <w:r w:rsidRPr="0054149E">
              <w:rPr>
                <w:bCs/>
                <w:i/>
                <w:iCs/>
              </w:rPr>
              <w:t>euro</w:t>
            </w:r>
            <w:proofErr w:type="spellEnd"/>
            <w:r w:rsidRPr="0054149E">
              <w:rPr>
                <w:bCs/>
              </w:rPr>
              <w:t xml:space="preserve"> atmaksātu noguldījumu garantiju fonds.</w:t>
            </w:r>
          </w:p>
        </w:tc>
      </w:tr>
      <w:tr w:rsidR="0054149E" w:rsidRPr="0054149E" w14:paraId="0A3F6584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D439922" w14:textId="560EF37F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Maksimālais garantētās atlīdzības apmērs un noguldījumi, par kuriem neizmaksā</w:t>
            </w:r>
            <w:r w:rsidR="00146B8F">
              <w:rPr>
                <w:bCs/>
              </w:rPr>
              <w:t xml:space="preserve"> </w:t>
            </w:r>
            <w:r w:rsidRPr="0054149E">
              <w:rPr>
                <w:bCs/>
              </w:rPr>
              <w:t xml:space="preserve">garantēto atlīdzību 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5567D00" w14:textId="69351789" w:rsid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/>
              <w:rPr>
                <w:bCs/>
              </w:rPr>
            </w:pPr>
            <w:r w:rsidRPr="0054149E">
              <w:rPr>
                <w:bCs/>
              </w:rPr>
              <w:t>Maksimālais garantētās atlīdzības apmērs ir 100 000</w:t>
            </w:r>
            <w:r w:rsidR="008810D0">
              <w:rPr>
                <w:bCs/>
              </w:rPr>
              <w:t> </w:t>
            </w:r>
            <w:proofErr w:type="spellStart"/>
            <w:r w:rsidRPr="0054149E">
              <w:rPr>
                <w:bCs/>
                <w:i/>
                <w:iCs/>
              </w:rPr>
              <w:t>euro</w:t>
            </w:r>
            <w:proofErr w:type="spellEnd"/>
            <w:r w:rsidRPr="0054149E">
              <w:rPr>
                <w:bCs/>
              </w:rPr>
              <w:t xml:space="preserve"> katram kredītiestādes vai </w:t>
            </w:r>
            <w:proofErr w:type="spellStart"/>
            <w:r w:rsidRPr="0054149E">
              <w:rPr>
                <w:bCs/>
              </w:rPr>
              <w:t>krājaizdevu</w:t>
            </w:r>
            <w:proofErr w:type="spellEnd"/>
            <w:r w:rsidRPr="0054149E">
              <w:rPr>
                <w:bCs/>
              </w:rPr>
              <w:t xml:space="preserve"> sabiedrības </w:t>
            </w:r>
            <w:r w:rsidR="003D7B2F" w:rsidRPr="003D7B2F">
              <w:rPr>
                <w:bCs/>
              </w:rPr>
              <w:t>(noguldījumu piesaistītāj</w:t>
            </w:r>
            <w:r w:rsidR="003D7B2F">
              <w:rPr>
                <w:bCs/>
              </w:rPr>
              <w:t>a</w:t>
            </w:r>
            <w:r w:rsidR="003D7B2F" w:rsidRPr="003D7B2F">
              <w:rPr>
                <w:bCs/>
              </w:rPr>
              <w:t>)</w:t>
            </w:r>
            <w:r w:rsidR="003D7B2F">
              <w:rPr>
                <w:bCs/>
              </w:rPr>
              <w:t xml:space="preserve"> </w:t>
            </w:r>
            <w:r w:rsidRPr="0054149E">
              <w:rPr>
                <w:bCs/>
              </w:rPr>
              <w:t xml:space="preserve">noguldītājam. Garantētās atlīdzības izmaksa tiek veikta </w:t>
            </w:r>
            <w:proofErr w:type="spellStart"/>
            <w:r w:rsidRPr="004407F1">
              <w:rPr>
                <w:bCs/>
                <w:i/>
                <w:iCs/>
              </w:rPr>
              <w:t>euro</w:t>
            </w:r>
            <w:proofErr w:type="spellEnd"/>
            <w:r w:rsidRPr="004407F1">
              <w:rPr>
                <w:bCs/>
              </w:rPr>
              <w:t>.</w:t>
            </w:r>
            <w:r w:rsidRPr="0054149E">
              <w:rPr>
                <w:bCs/>
              </w:rPr>
              <w:t xml:space="preserve"> Garantētā atlīdzība </w:t>
            </w:r>
            <w:r w:rsidR="00873CB5">
              <w:rPr>
                <w:bCs/>
              </w:rPr>
              <w:t xml:space="preserve">saskaņā ar </w:t>
            </w:r>
            <w:r w:rsidR="00873CB5" w:rsidRPr="00044094">
              <w:rPr>
                <w:bCs/>
              </w:rPr>
              <w:t>Noguldījumu garantiju likum</w:t>
            </w:r>
            <w:r w:rsidR="00873CB5">
              <w:rPr>
                <w:bCs/>
              </w:rPr>
              <w:t>a 23.</w:t>
            </w:r>
            <w:r w:rsidR="00873CB5" w:rsidRPr="0054149E">
              <w:rPr>
                <w:bCs/>
              </w:rPr>
              <w:t> pant</w:t>
            </w:r>
            <w:r w:rsidR="00873CB5">
              <w:rPr>
                <w:bCs/>
              </w:rPr>
              <w:t>u</w:t>
            </w:r>
            <w:r w:rsidR="00873CB5" w:rsidRPr="0054149E">
              <w:rPr>
                <w:bCs/>
              </w:rPr>
              <w:t xml:space="preserve"> </w:t>
            </w:r>
            <w:r w:rsidR="00B46517" w:rsidRPr="0054149E">
              <w:rPr>
                <w:bCs/>
              </w:rPr>
              <w:t xml:space="preserve">netiek </w:t>
            </w:r>
            <w:r w:rsidRPr="0054149E">
              <w:rPr>
                <w:bCs/>
              </w:rPr>
              <w:t>izmaks</w:t>
            </w:r>
            <w:r w:rsidR="00B46517">
              <w:rPr>
                <w:bCs/>
              </w:rPr>
              <w:t>āta</w:t>
            </w:r>
            <w:r w:rsidRPr="0054149E">
              <w:rPr>
                <w:bCs/>
              </w:rPr>
              <w:t xml:space="preserve"> par</w:t>
            </w:r>
            <w:r w:rsidR="008810D0">
              <w:rPr>
                <w:bCs/>
              </w:rPr>
              <w:t xml:space="preserve"> </w:t>
            </w:r>
            <w:r w:rsidRPr="0054149E">
              <w:rPr>
                <w:bCs/>
              </w:rPr>
              <w:t>šādiem</w:t>
            </w:r>
            <w:r w:rsidR="00044094">
              <w:t xml:space="preserve"> </w:t>
            </w:r>
            <w:r w:rsidRPr="0054149E">
              <w:rPr>
                <w:bCs/>
              </w:rPr>
              <w:t>noguldījumiem:</w:t>
            </w:r>
          </w:p>
          <w:p w14:paraId="1722C8D4" w14:textId="06787C34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1)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 xml:space="preserve">kredītiestāžu un </w:t>
            </w:r>
            <w:proofErr w:type="spellStart"/>
            <w:r w:rsidRPr="00044094">
              <w:rPr>
                <w:bCs/>
              </w:rPr>
              <w:t>krājaizdevu</w:t>
            </w:r>
            <w:proofErr w:type="spellEnd"/>
            <w:r w:rsidRPr="00044094">
              <w:rPr>
                <w:bCs/>
              </w:rPr>
              <w:t xml:space="preserve"> sabiedrību noguldījumiem;</w:t>
            </w:r>
          </w:p>
          <w:p w14:paraId="265B98EF" w14:textId="77777777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2) finanšu iestāžu noguldījumiem;</w:t>
            </w:r>
          </w:p>
          <w:p w14:paraId="5A0187A0" w14:textId="5FAA841B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3)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tādu pašvaldību, kuru gada budžets pārsniedz 500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000</w:t>
            </w:r>
            <w:r w:rsidR="008810D0">
              <w:rPr>
                <w:bCs/>
              </w:rPr>
              <w:t> </w:t>
            </w:r>
            <w:proofErr w:type="spellStart"/>
            <w:r w:rsidRPr="00FC7559">
              <w:rPr>
                <w:bCs/>
                <w:i/>
                <w:iCs/>
              </w:rPr>
              <w:t>euro</w:t>
            </w:r>
            <w:proofErr w:type="spellEnd"/>
            <w:r w:rsidRPr="00044094">
              <w:rPr>
                <w:bCs/>
              </w:rPr>
              <w:t>, un tiešās pārvaldes iestāžu noguldījumiem;</w:t>
            </w:r>
          </w:p>
          <w:p w14:paraId="78712578" w14:textId="2B9AF7B2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4)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noguldījumiem, kas saistīti ar noziedzīgi iegūtu līdzekļu legalizāciju vai atzīstami par noziedzīgi iegūtiem līdzekļiem, ja stājies spēkā notiesājošs tiesas spriedums;</w:t>
            </w:r>
          </w:p>
          <w:p w14:paraId="43F23321" w14:textId="79D73668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5)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 xml:space="preserve">noguldījumiem, kuru noguldītājs kā klients nav identificēts atbilstoši </w:t>
            </w:r>
            <w:r w:rsidR="00136FF0" w:rsidRPr="00136FF0">
              <w:rPr>
                <w:bCs/>
              </w:rPr>
              <w:t xml:space="preserve">Noziedzīgi iegūtu līdzekļu legalizācijas un terorisma un </w:t>
            </w:r>
            <w:proofErr w:type="spellStart"/>
            <w:r w:rsidR="00136FF0" w:rsidRPr="00136FF0">
              <w:rPr>
                <w:bCs/>
              </w:rPr>
              <w:t>proliferācijas</w:t>
            </w:r>
            <w:proofErr w:type="spellEnd"/>
            <w:r w:rsidR="00136FF0" w:rsidRPr="00136FF0">
              <w:rPr>
                <w:bCs/>
              </w:rPr>
              <w:t xml:space="preserve"> finansēšanas novēršanas likum</w:t>
            </w:r>
            <w:r w:rsidR="00136FF0">
              <w:rPr>
                <w:bCs/>
              </w:rPr>
              <w:t xml:space="preserve">a </w:t>
            </w:r>
            <w:r w:rsidRPr="00044094">
              <w:rPr>
                <w:bCs/>
              </w:rPr>
              <w:t>noteikumiem;</w:t>
            </w:r>
          </w:p>
          <w:p w14:paraId="48F59371" w14:textId="27348D55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6)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noguldījumiem, kas saskaņā ar Eiropas Parlamenta un Padomes 2013.</w:t>
            </w:r>
            <w:r w:rsidR="00716916">
              <w:rPr>
                <w:bCs/>
              </w:rPr>
              <w:t> </w:t>
            </w:r>
            <w:r w:rsidRPr="00044094">
              <w:rPr>
                <w:bCs/>
              </w:rPr>
              <w:t>gada 26.</w:t>
            </w:r>
            <w:r w:rsidR="00716916">
              <w:rPr>
                <w:bCs/>
              </w:rPr>
              <w:t> </w:t>
            </w:r>
            <w:r w:rsidRPr="00044094">
              <w:rPr>
                <w:bCs/>
              </w:rPr>
              <w:t>jūnija regulas Nr.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 xml:space="preserve">575/2013 par </w:t>
            </w:r>
            <w:proofErr w:type="spellStart"/>
            <w:r w:rsidRPr="00044094">
              <w:rPr>
                <w:bCs/>
              </w:rPr>
              <w:t>prudenciālajām</w:t>
            </w:r>
            <w:proofErr w:type="spellEnd"/>
            <w:r w:rsidRPr="00044094">
              <w:rPr>
                <w:bCs/>
              </w:rPr>
              <w:t xml:space="preserve"> prasībām attiecībā uz kredītiestādēm</w:t>
            </w:r>
            <w:r w:rsidR="00184377">
              <w:rPr>
                <w:bCs/>
              </w:rPr>
              <w:t>,</w:t>
            </w:r>
            <w:r w:rsidRPr="00044094">
              <w:rPr>
                <w:bCs/>
              </w:rPr>
              <w:t xml:space="preserve"> un ar ko groza regulu (ES) Nr.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 xml:space="preserve">648/2012 </w:t>
            </w:r>
            <w:r w:rsidR="00FB4017">
              <w:rPr>
                <w:bCs/>
              </w:rPr>
              <w:t xml:space="preserve">51. un </w:t>
            </w:r>
            <w:r w:rsidRPr="00044094">
              <w:rPr>
                <w:bCs/>
              </w:rPr>
              <w:t>62.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pantu veido noguldījumu piesaistītāja pašu kapitālu, tostarp tā amortizēto daļu saskaņā ar minētās regulas 64.</w:t>
            </w:r>
            <w:r w:rsidR="00F02423">
              <w:rPr>
                <w:bCs/>
              </w:rPr>
              <w:t> </w:t>
            </w:r>
            <w:r w:rsidRPr="00044094">
              <w:rPr>
                <w:bCs/>
              </w:rPr>
              <w:t>pantu;</w:t>
            </w:r>
          </w:p>
          <w:p w14:paraId="21870C58" w14:textId="4B004551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7)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apdrošināšanas un pārapdrošināšanas sabiedrību noguldījumiem;</w:t>
            </w:r>
          </w:p>
          <w:p w14:paraId="45C86DD6" w14:textId="64700439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8)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ieguldījumu brokeru sabiedrību noguldījumiem;</w:t>
            </w:r>
          </w:p>
          <w:p w14:paraId="3BC572F2" w14:textId="385EE9B5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9)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ieguldījumu pārvaldes sabiedrību noguldījumiem;</w:t>
            </w:r>
          </w:p>
          <w:p w14:paraId="0931D543" w14:textId="2C3886EB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10)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privāto pensiju fondu noguldījumiem;</w:t>
            </w:r>
          </w:p>
          <w:p w14:paraId="0167D2FD" w14:textId="0F9CA7C3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11)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alternatīvo ieguldījumu fondu pārvaldnieku noguldījumiem;</w:t>
            </w:r>
          </w:p>
          <w:p w14:paraId="6BAE716A" w14:textId="07DC94C6" w:rsidR="00044094" w:rsidRPr="00044094" w:rsidRDefault="00044094" w:rsidP="00044094">
            <w:pPr>
              <w:pStyle w:val="NApunkts1"/>
              <w:numPr>
                <w:ilvl w:val="0"/>
                <w:numId w:val="0"/>
              </w:numPr>
              <w:spacing w:before="0"/>
              <w:rPr>
                <w:bCs/>
              </w:rPr>
            </w:pPr>
            <w:r w:rsidRPr="00044094">
              <w:rPr>
                <w:bCs/>
              </w:rPr>
              <w:t>12)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kredītiestādes emitētiem parāda vērtspapīriem, kā arī saistībām, kas rodas no tās vekseļiem, tai skaitā pārvedu vekseļiem;</w:t>
            </w:r>
          </w:p>
          <w:p w14:paraId="3CFB2822" w14:textId="32D31831" w:rsidR="0054149E" w:rsidRPr="0054149E" w:rsidRDefault="00044094" w:rsidP="00FE47AF">
            <w:pPr>
              <w:pStyle w:val="NApunkts1"/>
              <w:numPr>
                <w:ilvl w:val="0"/>
                <w:numId w:val="0"/>
              </w:numPr>
              <w:spacing w:before="0" w:after="120"/>
              <w:rPr>
                <w:bCs/>
              </w:rPr>
            </w:pPr>
            <w:r w:rsidRPr="00044094">
              <w:rPr>
                <w:bCs/>
              </w:rPr>
              <w:lastRenderedPageBreak/>
              <w:t>13)</w:t>
            </w:r>
            <w:r w:rsidR="008810D0">
              <w:rPr>
                <w:bCs/>
              </w:rPr>
              <w:t> </w:t>
            </w:r>
            <w:r w:rsidRPr="00044094">
              <w:rPr>
                <w:bCs/>
              </w:rPr>
              <w:t>noguldījumiem, ar kuriem pēdējo divu gadu laikā no noguldījumu nepieejamības iestāšanās dienas nav veikti nekādi darījumi un kuru vērtība ir mazāka par 10</w:t>
            </w:r>
            <w:r w:rsidR="008810D0">
              <w:rPr>
                <w:bCs/>
              </w:rPr>
              <w:t> </w:t>
            </w:r>
            <w:proofErr w:type="spellStart"/>
            <w:r w:rsidRPr="00044094">
              <w:rPr>
                <w:bCs/>
                <w:i/>
                <w:iCs/>
              </w:rPr>
              <w:t>euro</w:t>
            </w:r>
            <w:proofErr w:type="spellEnd"/>
            <w:r w:rsidRPr="00044094">
              <w:rPr>
                <w:bCs/>
              </w:rPr>
              <w:t>.</w:t>
            </w:r>
          </w:p>
        </w:tc>
      </w:tr>
      <w:tr w:rsidR="0054149E" w:rsidRPr="0054149E" w14:paraId="14FD6E99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D261F2B" w14:textId="77777777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lastRenderedPageBreak/>
              <w:t>Papildu garantētās atlīdzības maksimālais apmērs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868085" w14:textId="494CB5DE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54149E">
              <w:rPr>
                <w:bCs/>
              </w:rPr>
              <w:t>Papildus maksimālajai garantētajai atlīdzībai 100 000 </w:t>
            </w:r>
            <w:proofErr w:type="spellStart"/>
            <w:r w:rsidRPr="0054149E">
              <w:rPr>
                <w:bCs/>
                <w:i/>
                <w:iCs/>
              </w:rPr>
              <w:t>euro</w:t>
            </w:r>
            <w:proofErr w:type="spellEnd"/>
            <w:r w:rsidRPr="0054149E">
              <w:rPr>
                <w:bCs/>
              </w:rPr>
              <w:t xml:space="preserve"> apmērā noguldītājam ir tiesības saņemt garantēto atlīdzību līdz 200 000 </w:t>
            </w:r>
            <w:proofErr w:type="spellStart"/>
            <w:r w:rsidRPr="0054149E">
              <w:rPr>
                <w:bCs/>
                <w:i/>
                <w:iCs/>
              </w:rPr>
              <w:t>euro</w:t>
            </w:r>
            <w:proofErr w:type="spellEnd"/>
            <w:r w:rsidRPr="0054149E">
              <w:rPr>
                <w:bCs/>
              </w:rPr>
              <w:t>, ievērojot</w:t>
            </w:r>
            <w:r w:rsidR="00F520EA">
              <w:rPr>
                <w:bCs/>
              </w:rPr>
              <w:t xml:space="preserve"> </w:t>
            </w:r>
            <w:r w:rsidR="00F520EA" w:rsidRPr="00F520EA">
              <w:rPr>
                <w:bCs/>
              </w:rPr>
              <w:t>Noguldījumu garantiju likuma</w:t>
            </w:r>
            <w:r w:rsidR="00F520EA">
              <w:rPr>
                <w:bCs/>
              </w:rPr>
              <w:t xml:space="preserve"> 4.</w:t>
            </w:r>
            <w:r w:rsidRPr="0054149E">
              <w:rPr>
                <w:bCs/>
              </w:rPr>
              <w:t> pantā minētos noguldījumu veidus un nosacījumus.</w:t>
            </w:r>
          </w:p>
        </w:tc>
      </w:tr>
      <w:tr w:rsidR="0054149E" w:rsidRPr="0054149E" w14:paraId="14639C67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8895DC" w14:textId="1BDEF6B4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 xml:space="preserve">Garantētās atlīdzības aprēķināšana, ja ir vairāki noguldījumi kredītiestādē vai </w:t>
            </w:r>
            <w:proofErr w:type="spellStart"/>
            <w:r w:rsidRPr="0054149E">
              <w:rPr>
                <w:bCs/>
              </w:rPr>
              <w:t>krājaizdevu</w:t>
            </w:r>
            <w:proofErr w:type="spellEnd"/>
            <w:r w:rsidRPr="0054149E">
              <w:rPr>
                <w:bCs/>
              </w:rPr>
              <w:t xml:space="preserve"> sabiedrībā</w:t>
            </w:r>
            <w:r w:rsidR="00BB57C6">
              <w:rPr>
                <w:bCs/>
              </w:rPr>
              <w:t xml:space="preserve"> (noguldījumu piesaistītājā)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E9EE30" w14:textId="0052ABDD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54149E">
              <w:rPr>
                <w:bCs/>
              </w:rPr>
              <w:t xml:space="preserve">Visi Jūsu noguldījumi kredītiestādē vai </w:t>
            </w:r>
            <w:proofErr w:type="spellStart"/>
            <w:r w:rsidRPr="0054149E">
              <w:rPr>
                <w:bCs/>
              </w:rPr>
              <w:t>krājaizdevu</w:t>
            </w:r>
            <w:proofErr w:type="spellEnd"/>
            <w:r w:rsidRPr="0054149E">
              <w:rPr>
                <w:bCs/>
              </w:rPr>
              <w:t xml:space="preserve"> sabiedrībā</w:t>
            </w:r>
            <w:r w:rsidR="004F7FE5">
              <w:rPr>
                <w:bCs/>
              </w:rPr>
              <w:t xml:space="preserve"> </w:t>
            </w:r>
            <w:r w:rsidR="004F7FE5" w:rsidRPr="004F7FE5">
              <w:rPr>
                <w:bCs/>
              </w:rPr>
              <w:t>(noguldījumu piesaistītājā)</w:t>
            </w:r>
            <w:r w:rsidRPr="0054149E">
              <w:rPr>
                <w:bCs/>
              </w:rPr>
              <w:t xml:space="preserve"> tiek summēti, un kopsummai piemēro maksimālo garantētās atlīdzības apmēru – 100</w:t>
            </w:r>
            <w:r w:rsidR="008810D0">
              <w:rPr>
                <w:bCs/>
              </w:rPr>
              <w:t> </w:t>
            </w:r>
            <w:r w:rsidRPr="0054149E">
              <w:rPr>
                <w:bCs/>
              </w:rPr>
              <w:t>000 </w:t>
            </w:r>
            <w:proofErr w:type="spellStart"/>
            <w:r w:rsidRPr="0054149E">
              <w:rPr>
                <w:bCs/>
                <w:i/>
                <w:iCs/>
              </w:rPr>
              <w:t>euro</w:t>
            </w:r>
            <w:proofErr w:type="spellEnd"/>
            <w:r w:rsidRPr="0054149E">
              <w:rPr>
                <w:bCs/>
              </w:rPr>
              <w:t>.</w:t>
            </w:r>
          </w:p>
        </w:tc>
      </w:tr>
      <w:tr w:rsidR="0054149E" w:rsidRPr="0054149E" w14:paraId="2264F63E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C73E3A6" w14:textId="7BA319E7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Garantētās atlīdzības aprēķināšana, ja ir kopīgs noguldījums ar citu</w:t>
            </w:r>
            <w:r w:rsidR="00134577">
              <w:rPr>
                <w:bCs/>
              </w:rPr>
              <w:t xml:space="preserve"> </w:t>
            </w:r>
            <w:r w:rsidRPr="0054149E">
              <w:rPr>
                <w:bCs/>
              </w:rPr>
              <w:t>(</w:t>
            </w:r>
            <w:r w:rsidR="00134577">
              <w:rPr>
                <w:bCs/>
              </w:rPr>
              <w:t>cit</w:t>
            </w:r>
            <w:r w:rsidRPr="0054149E">
              <w:rPr>
                <w:bCs/>
              </w:rPr>
              <w:t>ām) personu</w:t>
            </w:r>
            <w:r w:rsidR="00134577">
              <w:rPr>
                <w:bCs/>
              </w:rPr>
              <w:t xml:space="preserve"> </w:t>
            </w:r>
            <w:r w:rsidRPr="0054149E">
              <w:rPr>
                <w:bCs/>
              </w:rPr>
              <w:t>(</w:t>
            </w:r>
            <w:r w:rsidR="00134577">
              <w:rPr>
                <w:bCs/>
              </w:rPr>
              <w:t>person</w:t>
            </w:r>
            <w:r w:rsidRPr="0054149E">
              <w:rPr>
                <w:bCs/>
              </w:rPr>
              <w:t>ām)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A8854E" w14:textId="3045F167" w:rsidR="00861D60" w:rsidRDefault="00B92883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B92883">
              <w:rPr>
                <w:bCs/>
              </w:rPr>
              <w:t xml:space="preserve">Garantētā atlīdzība par kopīgo noguldījumu tiek izmaksāta katrai kopīgo noguldījumu izdarījušajai personai </w:t>
            </w:r>
            <w:r w:rsidR="00A13372">
              <w:rPr>
                <w:bCs/>
              </w:rPr>
              <w:t>ne vairāk kā</w:t>
            </w:r>
            <w:r w:rsidR="0016467F">
              <w:rPr>
                <w:bCs/>
              </w:rPr>
              <w:t xml:space="preserve"> </w:t>
            </w:r>
            <w:r w:rsidR="00A13372" w:rsidRPr="00A13372">
              <w:rPr>
                <w:bCs/>
              </w:rPr>
              <w:t>100</w:t>
            </w:r>
            <w:r w:rsidR="00D17C3E">
              <w:rPr>
                <w:bCs/>
              </w:rPr>
              <w:t> </w:t>
            </w:r>
            <w:r w:rsidR="00A13372" w:rsidRPr="00A13372">
              <w:rPr>
                <w:bCs/>
              </w:rPr>
              <w:t>000</w:t>
            </w:r>
            <w:r w:rsidR="00D17C3E">
              <w:rPr>
                <w:bCs/>
              </w:rPr>
              <w:t> </w:t>
            </w:r>
            <w:proofErr w:type="spellStart"/>
            <w:r w:rsidR="00A13372" w:rsidRPr="0016467F">
              <w:rPr>
                <w:bCs/>
                <w:i/>
                <w:iCs/>
              </w:rPr>
              <w:t>euro</w:t>
            </w:r>
            <w:proofErr w:type="spellEnd"/>
            <w:r w:rsidR="00A13372">
              <w:rPr>
                <w:bCs/>
              </w:rPr>
              <w:t xml:space="preserve"> apmērā. </w:t>
            </w:r>
            <w:r w:rsidRPr="00B92883">
              <w:rPr>
                <w:bCs/>
              </w:rPr>
              <w:t>Garantētās atlīdzības apmēru nosaka, ņemot vērā katras kopīgo noguldījumu izdarījušās personas daļu kopīgajā noguldījumā, k</w:t>
            </w:r>
            <w:r w:rsidR="004578E2">
              <w:rPr>
                <w:bCs/>
              </w:rPr>
              <w:t>ura</w:t>
            </w:r>
            <w:r w:rsidRPr="00B92883">
              <w:rPr>
                <w:bCs/>
              </w:rPr>
              <w:t xml:space="preserve"> noteikta ar noguldījumu piesaistītāju noslēgtajā līgumā. </w:t>
            </w:r>
          </w:p>
          <w:p w14:paraId="048CA364" w14:textId="2EDAA21D" w:rsidR="002C29EF" w:rsidRPr="0054149E" w:rsidRDefault="00975533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975533">
              <w:rPr>
                <w:bCs/>
              </w:rPr>
              <w:t xml:space="preserve">Ja katras personas daļa kopīgajā noguldījumā nav noteikta, kopīgais noguldījums sadalāms vienlīdzīgās daļās un </w:t>
            </w:r>
            <w:r w:rsidR="0048117A">
              <w:rPr>
                <w:bCs/>
              </w:rPr>
              <w:t xml:space="preserve">katras personas </w:t>
            </w:r>
            <w:r w:rsidRPr="00975533">
              <w:rPr>
                <w:bCs/>
              </w:rPr>
              <w:t xml:space="preserve">garantētās atlīdzības apmēru nosaka, ņemot vērā </w:t>
            </w:r>
            <w:r w:rsidR="00FF21A8">
              <w:rPr>
                <w:bCs/>
              </w:rPr>
              <w:t>šo</w:t>
            </w:r>
            <w:r w:rsidR="0048117A">
              <w:rPr>
                <w:bCs/>
              </w:rPr>
              <w:t xml:space="preserve"> </w:t>
            </w:r>
            <w:r w:rsidR="0048117A" w:rsidRPr="0048117A">
              <w:rPr>
                <w:bCs/>
              </w:rPr>
              <w:t>vienlīdzīgo</w:t>
            </w:r>
            <w:r w:rsidRPr="00975533">
              <w:rPr>
                <w:bCs/>
              </w:rPr>
              <w:t xml:space="preserve"> daļu.</w:t>
            </w:r>
          </w:p>
        </w:tc>
      </w:tr>
      <w:tr w:rsidR="00334FC3" w:rsidRPr="0054149E" w14:paraId="48BDE969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784A8F2" w14:textId="32371838" w:rsidR="00334FC3" w:rsidRPr="0054149E" w:rsidRDefault="00977588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>
              <w:rPr>
                <w:bCs/>
              </w:rPr>
              <w:t>N</w:t>
            </w:r>
            <w:r w:rsidR="00F20DD8">
              <w:rPr>
                <w:bCs/>
              </w:rPr>
              <w:t>oguldītāja pienākumi saistībā ar citai personai pienākošos līdzekļu pārvaldīšanu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F637295" w14:textId="751DEB2A" w:rsidR="00495F1C" w:rsidRPr="00975533" w:rsidRDefault="00495F1C" w:rsidP="00495F1C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495F1C">
              <w:rPr>
                <w:bCs/>
              </w:rPr>
              <w:t>Ja noguldītājs pārvalda citai personai pienākošos līdzekļus noguldījumu piesaistītājā, garantēto atlīdzību ir tiesības saņemt personai, kura var pierādīt savas prasījuma tiesības uz noguldītāja pārvaldītajiem līdzekļiem, ar nosacījumu, ka noguldījumu piesaistītājs vai</w:t>
            </w:r>
            <w:r w:rsidR="00184377">
              <w:rPr>
                <w:bCs/>
              </w:rPr>
              <w:t> </w:t>
            </w:r>
            <w:r w:rsidRPr="00495F1C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r w:rsidRPr="00495F1C">
              <w:rPr>
                <w:bCs/>
              </w:rPr>
              <w:t>Noguldījumu garantiju likuma 5.</w:t>
            </w:r>
            <w:r w:rsidRPr="00A6442F">
              <w:rPr>
                <w:bCs/>
                <w:vertAlign w:val="superscript"/>
              </w:rPr>
              <w:t>1</w:t>
            </w:r>
            <w:r w:rsidRPr="00495F1C">
              <w:rPr>
                <w:bCs/>
              </w:rPr>
              <w:t xml:space="preserve"> panta otrajā daļā minētajā gadījumā</w:t>
            </w:r>
            <w:r w:rsidR="00184377">
              <w:rPr>
                <w:bCs/>
              </w:rPr>
              <w:t> </w:t>
            </w:r>
            <w:r w:rsidRPr="00495F1C">
              <w:rPr>
                <w:bCs/>
              </w:rPr>
              <w:t>– noguldītājs šo personu ir identificējis vai var identificēt pirms noguldījumu nepieejamības iestāšanās dienas.</w:t>
            </w:r>
          </w:p>
          <w:p w14:paraId="17523B69" w14:textId="080CA1DD" w:rsidR="00334FC3" w:rsidRPr="0054149E" w:rsidRDefault="00975533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975533">
              <w:rPr>
                <w:bCs/>
              </w:rPr>
              <w:t>Noguldītājam, kas nodrošina citai personai pienākošos līdzekļu pārvaldību noguldījumu piesaistītājā, ir pienākums informēt</w:t>
            </w:r>
            <w:r w:rsidR="00B01DD0">
              <w:rPr>
                <w:bCs/>
              </w:rPr>
              <w:t xml:space="preserve"> </w:t>
            </w:r>
            <w:r w:rsidRPr="00975533">
              <w:rPr>
                <w:bCs/>
              </w:rPr>
              <w:t>noguldījumu piesaistītāju, ka tas nodrošina citai personai pienākošos līdzekļu pārvaldīšanu, š</w:t>
            </w:r>
            <w:r w:rsidR="008877B0">
              <w:rPr>
                <w:bCs/>
              </w:rPr>
              <w:t>īs</w:t>
            </w:r>
            <w:r w:rsidRPr="00975533">
              <w:rPr>
                <w:bCs/>
              </w:rPr>
              <w:t xml:space="preserve"> person</w:t>
            </w:r>
            <w:r w:rsidR="008877B0">
              <w:rPr>
                <w:bCs/>
              </w:rPr>
              <w:t>as</w:t>
            </w:r>
            <w:r w:rsidRPr="00975533">
              <w:rPr>
                <w:bCs/>
              </w:rPr>
              <w:t xml:space="preserve"> identifikāciju un t</w:t>
            </w:r>
            <w:r w:rsidR="008877B0">
              <w:rPr>
                <w:bCs/>
              </w:rPr>
              <w:t>ai</w:t>
            </w:r>
            <w:r w:rsidRPr="00975533">
              <w:rPr>
                <w:bCs/>
              </w:rPr>
              <w:t xml:space="preserve"> pienākošos līdzekļu uzskaiti.</w:t>
            </w:r>
          </w:p>
        </w:tc>
      </w:tr>
      <w:tr w:rsidR="0054149E" w:rsidRPr="0054149E" w14:paraId="20A5E133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64763DF" w14:textId="601A6E65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Garantētās atlīdzības izmaksas uzsākšana noguldījumu nepieejamības gadījumā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CF1018" w14:textId="7A1C8DE2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54149E">
              <w:rPr>
                <w:bCs/>
              </w:rPr>
              <w:t>Garantētās atlīdzības izmaksa tiek veikta piecus gadus no noguldījumu nepieejamības iestāšanās dienas vai no dienas, kad izbeigušies apstākļi, kas ir pamats Noguldījumu garantiju likuma 27.</w:t>
            </w:r>
            <w:r w:rsidR="008810D0">
              <w:rPr>
                <w:bCs/>
              </w:rPr>
              <w:t> </w:t>
            </w:r>
            <w:r w:rsidRPr="0054149E">
              <w:rPr>
                <w:bCs/>
              </w:rPr>
              <w:t xml:space="preserve">panta pirmajā daļā </w:t>
            </w:r>
            <w:r w:rsidR="0026454D" w:rsidRPr="0054149E">
              <w:rPr>
                <w:bCs/>
              </w:rPr>
              <w:t>noteiktaja</w:t>
            </w:r>
            <w:r w:rsidR="0026454D">
              <w:rPr>
                <w:bCs/>
              </w:rPr>
              <w:t>i</w:t>
            </w:r>
            <w:r w:rsidR="0026454D" w:rsidRPr="0054149E">
              <w:rPr>
                <w:bCs/>
              </w:rPr>
              <w:t xml:space="preserve"> </w:t>
            </w:r>
            <w:r w:rsidR="0026454D" w:rsidRPr="00E77369">
              <w:rPr>
                <w:bCs/>
              </w:rPr>
              <w:t>garantētās atlīdzības izmaksas atlikšanai</w:t>
            </w:r>
            <w:r w:rsidRPr="0054149E">
              <w:rPr>
                <w:bCs/>
              </w:rPr>
              <w:t xml:space="preserve">. </w:t>
            </w:r>
          </w:p>
          <w:p w14:paraId="1EED922F" w14:textId="69AD02CD" w:rsid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54149E">
              <w:rPr>
                <w:bCs/>
              </w:rPr>
              <w:lastRenderedPageBreak/>
              <w:t>Garantēt</w:t>
            </w:r>
            <w:r w:rsidR="00D61CC4">
              <w:rPr>
                <w:bCs/>
              </w:rPr>
              <w:t>ā</w:t>
            </w:r>
            <w:r w:rsidRPr="0054149E">
              <w:rPr>
                <w:bCs/>
              </w:rPr>
              <w:t xml:space="preserve"> atlīdzīb</w:t>
            </w:r>
            <w:r w:rsidR="00D61CC4">
              <w:rPr>
                <w:bCs/>
              </w:rPr>
              <w:t>a</w:t>
            </w:r>
            <w:r w:rsidRPr="0054149E">
              <w:rPr>
                <w:bCs/>
              </w:rPr>
              <w:t xml:space="preserve"> </w:t>
            </w:r>
            <w:r w:rsidR="00F55735">
              <w:rPr>
                <w:bCs/>
              </w:rPr>
              <w:t xml:space="preserve">ir pieejama </w:t>
            </w:r>
            <w:r w:rsidR="00A6766A">
              <w:rPr>
                <w:bCs/>
              </w:rPr>
              <w:t xml:space="preserve">ne vēlāk kā septiņu </w:t>
            </w:r>
            <w:r w:rsidRPr="0054149E">
              <w:rPr>
                <w:bCs/>
              </w:rPr>
              <w:t xml:space="preserve">darbdienu </w:t>
            </w:r>
            <w:r w:rsidR="00A6766A">
              <w:rPr>
                <w:bCs/>
              </w:rPr>
              <w:t xml:space="preserve">laikā pēc dienas, kad iestājusies </w:t>
            </w:r>
            <w:r w:rsidRPr="0054149E">
              <w:rPr>
                <w:bCs/>
              </w:rPr>
              <w:t>noguldījumu nepieejamība.</w:t>
            </w:r>
          </w:p>
          <w:p w14:paraId="7C9CA654" w14:textId="64C82BF3" w:rsidR="006F5243" w:rsidRPr="0054149E" w:rsidRDefault="00E33985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E33985">
              <w:rPr>
                <w:bCs/>
              </w:rPr>
              <w:t>Latvijas Banka lemj par garantētās atlīdzības izmaksas veidu</w:t>
            </w:r>
            <w:r>
              <w:rPr>
                <w:bCs/>
              </w:rPr>
              <w:t xml:space="preserve">, </w:t>
            </w:r>
            <w:r w:rsidRPr="00E33985">
              <w:rPr>
                <w:bCs/>
              </w:rPr>
              <w:t>kārtību,</w:t>
            </w:r>
            <w:r>
              <w:rPr>
                <w:bCs/>
              </w:rPr>
              <w:t xml:space="preserve"> </w:t>
            </w:r>
            <w:r w:rsidRPr="00E33985">
              <w:rPr>
                <w:bCs/>
              </w:rPr>
              <w:t xml:space="preserve">izmaksas laiku un vietu un šo informāciju publicē oficiālajā izdevumā "Latvijas Vēstnesis", kā arī ievieto Latvijas Bankas izveidotajā </w:t>
            </w:r>
            <w:r w:rsidR="00146594">
              <w:rPr>
                <w:bCs/>
              </w:rPr>
              <w:t>tīmekļvietnē.</w:t>
            </w:r>
          </w:p>
        </w:tc>
      </w:tr>
      <w:tr w:rsidR="004F188F" w:rsidRPr="0054149E" w14:paraId="19213E76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9EB23D2" w14:textId="2697B045" w:rsidR="004F188F" w:rsidRPr="0054149E" w:rsidRDefault="004F188F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>
              <w:rPr>
                <w:bCs/>
              </w:rPr>
              <w:lastRenderedPageBreak/>
              <w:t>G</w:t>
            </w:r>
            <w:r w:rsidRPr="004F188F">
              <w:rPr>
                <w:bCs/>
              </w:rPr>
              <w:t>arantētās atlīdzības izmaksa nepilngadīgajām personām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CC9E9F5" w14:textId="4846D326" w:rsidR="004F188F" w:rsidRPr="0054149E" w:rsidRDefault="004F188F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4F188F">
              <w:rPr>
                <w:bCs/>
              </w:rPr>
              <w:t>Garantētās atlīdzības izmaksa par nepilngadīgas personas noguldījumu notiek</w:t>
            </w:r>
            <w:r w:rsidR="00904264">
              <w:rPr>
                <w:bCs/>
              </w:rPr>
              <w:t>,</w:t>
            </w:r>
            <w:r w:rsidRPr="004F188F">
              <w:rPr>
                <w:bCs/>
              </w:rPr>
              <w:t xml:space="preserve"> ievērojot Noguldījumu garantiju likuma 5.</w:t>
            </w:r>
            <w:r w:rsidR="0026454D">
              <w:rPr>
                <w:bCs/>
              </w:rPr>
              <w:t> </w:t>
            </w:r>
            <w:r w:rsidRPr="004F188F">
              <w:rPr>
                <w:bCs/>
              </w:rPr>
              <w:t>panta ceturtajā daļā noteikto.</w:t>
            </w:r>
          </w:p>
        </w:tc>
      </w:tr>
      <w:tr w:rsidR="0054149E" w:rsidRPr="0054149E" w14:paraId="024286A7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6BD1E99" w14:textId="77777777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Informācija par prasījumu saistību savstarpējā ieskaita iespējamību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4B887B" w14:textId="45F8E535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 w:rsidRPr="001D3C93">
              <w:rPr>
                <w:bCs/>
              </w:rPr>
              <w:t>Aprēķinot noguldītājam pienākošos garantēto atlīdzību</w:t>
            </w:r>
            <w:r w:rsidR="008C37B9">
              <w:rPr>
                <w:bCs/>
              </w:rPr>
              <w:t>,</w:t>
            </w:r>
            <w:r w:rsidRPr="001D3C93">
              <w:rPr>
                <w:bCs/>
              </w:rPr>
              <w:t xml:space="preserve"> ti</w:t>
            </w:r>
            <w:r w:rsidR="007E7642">
              <w:rPr>
                <w:bCs/>
              </w:rPr>
              <w:t>e</w:t>
            </w:r>
            <w:r w:rsidRPr="001D3C93">
              <w:rPr>
                <w:bCs/>
              </w:rPr>
              <w:t xml:space="preserve">k ņemtas vērā noguldītāja saistības pret kredītiestādi vai </w:t>
            </w:r>
            <w:proofErr w:type="spellStart"/>
            <w:r w:rsidRPr="001D3C93">
              <w:rPr>
                <w:bCs/>
              </w:rPr>
              <w:t>krājaizdevu</w:t>
            </w:r>
            <w:proofErr w:type="spellEnd"/>
            <w:r w:rsidRPr="001D3C93">
              <w:rPr>
                <w:bCs/>
              </w:rPr>
              <w:t xml:space="preserve"> sabiedrību</w:t>
            </w:r>
            <w:r w:rsidR="00261FEB">
              <w:rPr>
                <w:bCs/>
              </w:rPr>
              <w:t xml:space="preserve"> </w:t>
            </w:r>
            <w:r w:rsidR="00261FEB" w:rsidRPr="00261FEB">
              <w:rPr>
                <w:bCs/>
              </w:rPr>
              <w:t>(noguldījumu piesaistītāj</w:t>
            </w:r>
            <w:r w:rsidR="00261FEB">
              <w:rPr>
                <w:bCs/>
              </w:rPr>
              <w:t>u</w:t>
            </w:r>
            <w:r w:rsidR="00261FEB" w:rsidRPr="00261FEB">
              <w:rPr>
                <w:bCs/>
              </w:rPr>
              <w:t>)</w:t>
            </w:r>
            <w:r w:rsidR="00E33985">
              <w:rPr>
                <w:bCs/>
              </w:rPr>
              <w:t xml:space="preserve">, </w:t>
            </w:r>
            <w:r w:rsidR="00E33985" w:rsidRPr="00E33985">
              <w:rPr>
                <w:bCs/>
              </w:rPr>
              <w:t xml:space="preserve">kuru izpildes </w:t>
            </w:r>
            <w:r w:rsidR="00E33985" w:rsidRPr="00B34C3C">
              <w:rPr>
                <w:bCs/>
              </w:rPr>
              <w:t>termiņš iestāsies līdz</w:t>
            </w:r>
            <w:r w:rsidR="00E33985" w:rsidRPr="00E33985">
              <w:rPr>
                <w:bCs/>
              </w:rPr>
              <w:t xml:space="preserve"> dienai vai dienā, kad iestājusies noguldījumu nepieejamība</w:t>
            </w:r>
            <w:r w:rsidR="009E1FD2">
              <w:rPr>
                <w:bCs/>
              </w:rPr>
              <w:t xml:space="preserve">. </w:t>
            </w:r>
            <w:r w:rsidR="00B34C3C">
              <w:rPr>
                <w:bCs/>
              </w:rPr>
              <w:t>Tās</w:t>
            </w:r>
            <w:r w:rsidR="009E1FD2" w:rsidRPr="009E1FD2">
              <w:rPr>
                <w:bCs/>
              </w:rPr>
              <w:t xml:space="preserve"> tiek dzēstas</w:t>
            </w:r>
            <w:r w:rsidR="0048117A">
              <w:rPr>
                <w:bCs/>
              </w:rPr>
              <w:t xml:space="preserve">, </w:t>
            </w:r>
            <w:r w:rsidR="00B34C3C">
              <w:rPr>
                <w:bCs/>
              </w:rPr>
              <w:t>veicot šo saistību un noguldītāja tiesību uz garantēto atlīdzību</w:t>
            </w:r>
            <w:r w:rsidR="009E1FD2" w:rsidRPr="009E1FD2">
              <w:rPr>
                <w:bCs/>
              </w:rPr>
              <w:t xml:space="preserve"> savstarpēj</w:t>
            </w:r>
            <w:r w:rsidR="00B34C3C">
              <w:rPr>
                <w:bCs/>
              </w:rPr>
              <w:t>u</w:t>
            </w:r>
            <w:r w:rsidR="009E1FD2" w:rsidRPr="009E1FD2">
              <w:rPr>
                <w:bCs/>
              </w:rPr>
              <w:t xml:space="preserve"> ieskaitu.</w:t>
            </w:r>
          </w:p>
          <w:p w14:paraId="1CBFB9AB" w14:textId="77777777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</w:p>
        </w:tc>
      </w:tr>
      <w:tr w:rsidR="0054149E" w:rsidRPr="0054149E" w14:paraId="488C6052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D346A9E" w14:textId="2B59E892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Kontaktinformācija</w:t>
            </w:r>
            <w:r w:rsidR="00050EE0">
              <w:rPr>
                <w:bCs/>
              </w:rPr>
              <w:t xml:space="preserve"> </w:t>
            </w:r>
            <w:r w:rsidR="007E7642" w:rsidRPr="007E7642">
              <w:rPr>
                <w:bCs/>
              </w:rPr>
              <w:t>un tīmekļvietne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EB00D8" w14:textId="65E7CB9B" w:rsidR="0054149E" w:rsidRPr="0054149E" w:rsidRDefault="0098629A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  <w:r>
              <w:rPr>
                <w:bCs/>
              </w:rPr>
              <w:t>N</w:t>
            </w:r>
            <w:r w:rsidRPr="0098629A">
              <w:rPr>
                <w:bCs/>
              </w:rPr>
              <w:t>oguldījumu garantiju fonds</w:t>
            </w:r>
            <w:r>
              <w:rPr>
                <w:bCs/>
              </w:rPr>
              <w:t>:</w:t>
            </w:r>
            <w:r w:rsidRPr="0098629A">
              <w:rPr>
                <w:bCs/>
              </w:rPr>
              <w:t xml:space="preserve"> </w:t>
            </w:r>
            <w:r w:rsidR="00A6766A">
              <w:rPr>
                <w:bCs/>
              </w:rPr>
              <w:t>Latvijas Banka</w:t>
            </w:r>
            <w:r>
              <w:rPr>
                <w:bCs/>
              </w:rPr>
              <w:t>,</w:t>
            </w:r>
            <w:r w:rsidR="0054149E" w:rsidRPr="0054149E">
              <w:rPr>
                <w:bCs/>
              </w:rPr>
              <w:t xml:space="preserve"> K</w:t>
            </w:r>
            <w:r w:rsidR="00A6766A">
              <w:rPr>
                <w:bCs/>
              </w:rPr>
              <w:t>.</w:t>
            </w:r>
            <w:r w:rsidR="00D11B08">
              <w:rPr>
                <w:bCs/>
              </w:rPr>
              <w:t> </w:t>
            </w:r>
            <w:r w:rsidR="00A6766A">
              <w:rPr>
                <w:bCs/>
              </w:rPr>
              <w:t xml:space="preserve">Valdemāra </w:t>
            </w:r>
            <w:r w:rsidR="0054149E" w:rsidRPr="0054149E">
              <w:rPr>
                <w:bCs/>
              </w:rPr>
              <w:t>iela</w:t>
            </w:r>
            <w:r w:rsidR="00716916">
              <w:rPr>
                <w:bCs/>
              </w:rPr>
              <w:t> </w:t>
            </w:r>
            <w:r w:rsidR="00A6766A">
              <w:rPr>
                <w:bCs/>
              </w:rPr>
              <w:t>2A</w:t>
            </w:r>
            <w:r w:rsidR="0054149E" w:rsidRPr="0054149E">
              <w:rPr>
                <w:bCs/>
              </w:rPr>
              <w:t>, Rīga, LV-1050</w:t>
            </w:r>
            <w:r w:rsidR="00716916">
              <w:rPr>
                <w:bCs/>
              </w:rPr>
              <w:t>;</w:t>
            </w:r>
            <w:r w:rsidR="0054149E" w:rsidRPr="0054149E">
              <w:rPr>
                <w:bCs/>
              </w:rPr>
              <w:t xml:space="preserve"> t</w:t>
            </w:r>
            <w:r w:rsidR="00A6766A">
              <w:rPr>
                <w:bCs/>
              </w:rPr>
              <w:t>ālrunis</w:t>
            </w:r>
            <w:r w:rsidR="0054149E" w:rsidRPr="0054149E">
              <w:rPr>
                <w:bCs/>
              </w:rPr>
              <w:t xml:space="preserve"> </w:t>
            </w:r>
            <w:r w:rsidR="00A6766A">
              <w:rPr>
                <w:bCs/>
              </w:rPr>
              <w:t>+</w:t>
            </w:r>
            <w:r w:rsidR="00AE36A5">
              <w:rPr>
                <w:bCs/>
              </w:rPr>
              <w:t> </w:t>
            </w:r>
            <w:r w:rsidR="00A6766A">
              <w:rPr>
                <w:bCs/>
              </w:rPr>
              <w:t>371</w:t>
            </w:r>
            <w:r w:rsidR="00D11B08">
              <w:rPr>
                <w:bCs/>
              </w:rPr>
              <w:t> </w:t>
            </w:r>
            <w:r w:rsidR="00A6766A">
              <w:rPr>
                <w:bCs/>
              </w:rPr>
              <w:t>67022300</w:t>
            </w:r>
            <w:r w:rsidR="00716916">
              <w:rPr>
                <w:bCs/>
              </w:rPr>
              <w:t>;</w:t>
            </w:r>
            <w:r w:rsidR="00A6766A">
              <w:rPr>
                <w:bCs/>
              </w:rPr>
              <w:t xml:space="preserve"> tīmekļvietne</w:t>
            </w:r>
            <w:r w:rsidR="0054149E" w:rsidRPr="0054149E">
              <w:rPr>
                <w:bCs/>
              </w:rPr>
              <w:t>: www.</w:t>
            </w:r>
            <w:r w:rsidR="00A6766A">
              <w:rPr>
                <w:bCs/>
              </w:rPr>
              <w:t>bank</w:t>
            </w:r>
            <w:r w:rsidR="0054149E" w:rsidRPr="0054149E">
              <w:rPr>
                <w:bCs/>
              </w:rPr>
              <w:t>.lv.</w:t>
            </w:r>
          </w:p>
        </w:tc>
      </w:tr>
      <w:tr w:rsidR="0054149E" w:rsidRPr="0054149E" w14:paraId="397AC350" w14:textId="77777777" w:rsidTr="00BB7E15">
        <w:tc>
          <w:tcPr>
            <w:tcW w:w="145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C57FB63" w14:textId="77777777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jc w:val="left"/>
              <w:rPr>
                <w:bCs/>
              </w:rPr>
            </w:pPr>
            <w:r w:rsidRPr="0054149E">
              <w:rPr>
                <w:bCs/>
              </w:rPr>
              <w:t>Noguldītāja apliecinājums par informācijas saņemšanu</w:t>
            </w:r>
          </w:p>
        </w:tc>
        <w:tc>
          <w:tcPr>
            <w:tcW w:w="354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653D762" w14:textId="68CFC70E" w:rsidR="0054149E" w:rsidRPr="0054149E" w:rsidRDefault="0054149E" w:rsidP="00FE47AF">
            <w:pPr>
              <w:pStyle w:val="NApunkts1"/>
              <w:numPr>
                <w:ilvl w:val="0"/>
                <w:numId w:val="0"/>
              </w:numPr>
              <w:spacing w:before="120" w:after="120"/>
              <w:rPr>
                <w:bCs/>
              </w:rPr>
            </w:pPr>
          </w:p>
        </w:tc>
      </w:tr>
    </w:tbl>
    <w:p w14:paraId="68947B96" w14:textId="77777777" w:rsidR="00B266B6" w:rsidRDefault="00B266B6" w:rsidP="00BB7E15">
      <w:pPr>
        <w:pStyle w:val="NApunkts1"/>
        <w:numPr>
          <w:ilvl w:val="0"/>
          <w:numId w:val="0"/>
        </w:numPr>
        <w:spacing w:before="0"/>
        <w:rPr>
          <w:bCs/>
        </w:rPr>
      </w:pPr>
    </w:p>
    <w:p w14:paraId="30D952E3" w14:textId="64A65BD4" w:rsidR="00955526" w:rsidRPr="008D721D" w:rsidRDefault="00955526" w:rsidP="00184377">
      <w:pPr>
        <w:pStyle w:val="NApunkts1"/>
        <w:numPr>
          <w:ilvl w:val="0"/>
          <w:numId w:val="0"/>
        </w:numPr>
        <w:jc w:val="left"/>
        <w:rPr>
          <w:b/>
          <w:sz w:val="20"/>
          <w:szCs w:val="20"/>
        </w:rPr>
      </w:pPr>
      <w:r w:rsidRPr="008D721D">
        <w:rPr>
          <w:b/>
          <w:sz w:val="20"/>
          <w:szCs w:val="20"/>
        </w:rPr>
        <w:t xml:space="preserve">ŠIS DOKUMENTS IR ELEKTRONISKI PARAKSTĪTS AR DROŠU ELEKTRONISKO </w:t>
      </w:r>
      <w:r w:rsidR="00184377">
        <w:rPr>
          <w:b/>
          <w:sz w:val="20"/>
          <w:szCs w:val="20"/>
        </w:rPr>
        <w:br/>
      </w:r>
      <w:r w:rsidRPr="008D721D">
        <w:rPr>
          <w:b/>
          <w:sz w:val="20"/>
          <w:szCs w:val="20"/>
        </w:rPr>
        <w:t>PARAKSTU UN SATUR LAIKA ZĪMOGU</w:t>
      </w:r>
    </w:p>
    <w:p w14:paraId="7F383E01" w14:textId="7C532DCD" w:rsidR="0080294D" w:rsidRPr="00F13DD7" w:rsidRDefault="0080294D" w:rsidP="00BB7E15">
      <w:pPr>
        <w:pStyle w:val="NApunkts1"/>
        <w:numPr>
          <w:ilvl w:val="0"/>
          <w:numId w:val="0"/>
        </w:numPr>
        <w:spacing w:before="0"/>
        <w:jc w:val="left"/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3995"/>
      </w:tblGrid>
      <w:tr w:rsidR="00966987" w14:paraId="064FD0CC" w14:textId="77777777" w:rsidTr="00716916">
        <w:sdt>
          <w:sdtPr>
            <w:rPr>
              <w:bCs/>
            </w:rPr>
            <w:alias w:val="Amats"/>
            <w:tag w:val="Amats"/>
            <w:id w:val="45201534"/>
            <w:lock w:val="sdtLocked"/>
            <w:placeholder>
              <w:docPart w:val="A49B0AD5C89F4CE9922F028E99F9F0B9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Content>
            <w:tc>
              <w:tcPr>
                <w:tcW w:w="4794" w:type="dxa"/>
                <w:vAlign w:val="bottom"/>
              </w:tcPr>
              <w:p w14:paraId="2BAF9CC2" w14:textId="34D98863" w:rsidR="00966987" w:rsidRDefault="008810D0" w:rsidP="0080294D">
                <w:pPr>
                  <w:pStyle w:val="Bezatstarpm"/>
                  <w:ind w:left="-107"/>
                  <w:rPr>
                    <w:rFonts w:cs="Times New Roman"/>
                  </w:rPr>
                </w:pPr>
                <w:r w:rsidRPr="008810D0">
                  <w:rPr>
                    <w:bCs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F5E205E72CA446E1A4A759FE3699381C"/>
            </w:placeholder>
          </w:sdtPr>
          <w:sdtContent>
            <w:tc>
              <w:tcPr>
                <w:tcW w:w="3995" w:type="dxa"/>
                <w:vAlign w:val="bottom"/>
              </w:tcPr>
              <w:p w14:paraId="0B1D83A4" w14:textId="7B52E7D6" w:rsidR="00966987" w:rsidRDefault="008810D0" w:rsidP="00B661AA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 w:rsidRPr="009727C4">
                  <w:rPr>
                    <w:bCs/>
                  </w:rPr>
                  <w:t>M.</w:t>
                </w:r>
                <w:r w:rsidR="00716916">
                  <w:rPr>
                    <w:bCs/>
                  </w:rPr>
                  <w:t> </w:t>
                </w:r>
                <w:r w:rsidRPr="009727C4">
                  <w:rPr>
                    <w:bCs/>
                  </w:rPr>
                  <w:t>Kazāks</w:t>
                </w:r>
              </w:p>
            </w:tc>
          </w:sdtContent>
        </w:sdt>
      </w:tr>
    </w:tbl>
    <w:p w14:paraId="4E3DF3E4" w14:textId="3E94EC76" w:rsidR="00A114CE" w:rsidRDefault="00A114CE" w:rsidP="00AE36A5">
      <w:pPr>
        <w:spacing w:after="200" w:line="276" w:lineRule="auto"/>
        <w:rPr>
          <w:rFonts w:cs="Times New Roman"/>
          <w:szCs w:val="24"/>
        </w:rPr>
      </w:pPr>
    </w:p>
    <w:sectPr w:rsidR="00A114CE" w:rsidSect="00462153">
      <w:headerReference w:type="default" r:id="rId8"/>
      <w:headerReference w:type="first" r:id="rId9"/>
      <w:pgSz w:w="12240" w:h="15840" w:code="1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392C0" w14:textId="77777777" w:rsidR="00EE1A82" w:rsidRDefault="00EE1A82" w:rsidP="00AC4B00">
      <w:r>
        <w:separator/>
      </w:r>
    </w:p>
  </w:endnote>
  <w:endnote w:type="continuationSeparator" w:id="0">
    <w:p w14:paraId="6F41A5B2" w14:textId="77777777" w:rsidR="00EE1A82" w:rsidRDefault="00EE1A82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40637" w14:textId="77777777" w:rsidR="00EE1A82" w:rsidRDefault="00EE1A82" w:rsidP="00AC4B00">
      <w:r>
        <w:separator/>
      </w:r>
    </w:p>
  </w:footnote>
  <w:footnote w:type="continuationSeparator" w:id="0">
    <w:p w14:paraId="73A6A793" w14:textId="77777777" w:rsidR="00EE1A82" w:rsidRDefault="00EE1A82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6897685"/>
      <w:docPartObj>
        <w:docPartGallery w:val="Page Numbers (Top of Page)"/>
        <w:docPartUnique/>
      </w:docPartObj>
    </w:sdtPr>
    <w:sdtContent>
      <w:p w14:paraId="47FCD509" w14:textId="22EF6621" w:rsidR="00D61CC4" w:rsidRDefault="00D61CC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12824E" w14:textId="08CF5FDB" w:rsidR="00CF6323" w:rsidRPr="00C13664" w:rsidRDefault="00CF6323">
    <w:pPr>
      <w:pStyle w:val="Galvene"/>
      <w:jc w:val="cent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58E0D" w14:textId="43D4954B" w:rsidR="009C42A8" w:rsidRPr="009C42A8" w:rsidRDefault="004008DE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0AC70BC8" wp14:editId="4F4C7941">
          <wp:extent cx="2091055" cy="737870"/>
          <wp:effectExtent l="0" t="0" r="4445" b="5080"/>
          <wp:docPr id="1567121626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772A1"/>
    <w:multiLevelType w:val="hybridMultilevel"/>
    <w:tmpl w:val="A55AE0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-4112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-4254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-425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02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" w:hanging="1440"/>
      </w:pPr>
      <w:rPr>
        <w:rFonts w:hint="default"/>
      </w:rPr>
    </w:lvl>
  </w:abstractNum>
  <w:abstractNum w:abstractNumId="4" w15:restartNumberingAfterBreak="0">
    <w:nsid w:val="71121AAD"/>
    <w:multiLevelType w:val="hybridMultilevel"/>
    <w:tmpl w:val="D8D031DE"/>
    <w:lvl w:ilvl="0" w:tplc="0576E6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96A24"/>
    <w:multiLevelType w:val="hybridMultilevel"/>
    <w:tmpl w:val="78D4C59C"/>
    <w:lvl w:ilvl="0" w:tplc="933CF7EC">
      <w:start w:val="1"/>
      <w:numFmt w:val="decimal"/>
      <w:lvlText w:val="%1."/>
      <w:lvlJc w:val="left"/>
      <w:pPr>
        <w:ind w:left="1020" w:hanging="360"/>
      </w:pPr>
    </w:lvl>
    <w:lvl w:ilvl="1" w:tplc="D19A8CF6">
      <w:start w:val="1"/>
      <w:numFmt w:val="decimal"/>
      <w:lvlText w:val="%2."/>
      <w:lvlJc w:val="left"/>
      <w:pPr>
        <w:ind w:left="1020" w:hanging="360"/>
      </w:pPr>
    </w:lvl>
    <w:lvl w:ilvl="2" w:tplc="39F2622E">
      <w:start w:val="1"/>
      <w:numFmt w:val="decimal"/>
      <w:lvlText w:val="%3."/>
      <w:lvlJc w:val="left"/>
      <w:pPr>
        <w:ind w:left="1020" w:hanging="360"/>
      </w:pPr>
    </w:lvl>
    <w:lvl w:ilvl="3" w:tplc="E87A1F34">
      <w:start w:val="1"/>
      <w:numFmt w:val="decimal"/>
      <w:lvlText w:val="%4."/>
      <w:lvlJc w:val="left"/>
      <w:pPr>
        <w:ind w:left="1020" w:hanging="360"/>
      </w:pPr>
    </w:lvl>
    <w:lvl w:ilvl="4" w:tplc="69181F60">
      <w:start w:val="1"/>
      <w:numFmt w:val="decimal"/>
      <w:lvlText w:val="%5."/>
      <w:lvlJc w:val="left"/>
      <w:pPr>
        <w:ind w:left="1020" w:hanging="360"/>
      </w:pPr>
    </w:lvl>
    <w:lvl w:ilvl="5" w:tplc="F9388E7E">
      <w:start w:val="1"/>
      <w:numFmt w:val="decimal"/>
      <w:lvlText w:val="%6."/>
      <w:lvlJc w:val="left"/>
      <w:pPr>
        <w:ind w:left="1020" w:hanging="360"/>
      </w:pPr>
    </w:lvl>
    <w:lvl w:ilvl="6" w:tplc="DC3C8452">
      <w:start w:val="1"/>
      <w:numFmt w:val="decimal"/>
      <w:lvlText w:val="%7."/>
      <w:lvlJc w:val="left"/>
      <w:pPr>
        <w:ind w:left="1020" w:hanging="360"/>
      </w:pPr>
    </w:lvl>
    <w:lvl w:ilvl="7" w:tplc="D76E1E08">
      <w:start w:val="1"/>
      <w:numFmt w:val="decimal"/>
      <w:lvlText w:val="%8."/>
      <w:lvlJc w:val="left"/>
      <w:pPr>
        <w:ind w:left="1020" w:hanging="360"/>
      </w:pPr>
    </w:lvl>
    <w:lvl w:ilvl="8" w:tplc="6C8CAED0">
      <w:start w:val="1"/>
      <w:numFmt w:val="decimal"/>
      <w:lvlText w:val="%9."/>
      <w:lvlJc w:val="left"/>
      <w:pPr>
        <w:ind w:left="1020" w:hanging="360"/>
      </w:pPr>
    </w:lvl>
  </w:abstractNum>
  <w:num w:numId="1" w16cid:durableId="1875461937">
    <w:abstractNumId w:val="2"/>
  </w:num>
  <w:num w:numId="2" w16cid:durableId="1957129373">
    <w:abstractNumId w:val="3"/>
  </w:num>
  <w:num w:numId="3" w16cid:durableId="270669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0"/>
  </w:num>
  <w:num w:numId="8" w16cid:durableId="474689554">
    <w:abstractNumId w:val="1"/>
  </w:num>
  <w:num w:numId="9" w16cid:durableId="979574066">
    <w:abstractNumId w:val="4"/>
  </w:num>
  <w:num w:numId="10" w16cid:durableId="2007828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70D"/>
    <w:rsid w:val="00000FB3"/>
    <w:rsid w:val="00003926"/>
    <w:rsid w:val="0000407E"/>
    <w:rsid w:val="0000488F"/>
    <w:rsid w:val="00006F9B"/>
    <w:rsid w:val="0001049F"/>
    <w:rsid w:val="00011E5E"/>
    <w:rsid w:val="00014848"/>
    <w:rsid w:val="0001526E"/>
    <w:rsid w:val="0001570D"/>
    <w:rsid w:val="00016575"/>
    <w:rsid w:val="00017C12"/>
    <w:rsid w:val="00020BCE"/>
    <w:rsid w:val="00032258"/>
    <w:rsid w:val="00032F04"/>
    <w:rsid w:val="00033B6B"/>
    <w:rsid w:val="00041EB3"/>
    <w:rsid w:val="00042C07"/>
    <w:rsid w:val="00044094"/>
    <w:rsid w:val="00045FF2"/>
    <w:rsid w:val="00050EE0"/>
    <w:rsid w:val="00052D85"/>
    <w:rsid w:val="000551D9"/>
    <w:rsid w:val="00060D2F"/>
    <w:rsid w:val="00064913"/>
    <w:rsid w:val="00070DE6"/>
    <w:rsid w:val="00071A8F"/>
    <w:rsid w:val="000777FF"/>
    <w:rsid w:val="0008729D"/>
    <w:rsid w:val="00087C92"/>
    <w:rsid w:val="000902CF"/>
    <w:rsid w:val="00090CDC"/>
    <w:rsid w:val="00092681"/>
    <w:rsid w:val="00095B4B"/>
    <w:rsid w:val="000973A6"/>
    <w:rsid w:val="00097BBA"/>
    <w:rsid w:val="000A7360"/>
    <w:rsid w:val="000B2C31"/>
    <w:rsid w:val="000B41DB"/>
    <w:rsid w:val="000B4883"/>
    <w:rsid w:val="000C1459"/>
    <w:rsid w:val="000C583E"/>
    <w:rsid w:val="000C691F"/>
    <w:rsid w:val="000C6A7B"/>
    <w:rsid w:val="000C745C"/>
    <w:rsid w:val="000D18A5"/>
    <w:rsid w:val="000D2E36"/>
    <w:rsid w:val="000D6495"/>
    <w:rsid w:val="000D7992"/>
    <w:rsid w:val="000E15E5"/>
    <w:rsid w:val="000E4379"/>
    <w:rsid w:val="000E629A"/>
    <w:rsid w:val="000E7956"/>
    <w:rsid w:val="000F32C2"/>
    <w:rsid w:val="000F628B"/>
    <w:rsid w:val="00100FB1"/>
    <w:rsid w:val="001026BB"/>
    <w:rsid w:val="00115569"/>
    <w:rsid w:val="00116D32"/>
    <w:rsid w:val="0011750E"/>
    <w:rsid w:val="00121EDB"/>
    <w:rsid w:val="00123001"/>
    <w:rsid w:val="00123DCA"/>
    <w:rsid w:val="00134577"/>
    <w:rsid w:val="00135EC6"/>
    <w:rsid w:val="0013626B"/>
    <w:rsid w:val="00136FF0"/>
    <w:rsid w:val="0014118D"/>
    <w:rsid w:val="001413BE"/>
    <w:rsid w:val="00141FF4"/>
    <w:rsid w:val="00143261"/>
    <w:rsid w:val="00145D4F"/>
    <w:rsid w:val="00146594"/>
    <w:rsid w:val="00146B8F"/>
    <w:rsid w:val="0015056A"/>
    <w:rsid w:val="0015184F"/>
    <w:rsid w:val="00152208"/>
    <w:rsid w:val="00152B9E"/>
    <w:rsid w:val="00152C88"/>
    <w:rsid w:val="00152D15"/>
    <w:rsid w:val="00155AFE"/>
    <w:rsid w:val="0016036D"/>
    <w:rsid w:val="001621D7"/>
    <w:rsid w:val="00163A9D"/>
    <w:rsid w:val="0016467F"/>
    <w:rsid w:val="00166F6A"/>
    <w:rsid w:val="00174990"/>
    <w:rsid w:val="001758D6"/>
    <w:rsid w:val="00180603"/>
    <w:rsid w:val="001808BB"/>
    <w:rsid w:val="00184377"/>
    <w:rsid w:val="0019175A"/>
    <w:rsid w:val="001938A4"/>
    <w:rsid w:val="00194A40"/>
    <w:rsid w:val="00197AE7"/>
    <w:rsid w:val="001A53A6"/>
    <w:rsid w:val="001A74EE"/>
    <w:rsid w:val="001B0476"/>
    <w:rsid w:val="001B5D7D"/>
    <w:rsid w:val="001B6932"/>
    <w:rsid w:val="001C2628"/>
    <w:rsid w:val="001C4600"/>
    <w:rsid w:val="001C7AA1"/>
    <w:rsid w:val="001D3C93"/>
    <w:rsid w:val="001D484B"/>
    <w:rsid w:val="001D75B6"/>
    <w:rsid w:val="001E6FD8"/>
    <w:rsid w:val="002016F8"/>
    <w:rsid w:val="00201D71"/>
    <w:rsid w:val="002058AD"/>
    <w:rsid w:val="002111DC"/>
    <w:rsid w:val="00213EA0"/>
    <w:rsid w:val="00214C0E"/>
    <w:rsid w:val="00215938"/>
    <w:rsid w:val="00215D57"/>
    <w:rsid w:val="00221F97"/>
    <w:rsid w:val="002220E9"/>
    <w:rsid w:val="002234DD"/>
    <w:rsid w:val="00224976"/>
    <w:rsid w:val="00230DDA"/>
    <w:rsid w:val="0023463E"/>
    <w:rsid w:val="00236043"/>
    <w:rsid w:val="002433C1"/>
    <w:rsid w:val="00243A10"/>
    <w:rsid w:val="0024650B"/>
    <w:rsid w:val="00256F19"/>
    <w:rsid w:val="00261FEB"/>
    <w:rsid w:val="0026454D"/>
    <w:rsid w:val="0026765A"/>
    <w:rsid w:val="00270EAE"/>
    <w:rsid w:val="002728B2"/>
    <w:rsid w:val="002946F2"/>
    <w:rsid w:val="00297192"/>
    <w:rsid w:val="002A6E79"/>
    <w:rsid w:val="002A6F15"/>
    <w:rsid w:val="002A7971"/>
    <w:rsid w:val="002C08EB"/>
    <w:rsid w:val="002C2759"/>
    <w:rsid w:val="002C29EF"/>
    <w:rsid w:val="002C6772"/>
    <w:rsid w:val="002C6DA2"/>
    <w:rsid w:val="002C6FD2"/>
    <w:rsid w:val="002D4877"/>
    <w:rsid w:val="002D4881"/>
    <w:rsid w:val="002E02C2"/>
    <w:rsid w:val="002E0B60"/>
    <w:rsid w:val="002E516B"/>
    <w:rsid w:val="002F6068"/>
    <w:rsid w:val="00301089"/>
    <w:rsid w:val="0030334C"/>
    <w:rsid w:val="003044B0"/>
    <w:rsid w:val="00305240"/>
    <w:rsid w:val="00310FF0"/>
    <w:rsid w:val="00312109"/>
    <w:rsid w:val="0031291E"/>
    <w:rsid w:val="00314D0D"/>
    <w:rsid w:val="00315801"/>
    <w:rsid w:val="00316777"/>
    <w:rsid w:val="00316ED4"/>
    <w:rsid w:val="003208D4"/>
    <w:rsid w:val="00321C28"/>
    <w:rsid w:val="0032270E"/>
    <w:rsid w:val="00325546"/>
    <w:rsid w:val="00327E75"/>
    <w:rsid w:val="00330A82"/>
    <w:rsid w:val="00334BEC"/>
    <w:rsid w:val="00334FC3"/>
    <w:rsid w:val="00335939"/>
    <w:rsid w:val="00335D0F"/>
    <w:rsid w:val="0034630B"/>
    <w:rsid w:val="00347991"/>
    <w:rsid w:val="003506FB"/>
    <w:rsid w:val="00357921"/>
    <w:rsid w:val="00357F72"/>
    <w:rsid w:val="003607B2"/>
    <w:rsid w:val="00366379"/>
    <w:rsid w:val="00367103"/>
    <w:rsid w:val="00373AEA"/>
    <w:rsid w:val="003743AD"/>
    <w:rsid w:val="003758F4"/>
    <w:rsid w:val="0038409D"/>
    <w:rsid w:val="00384559"/>
    <w:rsid w:val="003858A4"/>
    <w:rsid w:val="00387CD0"/>
    <w:rsid w:val="00396035"/>
    <w:rsid w:val="003A705F"/>
    <w:rsid w:val="003C11E9"/>
    <w:rsid w:val="003C1EF2"/>
    <w:rsid w:val="003D4405"/>
    <w:rsid w:val="003D56AA"/>
    <w:rsid w:val="003D69B5"/>
    <w:rsid w:val="003D79CA"/>
    <w:rsid w:val="003D7B2F"/>
    <w:rsid w:val="003E0FBE"/>
    <w:rsid w:val="003E1732"/>
    <w:rsid w:val="003E2334"/>
    <w:rsid w:val="003E3F94"/>
    <w:rsid w:val="003E46F5"/>
    <w:rsid w:val="003E47EE"/>
    <w:rsid w:val="003F31B1"/>
    <w:rsid w:val="003F4781"/>
    <w:rsid w:val="003F7A37"/>
    <w:rsid w:val="004008DE"/>
    <w:rsid w:val="00402B09"/>
    <w:rsid w:val="00405DF6"/>
    <w:rsid w:val="004128D3"/>
    <w:rsid w:val="00413CBB"/>
    <w:rsid w:val="00415092"/>
    <w:rsid w:val="00415481"/>
    <w:rsid w:val="004239C6"/>
    <w:rsid w:val="0042520B"/>
    <w:rsid w:val="00425CB3"/>
    <w:rsid w:val="0042650E"/>
    <w:rsid w:val="00433B97"/>
    <w:rsid w:val="0043520E"/>
    <w:rsid w:val="004407F1"/>
    <w:rsid w:val="00440CAF"/>
    <w:rsid w:val="004567E6"/>
    <w:rsid w:val="00456CE2"/>
    <w:rsid w:val="004570F5"/>
    <w:rsid w:val="004578E2"/>
    <w:rsid w:val="00462153"/>
    <w:rsid w:val="00467001"/>
    <w:rsid w:val="0047409B"/>
    <w:rsid w:val="0048117A"/>
    <w:rsid w:val="0048177E"/>
    <w:rsid w:val="00483F50"/>
    <w:rsid w:val="00486F0F"/>
    <w:rsid w:val="00490B4F"/>
    <w:rsid w:val="00495375"/>
    <w:rsid w:val="00495F1C"/>
    <w:rsid w:val="00496BCF"/>
    <w:rsid w:val="00496BE7"/>
    <w:rsid w:val="0049784D"/>
    <w:rsid w:val="004A1DC5"/>
    <w:rsid w:val="004A46D7"/>
    <w:rsid w:val="004A57FE"/>
    <w:rsid w:val="004B75BD"/>
    <w:rsid w:val="004C6932"/>
    <w:rsid w:val="004C7DDD"/>
    <w:rsid w:val="004D369F"/>
    <w:rsid w:val="004D6658"/>
    <w:rsid w:val="004D7777"/>
    <w:rsid w:val="004E010B"/>
    <w:rsid w:val="004E03FA"/>
    <w:rsid w:val="004E2F58"/>
    <w:rsid w:val="004E3633"/>
    <w:rsid w:val="004E3C57"/>
    <w:rsid w:val="004F188F"/>
    <w:rsid w:val="004F20F1"/>
    <w:rsid w:val="004F3DF9"/>
    <w:rsid w:val="004F7FE5"/>
    <w:rsid w:val="00503ED1"/>
    <w:rsid w:val="005043B3"/>
    <w:rsid w:val="00506231"/>
    <w:rsid w:val="005122CD"/>
    <w:rsid w:val="00513C2C"/>
    <w:rsid w:val="00514229"/>
    <w:rsid w:val="0051668E"/>
    <w:rsid w:val="00517C35"/>
    <w:rsid w:val="00520335"/>
    <w:rsid w:val="00527661"/>
    <w:rsid w:val="00531A8F"/>
    <w:rsid w:val="00534C78"/>
    <w:rsid w:val="00535B61"/>
    <w:rsid w:val="0053695B"/>
    <w:rsid w:val="00540F98"/>
    <w:rsid w:val="0054149E"/>
    <w:rsid w:val="0054491D"/>
    <w:rsid w:val="005456AC"/>
    <w:rsid w:val="00552A19"/>
    <w:rsid w:val="00557950"/>
    <w:rsid w:val="00563FC6"/>
    <w:rsid w:val="00566D1E"/>
    <w:rsid w:val="00567796"/>
    <w:rsid w:val="0057721A"/>
    <w:rsid w:val="005778F7"/>
    <w:rsid w:val="00584A69"/>
    <w:rsid w:val="005863AD"/>
    <w:rsid w:val="005908E1"/>
    <w:rsid w:val="00594016"/>
    <w:rsid w:val="005964A2"/>
    <w:rsid w:val="005A0682"/>
    <w:rsid w:val="005A22DF"/>
    <w:rsid w:val="005B116D"/>
    <w:rsid w:val="005B50B2"/>
    <w:rsid w:val="005B737F"/>
    <w:rsid w:val="005C2181"/>
    <w:rsid w:val="005C43B0"/>
    <w:rsid w:val="005C4F9F"/>
    <w:rsid w:val="005C594D"/>
    <w:rsid w:val="005C6A68"/>
    <w:rsid w:val="005D4E4E"/>
    <w:rsid w:val="005D5A21"/>
    <w:rsid w:val="005D6642"/>
    <w:rsid w:val="005E298F"/>
    <w:rsid w:val="005E718E"/>
    <w:rsid w:val="005F65BC"/>
    <w:rsid w:val="005F6BDB"/>
    <w:rsid w:val="005F7BD2"/>
    <w:rsid w:val="00600AF4"/>
    <w:rsid w:val="00607EB8"/>
    <w:rsid w:val="006122B9"/>
    <w:rsid w:val="006131DF"/>
    <w:rsid w:val="006137A4"/>
    <w:rsid w:val="00622FAE"/>
    <w:rsid w:val="00626D42"/>
    <w:rsid w:val="006300F2"/>
    <w:rsid w:val="00633016"/>
    <w:rsid w:val="0063628F"/>
    <w:rsid w:val="00643B53"/>
    <w:rsid w:val="00643DDC"/>
    <w:rsid w:val="006460D4"/>
    <w:rsid w:val="00655D5F"/>
    <w:rsid w:val="006600DE"/>
    <w:rsid w:val="006676AA"/>
    <w:rsid w:val="00682555"/>
    <w:rsid w:val="00687BC7"/>
    <w:rsid w:val="00691117"/>
    <w:rsid w:val="0069681B"/>
    <w:rsid w:val="006A4B10"/>
    <w:rsid w:val="006B66D1"/>
    <w:rsid w:val="006C06FD"/>
    <w:rsid w:val="006C2D61"/>
    <w:rsid w:val="006C6409"/>
    <w:rsid w:val="006C6834"/>
    <w:rsid w:val="006D395C"/>
    <w:rsid w:val="006D4201"/>
    <w:rsid w:val="006D44F8"/>
    <w:rsid w:val="006D5248"/>
    <w:rsid w:val="006D5E2B"/>
    <w:rsid w:val="006D6C66"/>
    <w:rsid w:val="006F5243"/>
    <w:rsid w:val="006F5854"/>
    <w:rsid w:val="00702D67"/>
    <w:rsid w:val="00702E11"/>
    <w:rsid w:val="00704600"/>
    <w:rsid w:val="00711A1F"/>
    <w:rsid w:val="00713159"/>
    <w:rsid w:val="00716916"/>
    <w:rsid w:val="00721CAB"/>
    <w:rsid w:val="00723141"/>
    <w:rsid w:val="00723152"/>
    <w:rsid w:val="00727484"/>
    <w:rsid w:val="00736E22"/>
    <w:rsid w:val="0074134C"/>
    <w:rsid w:val="007428D5"/>
    <w:rsid w:val="00742AAA"/>
    <w:rsid w:val="007434BA"/>
    <w:rsid w:val="007434D8"/>
    <w:rsid w:val="00745BEF"/>
    <w:rsid w:val="00746FE1"/>
    <w:rsid w:val="00751306"/>
    <w:rsid w:val="007577AE"/>
    <w:rsid w:val="00764951"/>
    <w:rsid w:val="00764A6D"/>
    <w:rsid w:val="00765C73"/>
    <w:rsid w:val="0077160B"/>
    <w:rsid w:val="00771CB0"/>
    <w:rsid w:val="0077573E"/>
    <w:rsid w:val="00777FEA"/>
    <w:rsid w:val="00785742"/>
    <w:rsid w:val="00786020"/>
    <w:rsid w:val="00791550"/>
    <w:rsid w:val="0079205D"/>
    <w:rsid w:val="007A05A7"/>
    <w:rsid w:val="007A4159"/>
    <w:rsid w:val="007A4811"/>
    <w:rsid w:val="007A5B65"/>
    <w:rsid w:val="007A64F9"/>
    <w:rsid w:val="007B18F2"/>
    <w:rsid w:val="007B295C"/>
    <w:rsid w:val="007C1A03"/>
    <w:rsid w:val="007C2D5D"/>
    <w:rsid w:val="007C6357"/>
    <w:rsid w:val="007D30CE"/>
    <w:rsid w:val="007D5280"/>
    <w:rsid w:val="007D5C1E"/>
    <w:rsid w:val="007D64EA"/>
    <w:rsid w:val="007E46A1"/>
    <w:rsid w:val="007E5987"/>
    <w:rsid w:val="007E5E10"/>
    <w:rsid w:val="007E5E7C"/>
    <w:rsid w:val="007E7642"/>
    <w:rsid w:val="007F2179"/>
    <w:rsid w:val="007F3109"/>
    <w:rsid w:val="007F4A16"/>
    <w:rsid w:val="007F51AD"/>
    <w:rsid w:val="007F58E8"/>
    <w:rsid w:val="007F62E4"/>
    <w:rsid w:val="007F742B"/>
    <w:rsid w:val="0080294D"/>
    <w:rsid w:val="00803C74"/>
    <w:rsid w:val="00805B09"/>
    <w:rsid w:val="0080664F"/>
    <w:rsid w:val="00812FC8"/>
    <w:rsid w:val="00815622"/>
    <w:rsid w:val="008249E2"/>
    <w:rsid w:val="008303BE"/>
    <w:rsid w:val="0083261E"/>
    <w:rsid w:val="00835CB4"/>
    <w:rsid w:val="00840679"/>
    <w:rsid w:val="00840908"/>
    <w:rsid w:val="008473B1"/>
    <w:rsid w:val="0085094A"/>
    <w:rsid w:val="00852F03"/>
    <w:rsid w:val="00854778"/>
    <w:rsid w:val="008548A6"/>
    <w:rsid w:val="008575CE"/>
    <w:rsid w:val="008613FA"/>
    <w:rsid w:val="00861D60"/>
    <w:rsid w:val="008675D9"/>
    <w:rsid w:val="00871FBF"/>
    <w:rsid w:val="008738FB"/>
    <w:rsid w:val="00873CB5"/>
    <w:rsid w:val="00873DD7"/>
    <w:rsid w:val="008752A7"/>
    <w:rsid w:val="008810D0"/>
    <w:rsid w:val="00883056"/>
    <w:rsid w:val="0088333D"/>
    <w:rsid w:val="00883F32"/>
    <w:rsid w:val="00885A72"/>
    <w:rsid w:val="008877B0"/>
    <w:rsid w:val="00890C3B"/>
    <w:rsid w:val="0089114A"/>
    <w:rsid w:val="008927C2"/>
    <w:rsid w:val="00892AB3"/>
    <w:rsid w:val="008952A9"/>
    <w:rsid w:val="00896373"/>
    <w:rsid w:val="008A0034"/>
    <w:rsid w:val="008B1BF5"/>
    <w:rsid w:val="008B7636"/>
    <w:rsid w:val="008C047F"/>
    <w:rsid w:val="008C37B9"/>
    <w:rsid w:val="008C7D6D"/>
    <w:rsid w:val="008D4492"/>
    <w:rsid w:val="008D721D"/>
    <w:rsid w:val="008E193C"/>
    <w:rsid w:val="008E3592"/>
    <w:rsid w:val="008E6850"/>
    <w:rsid w:val="008F3EBD"/>
    <w:rsid w:val="00901751"/>
    <w:rsid w:val="00902D77"/>
    <w:rsid w:val="00904264"/>
    <w:rsid w:val="00907E31"/>
    <w:rsid w:val="00914E2B"/>
    <w:rsid w:val="00916B68"/>
    <w:rsid w:val="00924B8A"/>
    <w:rsid w:val="009255AF"/>
    <w:rsid w:val="00926D2C"/>
    <w:rsid w:val="009306A9"/>
    <w:rsid w:val="00930B16"/>
    <w:rsid w:val="00932F7C"/>
    <w:rsid w:val="009340B0"/>
    <w:rsid w:val="00934ACC"/>
    <w:rsid w:val="00937348"/>
    <w:rsid w:val="00937AA2"/>
    <w:rsid w:val="00937BE0"/>
    <w:rsid w:val="009400BA"/>
    <w:rsid w:val="0094113A"/>
    <w:rsid w:val="00942309"/>
    <w:rsid w:val="00944EE2"/>
    <w:rsid w:val="009468BB"/>
    <w:rsid w:val="00955526"/>
    <w:rsid w:val="0095740C"/>
    <w:rsid w:val="00962F4A"/>
    <w:rsid w:val="0096320A"/>
    <w:rsid w:val="00966987"/>
    <w:rsid w:val="00966FB8"/>
    <w:rsid w:val="009707FB"/>
    <w:rsid w:val="00971D8D"/>
    <w:rsid w:val="009720B2"/>
    <w:rsid w:val="009727C4"/>
    <w:rsid w:val="00972A3D"/>
    <w:rsid w:val="00975533"/>
    <w:rsid w:val="00975A9D"/>
    <w:rsid w:val="00977588"/>
    <w:rsid w:val="00985755"/>
    <w:rsid w:val="0098629A"/>
    <w:rsid w:val="00986DFB"/>
    <w:rsid w:val="00987D19"/>
    <w:rsid w:val="009907CF"/>
    <w:rsid w:val="00991D6F"/>
    <w:rsid w:val="009A2CEC"/>
    <w:rsid w:val="009A43CE"/>
    <w:rsid w:val="009A6626"/>
    <w:rsid w:val="009A799F"/>
    <w:rsid w:val="009B457D"/>
    <w:rsid w:val="009B54F4"/>
    <w:rsid w:val="009B5F90"/>
    <w:rsid w:val="009B7B30"/>
    <w:rsid w:val="009C42A8"/>
    <w:rsid w:val="009C5461"/>
    <w:rsid w:val="009D4BFF"/>
    <w:rsid w:val="009D75DB"/>
    <w:rsid w:val="009E1209"/>
    <w:rsid w:val="009E1FD2"/>
    <w:rsid w:val="009F66BC"/>
    <w:rsid w:val="00A00CFB"/>
    <w:rsid w:val="00A039C7"/>
    <w:rsid w:val="00A071D3"/>
    <w:rsid w:val="00A07F61"/>
    <w:rsid w:val="00A111CF"/>
    <w:rsid w:val="00A114CE"/>
    <w:rsid w:val="00A121DA"/>
    <w:rsid w:val="00A13372"/>
    <w:rsid w:val="00A134D8"/>
    <w:rsid w:val="00A21E8E"/>
    <w:rsid w:val="00A22BF2"/>
    <w:rsid w:val="00A247BA"/>
    <w:rsid w:val="00A24CF1"/>
    <w:rsid w:val="00A275B9"/>
    <w:rsid w:val="00A333B8"/>
    <w:rsid w:val="00A35387"/>
    <w:rsid w:val="00A35472"/>
    <w:rsid w:val="00A37D4C"/>
    <w:rsid w:val="00A4164F"/>
    <w:rsid w:val="00A42E46"/>
    <w:rsid w:val="00A44981"/>
    <w:rsid w:val="00A456B7"/>
    <w:rsid w:val="00A45A6D"/>
    <w:rsid w:val="00A46F0F"/>
    <w:rsid w:val="00A55861"/>
    <w:rsid w:val="00A56918"/>
    <w:rsid w:val="00A57233"/>
    <w:rsid w:val="00A61218"/>
    <w:rsid w:val="00A63974"/>
    <w:rsid w:val="00A6442F"/>
    <w:rsid w:val="00A6491F"/>
    <w:rsid w:val="00A64981"/>
    <w:rsid w:val="00A6766A"/>
    <w:rsid w:val="00A70806"/>
    <w:rsid w:val="00A72A98"/>
    <w:rsid w:val="00A809FD"/>
    <w:rsid w:val="00A81C6C"/>
    <w:rsid w:val="00A834BB"/>
    <w:rsid w:val="00A8769E"/>
    <w:rsid w:val="00A934AC"/>
    <w:rsid w:val="00A94CF3"/>
    <w:rsid w:val="00A97282"/>
    <w:rsid w:val="00AA1C50"/>
    <w:rsid w:val="00AA4809"/>
    <w:rsid w:val="00AB5D6C"/>
    <w:rsid w:val="00AC0A81"/>
    <w:rsid w:val="00AC33F8"/>
    <w:rsid w:val="00AC4B00"/>
    <w:rsid w:val="00AC4D59"/>
    <w:rsid w:val="00AD01A8"/>
    <w:rsid w:val="00AD65E6"/>
    <w:rsid w:val="00AE16E9"/>
    <w:rsid w:val="00AE36A5"/>
    <w:rsid w:val="00AE5591"/>
    <w:rsid w:val="00AE6B43"/>
    <w:rsid w:val="00AE7C6A"/>
    <w:rsid w:val="00AF01DC"/>
    <w:rsid w:val="00B01DD0"/>
    <w:rsid w:val="00B024E9"/>
    <w:rsid w:val="00B0570D"/>
    <w:rsid w:val="00B05A0A"/>
    <w:rsid w:val="00B07CF6"/>
    <w:rsid w:val="00B1056C"/>
    <w:rsid w:val="00B11377"/>
    <w:rsid w:val="00B22459"/>
    <w:rsid w:val="00B22E69"/>
    <w:rsid w:val="00B23B22"/>
    <w:rsid w:val="00B266B6"/>
    <w:rsid w:val="00B309C3"/>
    <w:rsid w:val="00B3139F"/>
    <w:rsid w:val="00B31CE7"/>
    <w:rsid w:val="00B33445"/>
    <w:rsid w:val="00B33C85"/>
    <w:rsid w:val="00B34C3C"/>
    <w:rsid w:val="00B3784A"/>
    <w:rsid w:val="00B400EE"/>
    <w:rsid w:val="00B41461"/>
    <w:rsid w:val="00B42744"/>
    <w:rsid w:val="00B436ED"/>
    <w:rsid w:val="00B441E5"/>
    <w:rsid w:val="00B45E41"/>
    <w:rsid w:val="00B46517"/>
    <w:rsid w:val="00B468A3"/>
    <w:rsid w:val="00B51B90"/>
    <w:rsid w:val="00B661AA"/>
    <w:rsid w:val="00B70A3A"/>
    <w:rsid w:val="00B74C15"/>
    <w:rsid w:val="00B77626"/>
    <w:rsid w:val="00B8110C"/>
    <w:rsid w:val="00B823C3"/>
    <w:rsid w:val="00B84931"/>
    <w:rsid w:val="00B85E98"/>
    <w:rsid w:val="00B92883"/>
    <w:rsid w:val="00B929FB"/>
    <w:rsid w:val="00B930FD"/>
    <w:rsid w:val="00BA004E"/>
    <w:rsid w:val="00BA51E0"/>
    <w:rsid w:val="00BB19D5"/>
    <w:rsid w:val="00BB311D"/>
    <w:rsid w:val="00BB3177"/>
    <w:rsid w:val="00BB3763"/>
    <w:rsid w:val="00BB3D74"/>
    <w:rsid w:val="00BB57C6"/>
    <w:rsid w:val="00BB7E15"/>
    <w:rsid w:val="00BC10B4"/>
    <w:rsid w:val="00BC69D0"/>
    <w:rsid w:val="00BC7A66"/>
    <w:rsid w:val="00BD0D4D"/>
    <w:rsid w:val="00BD1FB4"/>
    <w:rsid w:val="00BD3FB8"/>
    <w:rsid w:val="00BD44B5"/>
    <w:rsid w:val="00BD54DC"/>
    <w:rsid w:val="00BE02FA"/>
    <w:rsid w:val="00BE5200"/>
    <w:rsid w:val="00BF0E8D"/>
    <w:rsid w:val="00BF3C96"/>
    <w:rsid w:val="00BF41BD"/>
    <w:rsid w:val="00BF71C8"/>
    <w:rsid w:val="00C03438"/>
    <w:rsid w:val="00C045A0"/>
    <w:rsid w:val="00C0665C"/>
    <w:rsid w:val="00C07F58"/>
    <w:rsid w:val="00C13664"/>
    <w:rsid w:val="00C2284A"/>
    <w:rsid w:val="00C23D14"/>
    <w:rsid w:val="00C24497"/>
    <w:rsid w:val="00C24F61"/>
    <w:rsid w:val="00C302EE"/>
    <w:rsid w:val="00C340E1"/>
    <w:rsid w:val="00C34A31"/>
    <w:rsid w:val="00C3644D"/>
    <w:rsid w:val="00C45CAC"/>
    <w:rsid w:val="00C54D54"/>
    <w:rsid w:val="00C5530F"/>
    <w:rsid w:val="00C554FC"/>
    <w:rsid w:val="00C55DA4"/>
    <w:rsid w:val="00C65E29"/>
    <w:rsid w:val="00C7054E"/>
    <w:rsid w:val="00C73633"/>
    <w:rsid w:val="00C748C0"/>
    <w:rsid w:val="00C7577F"/>
    <w:rsid w:val="00C86EAA"/>
    <w:rsid w:val="00C87276"/>
    <w:rsid w:val="00C9063D"/>
    <w:rsid w:val="00C92805"/>
    <w:rsid w:val="00C9372D"/>
    <w:rsid w:val="00C9642D"/>
    <w:rsid w:val="00CA00C2"/>
    <w:rsid w:val="00CA3402"/>
    <w:rsid w:val="00CA78AB"/>
    <w:rsid w:val="00CB46A5"/>
    <w:rsid w:val="00CC18A1"/>
    <w:rsid w:val="00CC367A"/>
    <w:rsid w:val="00CC3996"/>
    <w:rsid w:val="00CC5863"/>
    <w:rsid w:val="00CC7EDF"/>
    <w:rsid w:val="00CD0DC3"/>
    <w:rsid w:val="00CD24A0"/>
    <w:rsid w:val="00CF3B78"/>
    <w:rsid w:val="00CF43D0"/>
    <w:rsid w:val="00CF49CA"/>
    <w:rsid w:val="00CF4F73"/>
    <w:rsid w:val="00CF6323"/>
    <w:rsid w:val="00CF6F10"/>
    <w:rsid w:val="00CF7AE3"/>
    <w:rsid w:val="00D02919"/>
    <w:rsid w:val="00D04552"/>
    <w:rsid w:val="00D07390"/>
    <w:rsid w:val="00D11380"/>
    <w:rsid w:val="00D11B08"/>
    <w:rsid w:val="00D12DB8"/>
    <w:rsid w:val="00D17C3E"/>
    <w:rsid w:val="00D2451F"/>
    <w:rsid w:val="00D24C84"/>
    <w:rsid w:val="00D26119"/>
    <w:rsid w:val="00D410D8"/>
    <w:rsid w:val="00D55360"/>
    <w:rsid w:val="00D56791"/>
    <w:rsid w:val="00D61CC4"/>
    <w:rsid w:val="00D62085"/>
    <w:rsid w:val="00D65B70"/>
    <w:rsid w:val="00D714D7"/>
    <w:rsid w:val="00D73271"/>
    <w:rsid w:val="00D75E30"/>
    <w:rsid w:val="00D7695F"/>
    <w:rsid w:val="00D84B54"/>
    <w:rsid w:val="00D879E7"/>
    <w:rsid w:val="00D91540"/>
    <w:rsid w:val="00D948B9"/>
    <w:rsid w:val="00D95AEA"/>
    <w:rsid w:val="00D95F8A"/>
    <w:rsid w:val="00DA0C50"/>
    <w:rsid w:val="00DB385B"/>
    <w:rsid w:val="00DB46A9"/>
    <w:rsid w:val="00DB72F4"/>
    <w:rsid w:val="00DB784C"/>
    <w:rsid w:val="00DC1EFB"/>
    <w:rsid w:val="00DC6087"/>
    <w:rsid w:val="00DD59F1"/>
    <w:rsid w:val="00DD74DE"/>
    <w:rsid w:val="00DE1BF3"/>
    <w:rsid w:val="00DE29AA"/>
    <w:rsid w:val="00DE3859"/>
    <w:rsid w:val="00DE3861"/>
    <w:rsid w:val="00DE5483"/>
    <w:rsid w:val="00DE5516"/>
    <w:rsid w:val="00DF0D43"/>
    <w:rsid w:val="00DF7436"/>
    <w:rsid w:val="00DF7636"/>
    <w:rsid w:val="00DF7E2F"/>
    <w:rsid w:val="00E06255"/>
    <w:rsid w:val="00E10FB0"/>
    <w:rsid w:val="00E11091"/>
    <w:rsid w:val="00E11571"/>
    <w:rsid w:val="00E1606D"/>
    <w:rsid w:val="00E16D7D"/>
    <w:rsid w:val="00E224D5"/>
    <w:rsid w:val="00E24966"/>
    <w:rsid w:val="00E259BA"/>
    <w:rsid w:val="00E30E97"/>
    <w:rsid w:val="00E3140C"/>
    <w:rsid w:val="00E33781"/>
    <w:rsid w:val="00E33985"/>
    <w:rsid w:val="00E346EE"/>
    <w:rsid w:val="00E35B29"/>
    <w:rsid w:val="00E36793"/>
    <w:rsid w:val="00E37396"/>
    <w:rsid w:val="00E40963"/>
    <w:rsid w:val="00E4174B"/>
    <w:rsid w:val="00E422B7"/>
    <w:rsid w:val="00E45B78"/>
    <w:rsid w:val="00E50716"/>
    <w:rsid w:val="00E53E05"/>
    <w:rsid w:val="00E56611"/>
    <w:rsid w:val="00E60A44"/>
    <w:rsid w:val="00E623EB"/>
    <w:rsid w:val="00E663DA"/>
    <w:rsid w:val="00E669D2"/>
    <w:rsid w:val="00E66EC4"/>
    <w:rsid w:val="00E67215"/>
    <w:rsid w:val="00E70344"/>
    <w:rsid w:val="00E77369"/>
    <w:rsid w:val="00E77AEE"/>
    <w:rsid w:val="00E818D0"/>
    <w:rsid w:val="00E83196"/>
    <w:rsid w:val="00E854C0"/>
    <w:rsid w:val="00E92271"/>
    <w:rsid w:val="00E95261"/>
    <w:rsid w:val="00EB733D"/>
    <w:rsid w:val="00EC64B0"/>
    <w:rsid w:val="00EE03FA"/>
    <w:rsid w:val="00EE1A82"/>
    <w:rsid w:val="00EE21B3"/>
    <w:rsid w:val="00EE7099"/>
    <w:rsid w:val="00EE73EB"/>
    <w:rsid w:val="00EF0241"/>
    <w:rsid w:val="00EF2060"/>
    <w:rsid w:val="00EF5753"/>
    <w:rsid w:val="00F018B2"/>
    <w:rsid w:val="00F02423"/>
    <w:rsid w:val="00F03FEA"/>
    <w:rsid w:val="00F059A7"/>
    <w:rsid w:val="00F118AA"/>
    <w:rsid w:val="00F13CBA"/>
    <w:rsid w:val="00F13DD7"/>
    <w:rsid w:val="00F151C7"/>
    <w:rsid w:val="00F20DD8"/>
    <w:rsid w:val="00F214DB"/>
    <w:rsid w:val="00F22DBA"/>
    <w:rsid w:val="00F23AC7"/>
    <w:rsid w:val="00F26273"/>
    <w:rsid w:val="00F271FF"/>
    <w:rsid w:val="00F306D8"/>
    <w:rsid w:val="00F30773"/>
    <w:rsid w:val="00F30F87"/>
    <w:rsid w:val="00F33CCF"/>
    <w:rsid w:val="00F36568"/>
    <w:rsid w:val="00F37F13"/>
    <w:rsid w:val="00F434D8"/>
    <w:rsid w:val="00F47A48"/>
    <w:rsid w:val="00F5040A"/>
    <w:rsid w:val="00F50659"/>
    <w:rsid w:val="00F51202"/>
    <w:rsid w:val="00F520EA"/>
    <w:rsid w:val="00F529CA"/>
    <w:rsid w:val="00F53E7A"/>
    <w:rsid w:val="00F55735"/>
    <w:rsid w:val="00F602EA"/>
    <w:rsid w:val="00F639B6"/>
    <w:rsid w:val="00F65D51"/>
    <w:rsid w:val="00F71618"/>
    <w:rsid w:val="00F75A2C"/>
    <w:rsid w:val="00F75B5F"/>
    <w:rsid w:val="00F7761E"/>
    <w:rsid w:val="00F834F8"/>
    <w:rsid w:val="00F84CD0"/>
    <w:rsid w:val="00F86370"/>
    <w:rsid w:val="00F86DC1"/>
    <w:rsid w:val="00F91C8A"/>
    <w:rsid w:val="00F91ECF"/>
    <w:rsid w:val="00FA2666"/>
    <w:rsid w:val="00FA2A96"/>
    <w:rsid w:val="00FA32EC"/>
    <w:rsid w:val="00FA3C08"/>
    <w:rsid w:val="00FA4BC8"/>
    <w:rsid w:val="00FA68CA"/>
    <w:rsid w:val="00FA7AE0"/>
    <w:rsid w:val="00FB0E2E"/>
    <w:rsid w:val="00FB0EC5"/>
    <w:rsid w:val="00FB1572"/>
    <w:rsid w:val="00FB31AA"/>
    <w:rsid w:val="00FB4017"/>
    <w:rsid w:val="00FB7B05"/>
    <w:rsid w:val="00FC6AC2"/>
    <w:rsid w:val="00FC7559"/>
    <w:rsid w:val="00FE47AF"/>
    <w:rsid w:val="00FF1484"/>
    <w:rsid w:val="00FF21A8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B3025"/>
  <w15:docId w15:val="{164763AE-A238-47CC-B40C-9157852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C340E1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ind w:left="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Bezatstarpm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971D8D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Parasts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character" w:styleId="Komentraatsauce">
    <w:name w:val="annotation reference"/>
    <w:basedOn w:val="Noklusjumarindkopasfonts"/>
    <w:uiPriority w:val="99"/>
    <w:semiHidden/>
    <w:unhideWhenUsed/>
    <w:rsid w:val="000551D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0551D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0551D9"/>
    <w:rPr>
      <w:rFonts w:ascii="Times New Roman" w:hAnsi="Times New Roman"/>
      <w:sz w:val="20"/>
      <w:szCs w:val="20"/>
    </w:rPr>
  </w:style>
  <w:style w:type="paragraph" w:styleId="Prskatjums">
    <w:name w:val="Revision"/>
    <w:hidden/>
    <w:uiPriority w:val="99"/>
    <w:semiHidden/>
    <w:rsid w:val="00033B6B"/>
    <w:pPr>
      <w:spacing w:after="0" w:line="240" w:lineRule="auto"/>
    </w:pPr>
    <w:rPr>
      <w:rFonts w:ascii="Times New Roman" w:hAnsi="Times New Roman"/>
      <w:sz w:val="24"/>
    </w:rPr>
  </w:style>
  <w:style w:type="character" w:styleId="Hipersaite">
    <w:name w:val="Hyperlink"/>
    <w:basedOn w:val="Noklusjumarindkopasfonts"/>
    <w:uiPriority w:val="99"/>
    <w:unhideWhenUsed/>
    <w:rsid w:val="00506231"/>
    <w:rPr>
      <w:color w:val="0000FF" w:themeColor="hyperlink"/>
      <w:u w:val="singl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B317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B3177"/>
    <w:rPr>
      <w:rFonts w:ascii="Times New Roman" w:hAnsi="Times New Roman"/>
      <w:b/>
      <w:bCs/>
      <w:sz w:val="20"/>
      <w:szCs w:val="20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015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2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64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60D29F1C911446BB445AA6214923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283E-DDE8-43E2-B4F5-AF251225B917}"/>
      </w:docPartPr>
      <w:docPartBody>
        <w:p w:rsidR="00335E0C" w:rsidRDefault="009E4F8B" w:rsidP="009E4F8B">
          <w:pPr>
            <w:pStyle w:val="960D29F1C911446BB445AA6214923AC3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86850C41B1F54AF1830B14178F6B3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644D8-328E-4FF7-950B-033C7D432210}"/>
      </w:docPartPr>
      <w:docPartBody>
        <w:p w:rsidR="00335E0C" w:rsidRDefault="009E4F8B" w:rsidP="009E4F8B">
          <w:pPr>
            <w:pStyle w:val="86850C41B1F54AF1830B14178F6B38632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5305C031246D484CB9D7168FEB13F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6CF42-A203-40C7-89AF-72768D453414}"/>
      </w:docPartPr>
      <w:docPartBody>
        <w:p w:rsidR="00335E0C" w:rsidRDefault="009E4F8B">
          <w:pPr>
            <w:pStyle w:val="5305C031246D484CB9D7168FEB13FD2C"/>
          </w:pPr>
          <w:r>
            <w:t xml:space="preserve">Noteikumi </w:t>
          </w:r>
        </w:p>
      </w:docPartBody>
    </w:docPart>
    <w:docPart>
      <w:docPartPr>
        <w:name w:val="EA71AE52656A4A64967E5082138DB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0B7DA-401D-4670-A14A-3435C5BD1CB8}"/>
      </w:docPartPr>
      <w:docPartBody>
        <w:p w:rsidR="00335E0C" w:rsidRDefault="009E4F8B">
          <w:pPr>
            <w:pStyle w:val="EA71AE52656A4A64967E5082138DBCA8"/>
          </w:pPr>
          <w:r>
            <w:t xml:space="preserve">Nr. </w:t>
          </w:r>
        </w:p>
      </w:docPartBody>
    </w:docPart>
    <w:docPart>
      <w:docPartPr>
        <w:name w:val="CB2B81BFC63648F58CF243219DC4A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EA62B-8FFB-4B85-A43E-259ED3D76354}"/>
      </w:docPartPr>
      <w:docPartBody>
        <w:p w:rsidR="00335E0C" w:rsidRDefault="009E4F8B" w:rsidP="009E4F8B">
          <w:pPr>
            <w:pStyle w:val="CB2B81BFC63648F58CF243219DC4AA362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8338C69BDF33440C9B99F5A816780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7D24-E98D-4C13-AD2A-EF911A62D958}"/>
      </w:docPartPr>
      <w:docPartBody>
        <w:p w:rsidR="00335E0C" w:rsidRDefault="009E4F8B" w:rsidP="009E4F8B">
          <w:pPr>
            <w:pStyle w:val="8338C69BDF33440C9B99F5A816780F07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5626151A5404C6DA6D23600EB4CF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39A30-CF21-4404-8BB2-D5E73535C705}"/>
      </w:docPartPr>
      <w:docPartBody>
        <w:p w:rsidR="00335E0C" w:rsidRDefault="00CE1A84">
          <w:pPr>
            <w:pStyle w:val="D5626151A5404C6DA6D23600EB4CF058"/>
          </w:pPr>
          <w:r w:rsidRPr="006C06FD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59D2090A0296446AA81338AA8DFC2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C4F9F-6638-4ED4-A2E5-71B0B78F74AA}"/>
      </w:docPartPr>
      <w:docPartBody>
        <w:p w:rsidR="00335E0C" w:rsidRDefault="009E4F8B" w:rsidP="009E4F8B">
          <w:pPr>
            <w:pStyle w:val="59D2090A0296446AA81338AA8DFC26F9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7FEF0E2847AB467F9BE1B99FAED0F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9206D-2CC0-4805-9683-30F67D73073A}"/>
      </w:docPartPr>
      <w:docPartBody>
        <w:p w:rsidR="00335E0C" w:rsidRDefault="009E4F8B" w:rsidP="009E4F8B">
          <w:pPr>
            <w:pStyle w:val="7FEF0E2847AB467F9BE1B99FAED0F4332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4B1AC723C7834459A297931942B68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D7B41-A094-4D36-A091-B1D9474AACBB}"/>
      </w:docPartPr>
      <w:docPartBody>
        <w:p w:rsidR="00335E0C" w:rsidRDefault="00CE1A84">
          <w:pPr>
            <w:pStyle w:val="4B1AC723C7834459A297931942B68773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A49B0AD5C89F4CE9922F028E99F9F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3F64A-2878-439B-ACBB-B9D301EBFA5A}"/>
      </w:docPartPr>
      <w:docPartBody>
        <w:p w:rsidR="00335E0C" w:rsidRDefault="00CE1A84">
          <w:pPr>
            <w:pStyle w:val="A49B0AD5C89F4CE9922F028E99F9F0B9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F5E205E72CA446E1A4A759FE36993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BBAAB-E0E0-4672-A11F-BB07346D63F5}"/>
      </w:docPartPr>
      <w:docPartBody>
        <w:p w:rsidR="00335E0C" w:rsidRDefault="00CE1A84">
          <w:pPr>
            <w:pStyle w:val="F5E205E72CA446E1A4A759FE3699381C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9FBA266867E1401481048B3ABFE57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14465-C2AE-41B9-863F-47FC184B6E6C}"/>
      </w:docPartPr>
      <w:docPartBody>
        <w:p w:rsidR="00335E0C" w:rsidRDefault="00CE1A84" w:rsidP="00CE1A84">
          <w:pPr>
            <w:pStyle w:val="9FBA266867E1401481048B3ABFE5786B"/>
          </w:pPr>
          <w:r w:rsidRPr="006C06FD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8F458A0A481145CF9EB853FBC0898BC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28A09E-16C2-45CA-949C-C871CBA9F351}"/>
      </w:docPartPr>
      <w:docPartBody>
        <w:p w:rsidR="003E54F2" w:rsidRDefault="003E54F2" w:rsidP="003E54F2">
          <w:pPr>
            <w:pStyle w:val="8F458A0A481145CF9EB853FBC0898BC9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36B1731D21164495BE2887728D45956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594F3B2-7258-4A1E-B32F-083BE6CBF34D}"/>
      </w:docPartPr>
      <w:docPartBody>
        <w:p w:rsidR="003E54F2" w:rsidRDefault="003E54F2" w:rsidP="003E54F2">
          <w:pPr>
            <w:pStyle w:val="36B1731D21164495BE2887728D459565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64C622B84202463EBB0FE2C460B48B1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C8E291A-92EC-4C98-B404-484851828A4A}"/>
      </w:docPartPr>
      <w:docPartBody>
        <w:p w:rsidR="003E54F2" w:rsidRDefault="003E54F2" w:rsidP="003E54F2">
          <w:pPr>
            <w:pStyle w:val="64C622B84202463EBB0FE2C460B48B18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A84"/>
    <w:rsid w:val="00001A1F"/>
    <w:rsid w:val="00016575"/>
    <w:rsid w:val="00050781"/>
    <w:rsid w:val="000554C2"/>
    <w:rsid w:val="00071A8F"/>
    <w:rsid w:val="00085A4D"/>
    <w:rsid w:val="000923B9"/>
    <w:rsid w:val="00092F29"/>
    <w:rsid w:val="000C6A7B"/>
    <w:rsid w:val="000E0DA9"/>
    <w:rsid w:val="00121EDB"/>
    <w:rsid w:val="001A4AC3"/>
    <w:rsid w:val="001B01E9"/>
    <w:rsid w:val="00200DC4"/>
    <w:rsid w:val="00220C86"/>
    <w:rsid w:val="00230630"/>
    <w:rsid w:val="00231344"/>
    <w:rsid w:val="00246DAB"/>
    <w:rsid w:val="00257E12"/>
    <w:rsid w:val="00273F02"/>
    <w:rsid w:val="00284E45"/>
    <w:rsid w:val="002A6FEA"/>
    <w:rsid w:val="00316ED4"/>
    <w:rsid w:val="0032270E"/>
    <w:rsid w:val="00335E0C"/>
    <w:rsid w:val="003530C3"/>
    <w:rsid w:val="003A7EB9"/>
    <w:rsid w:val="003C0CAA"/>
    <w:rsid w:val="003E400F"/>
    <w:rsid w:val="003E54F2"/>
    <w:rsid w:val="003F0F7E"/>
    <w:rsid w:val="00413587"/>
    <w:rsid w:val="00413CBB"/>
    <w:rsid w:val="00467001"/>
    <w:rsid w:val="0047409B"/>
    <w:rsid w:val="004D42BE"/>
    <w:rsid w:val="004D6847"/>
    <w:rsid w:val="004E716F"/>
    <w:rsid w:val="005503E0"/>
    <w:rsid w:val="00562E97"/>
    <w:rsid w:val="005B1638"/>
    <w:rsid w:val="005C6151"/>
    <w:rsid w:val="005D10D4"/>
    <w:rsid w:val="0060369B"/>
    <w:rsid w:val="006131DF"/>
    <w:rsid w:val="00643B53"/>
    <w:rsid w:val="00661AB4"/>
    <w:rsid w:val="00667920"/>
    <w:rsid w:val="006957C9"/>
    <w:rsid w:val="006A2FD3"/>
    <w:rsid w:val="006F3F74"/>
    <w:rsid w:val="00711F52"/>
    <w:rsid w:val="00730CC7"/>
    <w:rsid w:val="00740DE2"/>
    <w:rsid w:val="00745BEF"/>
    <w:rsid w:val="0077593C"/>
    <w:rsid w:val="007953D3"/>
    <w:rsid w:val="007C66CF"/>
    <w:rsid w:val="008061DF"/>
    <w:rsid w:val="00821818"/>
    <w:rsid w:val="008307E2"/>
    <w:rsid w:val="00840908"/>
    <w:rsid w:val="00847D6D"/>
    <w:rsid w:val="008508BD"/>
    <w:rsid w:val="00876CF6"/>
    <w:rsid w:val="0088106E"/>
    <w:rsid w:val="0088333D"/>
    <w:rsid w:val="008B5A94"/>
    <w:rsid w:val="008C7CAC"/>
    <w:rsid w:val="008E7A58"/>
    <w:rsid w:val="008E7FCE"/>
    <w:rsid w:val="00923791"/>
    <w:rsid w:val="00923908"/>
    <w:rsid w:val="009429A8"/>
    <w:rsid w:val="00986DFB"/>
    <w:rsid w:val="009A6626"/>
    <w:rsid w:val="009B54F4"/>
    <w:rsid w:val="009D1041"/>
    <w:rsid w:val="009D2FFA"/>
    <w:rsid w:val="009E4F8B"/>
    <w:rsid w:val="009F1800"/>
    <w:rsid w:val="00A22BF2"/>
    <w:rsid w:val="00A24707"/>
    <w:rsid w:val="00A2693A"/>
    <w:rsid w:val="00A333B8"/>
    <w:rsid w:val="00A37FF8"/>
    <w:rsid w:val="00A81003"/>
    <w:rsid w:val="00A8769E"/>
    <w:rsid w:val="00AA56F4"/>
    <w:rsid w:val="00AC2F2E"/>
    <w:rsid w:val="00AE053D"/>
    <w:rsid w:val="00B51B90"/>
    <w:rsid w:val="00B84A10"/>
    <w:rsid w:val="00BA1706"/>
    <w:rsid w:val="00BB5F45"/>
    <w:rsid w:val="00BF1B6F"/>
    <w:rsid w:val="00BF35DA"/>
    <w:rsid w:val="00C407CA"/>
    <w:rsid w:val="00C56C95"/>
    <w:rsid w:val="00C9063D"/>
    <w:rsid w:val="00C913BF"/>
    <w:rsid w:val="00CD1F78"/>
    <w:rsid w:val="00CD24A0"/>
    <w:rsid w:val="00CE1A84"/>
    <w:rsid w:val="00CE278E"/>
    <w:rsid w:val="00CF01CA"/>
    <w:rsid w:val="00D14818"/>
    <w:rsid w:val="00D420A7"/>
    <w:rsid w:val="00D7695F"/>
    <w:rsid w:val="00DC23D1"/>
    <w:rsid w:val="00DF0B55"/>
    <w:rsid w:val="00E078EB"/>
    <w:rsid w:val="00E16A9E"/>
    <w:rsid w:val="00E3559D"/>
    <w:rsid w:val="00E534C8"/>
    <w:rsid w:val="00E769A8"/>
    <w:rsid w:val="00EA0CC1"/>
    <w:rsid w:val="00EC22E5"/>
    <w:rsid w:val="00EC64B0"/>
    <w:rsid w:val="00F71CCA"/>
    <w:rsid w:val="00F81AB5"/>
    <w:rsid w:val="00FC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5305C031246D484CB9D7168FEB13FD2C">
    <w:name w:val="5305C031246D484CB9D7168FEB13FD2C"/>
  </w:style>
  <w:style w:type="paragraph" w:customStyle="1" w:styleId="EA71AE52656A4A64967E5082138DBCA8">
    <w:name w:val="EA71AE52656A4A64967E5082138DBCA8"/>
  </w:style>
  <w:style w:type="character" w:styleId="Vietturateksts">
    <w:name w:val="Placeholder Text"/>
    <w:basedOn w:val="Noklusjumarindkopasfonts"/>
    <w:uiPriority w:val="99"/>
    <w:semiHidden/>
    <w:rsid w:val="009E4F8B"/>
    <w:rPr>
      <w:color w:val="808080"/>
    </w:rPr>
  </w:style>
  <w:style w:type="paragraph" w:customStyle="1" w:styleId="D5626151A5404C6DA6D23600EB4CF058">
    <w:name w:val="D5626151A5404C6DA6D23600EB4CF058"/>
  </w:style>
  <w:style w:type="paragraph" w:customStyle="1" w:styleId="4B1AC723C7834459A297931942B68773">
    <w:name w:val="4B1AC723C7834459A297931942B68773"/>
  </w:style>
  <w:style w:type="paragraph" w:customStyle="1" w:styleId="A49B0AD5C89F4CE9922F028E99F9F0B9">
    <w:name w:val="A49B0AD5C89F4CE9922F028E99F9F0B9"/>
  </w:style>
  <w:style w:type="paragraph" w:customStyle="1" w:styleId="F5E205E72CA446E1A4A759FE3699381C">
    <w:name w:val="F5E205E72CA446E1A4A759FE3699381C"/>
  </w:style>
  <w:style w:type="paragraph" w:customStyle="1" w:styleId="9FBA266867E1401481048B3ABFE5786B">
    <w:name w:val="9FBA266867E1401481048B3ABFE5786B"/>
    <w:rsid w:val="00CE1A84"/>
  </w:style>
  <w:style w:type="paragraph" w:customStyle="1" w:styleId="960D29F1C911446BB445AA6214923AC32">
    <w:name w:val="960D29F1C911446BB445AA6214923AC32"/>
    <w:rsid w:val="009E4F8B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86850C41B1F54AF1830B14178F6B38632">
    <w:name w:val="86850C41B1F54AF1830B14178F6B38632"/>
    <w:rsid w:val="009E4F8B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B2B81BFC63648F58CF243219DC4AA362">
    <w:name w:val="CB2B81BFC63648F58CF243219DC4AA362"/>
    <w:rsid w:val="009E4F8B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8338C69BDF33440C9B99F5A816780F072">
    <w:name w:val="8338C69BDF33440C9B99F5A816780F072"/>
    <w:rsid w:val="009E4F8B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59D2090A0296446AA81338AA8DFC26F92">
    <w:name w:val="59D2090A0296446AA81338AA8DFC26F92"/>
    <w:rsid w:val="009E4F8B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7FEF0E2847AB467F9BE1B99FAED0F4332">
    <w:name w:val="7FEF0E2847AB467F9BE1B99FAED0F4332"/>
    <w:rsid w:val="009E4F8B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8F458A0A481145CF9EB853FBC0898BC9">
    <w:name w:val="8F458A0A481145CF9EB853FBC0898BC9"/>
    <w:rsid w:val="003E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B1731D21164495BE2887728D459565">
    <w:name w:val="36B1731D21164495BE2887728D459565"/>
    <w:rsid w:val="003E54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C622B84202463EBB0FE2C460B48B18">
    <w:name w:val="64C622B84202463EBB0FE2C460B48B18"/>
    <w:rsid w:val="003E54F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4502</Words>
  <Characters>2567</Characters>
  <Application>Microsoft Office Word</Application>
  <DocSecurity>0</DocSecurity>
  <Lines>21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Vilka</dc:creator>
  <cp:keywords/>
  <dc:description/>
  <cp:lastModifiedBy>Līga Medne</cp:lastModifiedBy>
  <cp:revision>8</cp:revision>
  <cp:lastPrinted>2023-02-27T06:46:00Z</cp:lastPrinted>
  <dcterms:created xsi:type="dcterms:W3CDTF">2024-09-25T09:25:00Z</dcterms:created>
  <dcterms:modified xsi:type="dcterms:W3CDTF">2024-09-25T09:52:00Z</dcterms:modified>
</cp:coreProperties>
</file>