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BE28" w14:textId="0D077CB7" w:rsidR="009B27BE" w:rsidRPr="00A57424" w:rsidRDefault="00CA28AB" w:rsidP="009208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57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Latvijas Bankas noteikumu projekta </w:t>
      </w:r>
      <w:r w:rsidR="00E6585D" w:rsidRPr="00A57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"Grozījum</w:t>
      </w:r>
      <w:r w:rsidR="00604B2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E6585D" w:rsidRPr="00A57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Latvijas Bankas 2022. gada 24. oktobra noteikumos Nr. 226 "Noteikumi par elektronisko informācijas apmaiņu ar Latvijas Banku"" </w:t>
      </w:r>
      <w:r w:rsidR="003B481B" w:rsidRPr="00A574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anotācija</w:t>
      </w:r>
    </w:p>
    <w:p w14:paraId="17ACECD6" w14:textId="77777777" w:rsidR="003B481B" w:rsidRPr="00A57424" w:rsidRDefault="003B481B" w:rsidP="004924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067B39" w14:textId="77777777" w:rsidR="003B481B" w:rsidRPr="00A57424" w:rsidRDefault="003B481B" w:rsidP="004924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9"/>
      </w:tblGrid>
      <w:tr w:rsidR="002961A6" w:rsidRPr="002961A6" w14:paraId="1460E7C5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3B21D5C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Nosaukums</w:t>
            </w:r>
          </w:p>
          <w:p w14:paraId="131D4298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490718C" w14:textId="73483FE2" w:rsidR="00E6585D" w:rsidRPr="00A57424" w:rsidRDefault="00E6585D" w:rsidP="00E65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bookmarkStart w:id="0" w:name="_Hlk132361395"/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Grozījum</w:t>
            </w:r>
            <w:r w:rsidR="00604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Latvijas Bankas 2022. gada 24. oktobra noteikumos Nr. 226 "Noteikumi par elektronisko informācijas apmaiņu ar Latvijas Banku"</w:t>
            </w:r>
            <w:bookmarkEnd w:id="0"/>
          </w:p>
        </w:tc>
      </w:tr>
      <w:tr w:rsidR="002961A6" w:rsidRPr="002961A6" w14:paraId="2EFFBBB9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4A83739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Dokumenta veids</w:t>
            </w:r>
          </w:p>
          <w:p w14:paraId="245B6A90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213DC85" w14:textId="673C17EF" w:rsidR="00E53DE9" w:rsidRPr="00A57424" w:rsidRDefault="00604B2F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2961A6" w:rsidRPr="002961A6" w14:paraId="5707739F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3D18725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 xml:space="preserve">Izdošanas pamatojums </w:t>
            </w:r>
          </w:p>
          <w:p w14:paraId="383A4F3D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FFEA4DD" w14:textId="0532F495" w:rsidR="00E53DE9" w:rsidRPr="00A57424" w:rsidRDefault="00604B2F" w:rsidP="00410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 aizsardzības likuma 5.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panta trešā daļa (stāsies spēkā 2024. gada 1. jūlijā).</w:t>
            </w:r>
          </w:p>
        </w:tc>
      </w:tr>
      <w:tr w:rsidR="002961A6" w:rsidRPr="002961A6" w14:paraId="536B7B29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3EB8396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Mērķis un būtība</w:t>
            </w:r>
          </w:p>
          <w:p w14:paraId="0D23EFC1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BE31349" w14:textId="545AB190" w:rsidR="00604B2F" w:rsidRDefault="00604B2F" w:rsidP="008C0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Latvijas Bankas 2022. gada 24. oktobra noteikum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Nr. 226 "Noteikumi par elektronisko informācijas apmaiņu ar Latvijas Banku" (turpmāk – noteikumi Nr. 226)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ir izdoti saskaņā ar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Kredītu reģistra likuma 13. un 17. 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24. panta otr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31. panta ceturt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38. panta piekt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39. panta ceturt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40. panta treš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Latvijas Bankas likuma 63. panta otr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Kredītiestāžu likuma 50. panta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otro un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treš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 un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105.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Apdrošināšanas un pārapdrošināšanas likuma 41. panta astot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Apdrošināšanas un pārapdrošināšanas izplatīšanas likuma 61.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Ieguldījumu brokeru sabiedrību likuma 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37.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pirm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45. panta septīt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Ieguldījumu pārvaldes sabiedrību likuma 72. panta otr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u, 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75.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ceturt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77.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piekt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Valsts </w:t>
            </w:r>
            <w:proofErr w:type="spellStart"/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fondēto</w:t>
            </w:r>
            <w:proofErr w:type="spellEnd"/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pensiju likuma 14. panta treš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Privāto pensiju fondu likuma 36. panta devīt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 un 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40.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vienpadsmit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Alternatīvo ieguldījumu fondu un to pārvaldnieku likuma 59. panta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irm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astot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81.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septīt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ās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daļas 23.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punkt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Ieguldītāju aizsardzības likuma 11.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treš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o 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497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Noguldījumu garantiju likuma 11. panta 2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 un 3. punkt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>
              <w:t xml:space="preserve"> </w:t>
            </w:r>
            <w:r w:rsidRPr="001D6E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un 25.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1D6E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6.</w:t>
            </w:r>
            <w:r w:rsidRPr="00F244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1D6E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u, Finanšu instrumentu tirgus likuma 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4.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2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100.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4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panta pirm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ās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daļas 5.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punkt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137.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2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panta trešās daļas 1. un 2. punktu, 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Maksājumu pakalpojumu un elektroniskās naudas likuma 48.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pirm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proofErr w:type="spellStart"/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Krājaizdevu</w:t>
            </w:r>
            <w:proofErr w:type="spellEnd"/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sabiedrību likuma 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septīt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20.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trīspadsmit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Noziedzīgi iegūtu līdzekļu legalizācijas un terorisma un </w:t>
            </w:r>
            <w:proofErr w:type="spellStart"/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proliferācijas</w:t>
            </w:r>
            <w:proofErr w:type="spellEnd"/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finansēšanas novēršanas likuma 37.</w:t>
            </w:r>
            <w:r w:rsidRPr="00A03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B9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19009ACB" w14:textId="2B212AC1" w:rsidR="008C0A74" w:rsidRPr="00A57424" w:rsidRDefault="008C0A74" w:rsidP="0040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Atbilstoši noteikum</w:t>
            </w:r>
            <w:r w:rsidR="00604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Nr. 226 1.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4.</w:t>
            </w:r>
            <w:r w:rsidR="00410424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apakš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punktam noteikumi nosaka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880BB1" w:rsidRP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finanšu tirgus dalībnieku uzraudzībai, noregulējuma piemērošanai un kompensāciju izmaksas sistēmu nodrošināšanai nepieciešamās informācijas, kura nav statistiskie dati (turpmāk – informācija uzraudzības, noregulējuma un kompensāciju izmaksas sistēmu nodrošināšanai), iesniegšanas kārtību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52D90FC9" w14:textId="67625546" w:rsidR="0045417A" w:rsidRDefault="003D5026" w:rsidP="00D93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Noteikumu Nr.</w:t>
            </w:r>
            <w:r w:rsidR="00410424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226 3.</w:t>
            </w:r>
            <w:r w:rsidR="00410424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punkts noteic, ka informācijas apmaiņai izmanto šādas drošības sistēmas – paaugstinātās drošības sistēmu, </w:t>
            </w:r>
            <w:proofErr w:type="spellStart"/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nebanku</w:t>
            </w:r>
            <w:proofErr w:type="spellEnd"/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statistikas sistēmu un datu ziņošanas sistēmu</w:t>
            </w:r>
            <w:r w:rsidR="00D93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328846E8" w14:textId="2EA3995A" w:rsidR="00497E2B" w:rsidRPr="00A57424" w:rsidRDefault="00AC6B82" w:rsidP="008C6D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lastRenderedPageBreak/>
              <w:t>N</w:t>
            </w:r>
            <w:r w:rsidR="008C6D37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oteikumos Nr. 226 ir ietverts </w:t>
            </w:r>
            <w:r w:rsidR="00826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gan vispārējs </w:t>
            </w:r>
            <w:r w:rsidR="008C6D37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regulējums attiecībā uz informācijas apmaiņai izmantojamo drošības sistēmu izmantošanu</w:t>
            </w:r>
            <w:r w:rsidR="00273E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273E79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(informācijas apmaiņas drošības noteikumi</w:t>
            </w:r>
            <w:r w:rsidR="00273E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u.c.)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r w:rsidR="00826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gan regulējums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kas </w:t>
            </w:r>
            <w:r w:rsidR="00826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nepieciešams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konkrēta veida informācijas apmaiņas nodrošināšanai</w:t>
            </w:r>
            <w:r w:rsidR="003D5026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273E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(</w:t>
            </w:r>
            <w:r w:rsidR="008C6D37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licenču piešķiršana, lietotāju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tiesības</w:t>
            </w:r>
            <w:r w:rsidR="008C6D37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u.c.</w:t>
            </w:r>
            <w:r w:rsidR="00594F54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18902D8B" w14:textId="3271F4C6" w:rsidR="00394995" w:rsidRDefault="00604B2F" w:rsidP="00576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2024. gada 11. janvārī </w:t>
            </w:r>
            <w:r w:rsidR="000E4B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tika 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pieņemts likums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Grozījumi Ieguldītāju aizsardzības likumā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kas stāsies spēkā 2024.</w:t>
            </w:r>
            <w:r w:rsidR="00576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gada 1.</w:t>
            </w:r>
            <w:r w:rsidR="00576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jūlijā un kurā ietvertie grozījumi paredz Ieguldītāju aizsardzības likumu papildināt ar 5.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pantu. Minētās normas </w:t>
            </w:r>
            <w:r w:rsidR="000E4B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otrā daļa paredz, ka ieguldītāju aizsardzības s</w:t>
            </w:r>
            <w:r w:rsidR="000E4B83" w:rsidRPr="000E4B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istēmas dalībnieks, kuram konstatēta nespēja izpildīt saistības, sagatavo to ieguldītāju sarakstu, kuriem ir tiesības uz kompensāciju</w:t>
            </w:r>
            <w:r w:rsidR="000E4B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(turpmāk – saraksts), savukārt 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trešā daļa noteic, </w:t>
            </w:r>
            <w:r w:rsidR="00576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ka 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Latvijas Banka izdod noteikumus par </w:t>
            </w:r>
            <w:r w:rsidR="00394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sarakst</w:t>
            </w:r>
            <w:r w:rsidR="000E4B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</w:t>
            </w:r>
            <w:r w:rsidR="00394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sastādīšanas un iesniegšanas kārtību un termiņiem.</w:t>
            </w:r>
          </w:p>
          <w:p w14:paraId="38A597FF" w14:textId="037D4096" w:rsidR="001A432E" w:rsidRDefault="001A432E" w:rsidP="001A4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Ievērojot Ieguldītāju aizsardzības likuma 5.</w:t>
            </w:r>
            <w:r w:rsidRPr="00A83B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panta trešajā daļā ietverto pilnvarojumu, ir izstrādāts Latvijas Bankas noteikumu projekts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Ieguldītāju, kuriem ir tiesības uz kompensāciju, saraksta sagatavošanas un iesniegšanas noteikumi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(sk. </w:t>
            </w:r>
            <w:r w:rsidRPr="001A43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Latvijas Bankas tīmekļvietnes www.bank.lv sadaļas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Pr="001A43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Tiesību akti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Pr="001A43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1A43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apakšsadaļā</w:t>
            </w:r>
            <w:proofErr w:type="spellEnd"/>
            <w:r w:rsidRPr="001A43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"Sabiedrības līdzdalība"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).</w:t>
            </w:r>
          </w:p>
          <w:p w14:paraId="33ED59D4" w14:textId="29F0CA9E" w:rsidR="00576C99" w:rsidRDefault="001C1D40" w:rsidP="00576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Saskaņā ar n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oteikumu </w:t>
            </w:r>
            <w:r w:rsid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r.</w:t>
            </w:r>
            <w:r w:rsidR="001A43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226 6.1. apakšpunkt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</w:t>
            </w:r>
            <w:r w:rsid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i</w:t>
            </w:r>
            <w:r w:rsidR="00880BB1" w:rsidRPr="00880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nformācijas apmaiņu saistībā</w:t>
            </w:r>
            <w:r w:rsid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ar </w:t>
            </w:r>
            <w:r w:rsidR="00F56EBE" w:rsidRP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informāciju uzraudzības, noregulējuma un kompensāciju izmaksas sistēmu nodrošināšanai veic paaugstinātās drošības sistēmā, </w:t>
            </w:r>
            <w:proofErr w:type="spellStart"/>
            <w:r w:rsidR="00F56EBE" w:rsidRP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nebanku</w:t>
            </w:r>
            <w:proofErr w:type="spellEnd"/>
            <w:r w:rsidR="00F56EBE" w:rsidRP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statistikas sistēmā vai datu ziņošanas sistēmā, ņemot vērā</w:t>
            </w:r>
            <w:r w:rsid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F56EBE" w:rsidRP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Latvijas Bankas noteikumos, kas regulē informācijas uzraudzības, noregulējuma un kompensāciju izmaksas sistēmu nodrošināšanai sagatavošanas un iesniegšanas prasības un kārtību, noteikto informācijas apmaiņai izmantojamo drošības sistēmu</w:t>
            </w:r>
            <w:r w:rsid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36B185EC" w14:textId="2C12341C" w:rsidR="009A7878" w:rsidRPr="00A57424" w:rsidRDefault="00394995" w:rsidP="002D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394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Lai noteikumi Nr.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394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226 būtu piemērojami arī </w:t>
            </w:r>
            <w:r w:rsidR="00F42B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 aizsardzības likuma 5.</w:t>
            </w:r>
            <w:r w:rsidR="00F42B16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F42B16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="00F42B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pantā minētā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saraksta iesniegšanai, </w:t>
            </w:r>
            <w:r w:rsidR="00F42B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t.sk.,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ņemot </w:t>
            </w:r>
            <w:r w:rsid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vērā </w:t>
            </w:r>
            <w:r w:rsidR="002D69B1" w:rsidRP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Latvijas Bankas noteikumu projekt</w:t>
            </w:r>
            <w:r w:rsid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</w:t>
            </w:r>
            <w:r w:rsidR="002D69B1" w:rsidRP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2D69B1" w:rsidRP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Ieguldītāju, kuriem ir tiesības uz kompensāciju, saraksta sagatavošanas un iesniegšanas noteikumi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2D69B1" w:rsidRPr="00F56E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noteikto informācijas apmaiņai izmantojamo drošības sistēmu</w:t>
            </w:r>
            <w:r w:rsidR="002D6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</w:t>
            </w:r>
            <w:r w:rsidR="002D69B1" w:rsidRPr="00394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ir izstrādāts Latvijas Bankas noteikumu projekts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Grozījums Latvijas Bankas 2022. gada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24. oktobra 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noteikumos Nr.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226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C23349" w:rsidRP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Noteikumi par elektronisko informācijas apmaiņu ar Latvijas Banku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""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(turpmāk – noteikumu projekts), ar kuru noteikumos </w:t>
            </w:r>
            <w:r w:rsidR="00503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r. 226 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norād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e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uz kāda likuma pamata noteikumi izdoti, aiz vārdiem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 aizsardzības likuma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papildināta 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ar skaitli </w:t>
            </w:r>
            <w:r w:rsidR="00576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un vārdiem 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5.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C23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trešo daļu un</w:t>
            </w:r>
            <w:r w:rsid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="00576C9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</w:tc>
      </w:tr>
      <w:tr w:rsidR="002961A6" w:rsidRPr="002961A6" w14:paraId="007B5CAA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D60B839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628844DC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0C6AA2E" w14:textId="6E27070E" w:rsidR="00E53DE9" w:rsidRPr="00A57424" w:rsidRDefault="00E42435" w:rsidP="00E42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Noteikumu leģitīmais mērķis ir citu personu tiesību aizsardzība un sabiedrības labklājības nodrošināšana.</w:t>
            </w:r>
          </w:p>
        </w:tc>
      </w:tr>
      <w:tr w:rsidR="002961A6" w:rsidRPr="002961A6" w14:paraId="60C73F3F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79E90D8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Samērīgums</w:t>
            </w:r>
          </w:p>
          <w:p w14:paraId="392772F5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C7E2A05" w14:textId="0FB410DF" w:rsidR="007117D2" w:rsidRDefault="00DE3E5E" w:rsidP="00711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Vispārēji</w:t>
            </w:r>
            <w:r w:rsidR="007117D2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norādāms, ka noteikumu projektā paredzēt</w:t>
            </w:r>
            <w:r w:rsidR="00417C6C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ais</w:t>
            </w:r>
            <w:r w:rsidR="007117D2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417C6C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regulējums attiecas uz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tādas informācijas apmaiņu, kuru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lastRenderedPageBreak/>
              <w:t xml:space="preserve">konkrētajam subjektam (informācijas sniedzējam) ir pienākums sniegt atbilstoši citam normatīvajam aktam, kas </w:t>
            </w:r>
            <w:r w:rsidR="00C508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noteic</w:t>
            </w:r>
            <w:r w:rsidR="00C508E1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šīs informācijas sniegšanu</w:t>
            </w:r>
            <w:r w:rsidR="00300CB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Latvijas Bankai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. </w:t>
            </w:r>
          </w:p>
          <w:p w14:paraId="5123F565" w14:textId="6A4683FE" w:rsidR="002961A6" w:rsidRDefault="00417C6C" w:rsidP="007117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Līdz ar to n</w:t>
            </w:r>
            <w:r w:rsidR="008C6D37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oteikumu projekt</w:t>
            </w:r>
            <w:r w:rsidR="007117D2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 paredzētais regulējums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kopumā </w:t>
            </w:r>
            <w:r w:rsidR="007117D2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nemaina 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informācijas sniedzēju loku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informācijas apjomu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un </w:t>
            </w:r>
            <w:r w:rsidR="00E42435"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informācijas</w:t>
            </w:r>
            <w:r w:rsidR="00E42435" w:rsidRPr="00A57424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</w:rPr>
              <w:t xml:space="preserve"> </w:t>
            </w:r>
            <w:r w:rsidR="00E42435"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>apmaiņas</w:t>
            </w:r>
            <w:r w:rsidR="00E42435" w:rsidRPr="00A57424">
              <w:rPr>
                <w:rFonts w:ascii="Times New Roman" w:hAnsi="Times New Roman" w:cs="Times New Roman"/>
                <w:color w:val="000000" w:themeColor="text1"/>
                <w:spacing w:val="49"/>
                <w:sz w:val="24"/>
              </w:rPr>
              <w:t xml:space="preserve"> </w:t>
            </w:r>
            <w:r w:rsidR="00E42435"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kārtību.</w:t>
            </w:r>
          </w:p>
          <w:p w14:paraId="3971E0BB" w14:textId="4B3FE619" w:rsidR="0069574A" w:rsidRPr="0049708F" w:rsidRDefault="00E42435" w:rsidP="007117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2"/>
                <w:sz w:val="24"/>
              </w:rPr>
            </w:pP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Ievērojot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minēto,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8"/>
                <w:sz w:val="24"/>
              </w:rPr>
              <w:t xml:space="preserve"> </w:t>
            </w:r>
            <w:r w:rsidR="007117D2"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n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oteikumu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projekta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>prasības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6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>ir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69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samērīgas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9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>un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9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pēc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8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būtības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9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nemaina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0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informācijas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17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sniedzēju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65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administratīvo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21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>slogu.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22"/>
                <w:sz w:val="24"/>
              </w:rPr>
              <w:t xml:space="preserve"> </w:t>
            </w:r>
          </w:p>
        </w:tc>
      </w:tr>
      <w:tr w:rsidR="002961A6" w:rsidRPr="002961A6" w14:paraId="0B0225C4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6D24181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5B27E819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4FFF90D" w14:textId="5165D8A2" w:rsidR="00CA28AB" w:rsidRPr="00A57424" w:rsidRDefault="00576C99" w:rsidP="00A06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2024. gada 1. jūlijā, ņemot vērā Ieguldītāju aizsardzības likuma 5.</w:t>
            </w:r>
            <w:r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1</w:t>
            </w:r>
            <w:r w:rsidR="00C23349" w:rsidRPr="0040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panta trešās daļas spēkā stāšanās dienu.</w:t>
            </w:r>
          </w:p>
        </w:tc>
      </w:tr>
      <w:tr w:rsidR="002961A6" w:rsidRPr="002961A6" w14:paraId="647A671A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C6F92F6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Ietekme uz Latvijas Bankas budžetu</w:t>
            </w:r>
          </w:p>
          <w:p w14:paraId="0F65E181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288C856" w14:textId="44D7DF8E" w:rsidR="00E53DE9" w:rsidRPr="00A57424" w:rsidRDefault="00E42435" w:rsidP="00E42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Nav ietekmes uz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Latvijas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Bankas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49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budžeta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ieņēmumiem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vai</w:t>
            </w:r>
            <w:r w:rsidRPr="00A5742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A57424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</w:rPr>
              <w:t>izdevumiem.</w:t>
            </w:r>
          </w:p>
        </w:tc>
      </w:tr>
      <w:tr w:rsidR="002961A6" w:rsidRPr="002961A6" w14:paraId="3F02FECE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6D244CF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(</w:t>
            </w: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tirgus dalībniekiem</w:t>
            </w:r>
            <w:r w:rsidR="00C85C34"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)</w:t>
            </w:r>
          </w:p>
          <w:p w14:paraId="0BA6966A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10E5127D" w14:textId="4B349D1C" w:rsidR="00A42788" w:rsidRPr="00A57424" w:rsidRDefault="00417C6C" w:rsidP="00E42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tbilstoši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oteikumu projekt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ā paredzēt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ajam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regulējum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am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noteikumi Nr.</w:t>
            </w:r>
            <w:r w:rsidR="00F40BFA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 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226 būs piemērojami, </w:t>
            </w:r>
            <w:proofErr w:type="spellStart"/>
            <w:r w:rsidR="00E06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citastarp</w:t>
            </w:r>
            <w:proofErr w:type="spellEnd"/>
            <w:r w:rsidR="00E06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</w:t>
            </w:r>
            <w:r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ievērojot citos normatīvajos aktos paredzēto informācijas apmaiņas veidu, tādējādi ar noteikumu projektu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kopumā 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netiek 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main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īts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administratīv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ais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slog</w:t>
            </w:r>
            <w:r w:rsidR="00EE2690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 w:rsidR="00E42435" w:rsidRPr="00A574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informācijas sniedzējiem.</w:t>
            </w:r>
          </w:p>
        </w:tc>
      </w:tr>
      <w:tr w:rsidR="002961A6" w:rsidRPr="002961A6" w14:paraId="25674B2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0F603EB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Saistītie dokumenti</w:t>
            </w:r>
          </w:p>
          <w:p w14:paraId="29013B78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28612B1" w14:textId="02248466" w:rsidR="00A70B35" w:rsidRPr="00F9538C" w:rsidRDefault="002D69B1" w:rsidP="002D6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1) </w:t>
            </w:r>
            <w:r w:rsidR="00C23349"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 aizsardzības likums</w:t>
            </w: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;</w:t>
            </w:r>
          </w:p>
          <w:p w14:paraId="2F53300E" w14:textId="405AF063" w:rsidR="00C23349" w:rsidRPr="00F9538C" w:rsidRDefault="002D69B1" w:rsidP="00850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2) Latvijas Bankas noteikumu projekts </w:t>
            </w:r>
            <w:r w:rsidR="00404EDE"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Ieguldītāju, kuriem ir tiesības uz kompensāciju, saraksta sagatavošanas un iesniegšanas noteikumi</w:t>
            </w:r>
            <w:r w:rsidR="00404EDE"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"</w:t>
            </w: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</w:tc>
      </w:tr>
      <w:tr w:rsidR="002961A6" w:rsidRPr="002961A6" w14:paraId="197EBD38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06BBB8C5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Saskaņošana ar Eiropas Centrālo banku</w:t>
            </w:r>
          </w:p>
          <w:p w14:paraId="6AAC129D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65301F3" w14:textId="129ACC48" w:rsidR="00A42788" w:rsidRPr="00F9538C" w:rsidRDefault="00E42435" w:rsidP="00EC1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N</w:t>
            </w:r>
            <w:r w:rsidR="00EC1518"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oteikumu projektu n</w:t>
            </w:r>
            <w:r w:rsidRPr="00F953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av nepieciešams saskaņot ar Eiropas Centrālo banku.</w:t>
            </w:r>
          </w:p>
        </w:tc>
      </w:tr>
      <w:tr w:rsidR="002961A6" w:rsidRPr="002961A6" w14:paraId="1BE46591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E2DBD13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2BBB506E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B9D61A6" w14:textId="0A134BFB" w:rsidR="00F9538C" w:rsidRPr="00F9538C" w:rsidRDefault="00F9538C" w:rsidP="00EC15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538C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2024. gada 21. martā tika publicēts Latvijas Bankas tīmekļvietnes </w:t>
            </w:r>
            <w:hyperlink r:id="rId11" w:history="1">
              <w:r w:rsidRPr="00F9538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www.bank.lv</w:t>
              </w:r>
            </w:hyperlink>
            <w:r w:rsidRPr="00F9538C">
              <w:rPr>
                <w:rFonts w:ascii="Times New Roman" w:hAnsi="Times New Roman" w:cs="Times New Roman"/>
                <w:sz w:val="24"/>
                <w:szCs w:val="24"/>
              </w:rPr>
              <w:t xml:space="preserve"> sadaļas "Tiesību akti" </w:t>
            </w:r>
            <w:proofErr w:type="spellStart"/>
            <w:r w:rsidRPr="00F9538C">
              <w:rPr>
                <w:rFonts w:ascii="Times New Roman" w:hAnsi="Times New Roman" w:cs="Times New Roman"/>
                <w:sz w:val="24"/>
                <w:szCs w:val="24"/>
              </w:rPr>
              <w:t>apakšsadaļā</w:t>
            </w:r>
            <w:proofErr w:type="spellEnd"/>
            <w:r w:rsidRPr="00F9538C">
              <w:rPr>
                <w:rFonts w:ascii="Times New Roman" w:hAnsi="Times New Roman" w:cs="Times New Roman"/>
                <w:sz w:val="24"/>
                <w:szCs w:val="24"/>
              </w:rPr>
              <w:t xml:space="preserve"> "Sabiedrības līdzdalība", un par to līdz 2024. gada 5. aprīlim bija iespējama sabiedrības līdzdalība.</w:t>
            </w:r>
          </w:p>
          <w:p w14:paraId="4C094D39" w14:textId="45FCC0F5" w:rsidR="001A432E" w:rsidRPr="00F9538C" w:rsidRDefault="001A432E" w:rsidP="00EC1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F9538C">
              <w:rPr>
                <w:rFonts w:ascii="Times New Roman" w:hAnsi="Times New Roman" w:cs="Times New Roman"/>
                <w:sz w:val="24"/>
                <w:szCs w:val="24"/>
              </w:rPr>
              <w:t>Noteikumu projekts ti</w:t>
            </w:r>
            <w:r w:rsidR="00F9538C" w:rsidRPr="00F9538C"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F9538C">
              <w:rPr>
                <w:rFonts w:ascii="Times New Roman" w:hAnsi="Times New Roman" w:cs="Times New Roman"/>
                <w:sz w:val="24"/>
                <w:szCs w:val="24"/>
              </w:rPr>
              <w:t xml:space="preserve"> iesniegts izskatīšanai Latvijas Bankas konsultatīvās finanšu tirgus padomes sēdē.</w:t>
            </w:r>
          </w:p>
        </w:tc>
      </w:tr>
      <w:tr w:rsidR="000B4E0A" w:rsidRPr="002961A6" w14:paraId="2422068E" w14:textId="77777777" w:rsidTr="00404EDE">
        <w:trPr>
          <w:trHeight w:val="307"/>
        </w:trPr>
        <w:tc>
          <w:tcPr>
            <w:tcW w:w="1796" w:type="pct"/>
            <w:shd w:val="clear" w:color="auto" w:fill="auto"/>
            <w:hideMark/>
          </w:tcPr>
          <w:p w14:paraId="241927B2" w14:textId="77777777" w:rsidR="00A42788" w:rsidRPr="00A57424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  <w:r w:rsidRPr="00A574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  <w:t>Saskaņošanas rezultāti</w:t>
            </w:r>
          </w:p>
          <w:p w14:paraId="74149E18" w14:textId="77777777" w:rsidR="00CA28AB" w:rsidRPr="00A57424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601F508" w14:textId="5E0D4977" w:rsidR="00E53DE9" w:rsidRPr="00317569" w:rsidRDefault="00317569" w:rsidP="0031756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FE3759">
              <w:rPr>
                <w:rFonts w:ascii="Times New Roman" w:hAnsi="Times New Roman" w:cs="Times New Roman"/>
                <w:sz w:val="24"/>
                <w:szCs w:val="24"/>
              </w:rPr>
              <w:t>Par noteikumu projektu netika saņemti iebildumi un priekšlikumi.</w:t>
            </w:r>
          </w:p>
        </w:tc>
      </w:tr>
    </w:tbl>
    <w:p w14:paraId="7AD0A555" w14:textId="77777777" w:rsidR="00E53DE9" w:rsidRPr="00A57424" w:rsidRDefault="00E53DE9" w:rsidP="004924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3DE9" w:rsidRPr="00A57424" w:rsidSect="00D225BA">
      <w:headerReference w:type="default" r:id="rId12"/>
      <w:footerReference w:type="default" r:id="rId13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4BE97" w14:textId="77777777" w:rsidR="00D225BA" w:rsidRDefault="00D225BA" w:rsidP="009B27BE">
      <w:pPr>
        <w:spacing w:after="0" w:line="240" w:lineRule="auto"/>
      </w:pPr>
      <w:r>
        <w:separator/>
      </w:r>
    </w:p>
  </w:endnote>
  <w:endnote w:type="continuationSeparator" w:id="0">
    <w:p w14:paraId="21572D02" w14:textId="77777777" w:rsidR="00D225BA" w:rsidRDefault="00D225BA" w:rsidP="009B27BE">
      <w:pPr>
        <w:spacing w:after="0" w:line="240" w:lineRule="auto"/>
      </w:pPr>
      <w:r>
        <w:continuationSeparator/>
      </w:r>
    </w:p>
  </w:endnote>
  <w:endnote w:type="continuationNotice" w:id="1">
    <w:p w14:paraId="7CE2CA3E" w14:textId="77777777" w:rsidR="00D225BA" w:rsidRDefault="00D225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A00D5" w14:textId="77777777" w:rsidR="000A626D" w:rsidRDefault="000A62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01637" w14:textId="77777777" w:rsidR="00D225BA" w:rsidRDefault="00D225BA" w:rsidP="009B27BE">
      <w:pPr>
        <w:spacing w:after="0" w:line="240" w:lineRule="auto"/>
      </w:pPr>
      <w:r>
        <w:separator/>
      </w:r>
    </w:p>
  </w:footnote>
  <w:footnote w:type="continuationSeparator" w:id="0">
    <w:p w14:paraId="362A1FBA" w14:textId="77777777" w:rsidR="00D225BA" w:rsidRDefault="00D225BA" w:rsidP="009B27BE">
      <w:pPr>
        <w:spacing w:after="0" w:line="240" w:lineRule="auto"/>
      </w:pPr>
      <w:r>
        <w:continuationSeparator/>
      </w:r>
    </w:p>
  </w:footnote>
  <w:footnote w:type="continuationNotice" w:id="1">
    <w:p w14:paraId="4444E5F9" w14:textId="77777777" w:rsidR="00D225BA" w:rsidRDefault="00D225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4478E7F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328E74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2A75"/>
    <w:multiLevelType w:val="hybridMultilevel"/>
    <w:tmpl w:val="F8F0CB7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052DC"/>
    <w:multiLevelType w:val="hybridMultilevel"/>
    <w:tmpl w:val="8E561FE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32E0"/>
    <w:multiLevelType w:val="hybridMultilevel"/>
    <w:tmpl w:val="062E672C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A346E8"/>
    <w:multiLevelType w:val="hybridMultilevel"/>
    <w:tmpl w:val="BB60CA7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7209C"/>
    <w:multiLevelType w:val="multilevel"/>
    <w:tmpl w:val="92E286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EA37BBB"/>
    <w:multiLevelType w:val="hybridMultilevel"/>
    <w:tmpl w:val="18FE1C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47A68"/>
    <w:multiLevelType w:val="hybridMultilevel"/>
    <w:tmpl w:val="083C5D2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5529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5529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5529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9" w:hanging="1440"/>
      </w:pPr>
      <w:rPr>
        <w:rFonts w:hint="default"/>
      </w:rPr>
    </w:lvl>
  </w:abstractNum>
  <w:abstractNum w:abstractNumId="8" w15:restartNumberingAfterBreak="0">
    <w:nsid w:val="577A3469"/>
    <w:multiLevelType w:val="hybridMultilevel"/>
    <w:tmpl w:val="3BD2782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26D4C"/>
    <w:multiLevelType w:val="hybridMultilevel"/>
    <w:tmpl w:val="62C832D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11188">
    <w:abstractNumId w:val="8"/>
  </w:num>
  <w:num w:numId="2" w16cid:durableId="1403943829">
    <w:abstractNumId w:val="3"/>
  </w:num>
  <w:num w:numId="3" w16cid:durableId="1044906554">
    <w:abstractNumId w:val="0"/>
  </w:num>
  <w:num w:numId="4" w16cid:durableId="568997604">
    <w:abstractNumId w:val="4"/>
  </w:num>
  <w:num w:numId="5" w16cid:durableId="11878180">
    <w:abstractNumId w:val="5"/>
  </w:num>
  <w:num w:numId="6" w16cid:durableId="924414891">
    <w:abstractNumId w:val="9"/>
  </w:num>
  <w:num w:numId="7" w16cid:durableId="830562253">
    <w:abstractNumId w:val="7"/>
  </w:num>
  <w:num w:numId="8" w16cid:durableId="2078286854">
    <w:abstractNumId w:val="2"/>
  </w:num>
  <w:num w:numId="9" w16cid:durableId="979966492">
    <w:abstractNumId w:val="1"/>
  </w:num>
  <w:num w:numId="10" w16cid:durableId="12535916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3C3"/>
    <w:rsid w:val="00002EBC"/>
    <w:rsid w:val="000263F5"/>
    <w:rsid w:val="000419EA"/>
    <w:rsid w:val="00046FF4"/>
    <w:rsid w:val="00053274"/>
    <w:rsid w:val="000611AE"/>
    <w:rsid w:val="000703C3"/>
    <w:rsid w:val="00072229"/>
    <w:rsid w:val="00083815"/>
    <w:rsid w:val="0008510E"/>
    <w:rsid w:val="000955BB"/>
    <w:rsid w:val="0009616F"/>
    <w:rsid w:val="000A626D"/>
    <w:rsid w:val="000A632B"/>
    <w:rsid w:val="000B4E0A"/>
    <w:rsid w:val="000B5744"/>
    <w:rsid w:val="000B6F98"/>
    <w:rsid w:val="000D6442"/>
    <w:rsid w:val="000E4B83"/>
    <w:rsid w:val="000F287E"/>
    <w:rsid w:val="00115CB8"/>
    <w:rsid w:val="00132070"/>
    <w:rsid w:val="00133F6A"/>
    <w:rsid w:val="00143A48"/>
    <w:rsid w:val="00160492"/>
    <w:rsid w:val="0016648A"/>
    <w:rsid w:val="00167770"/>
    <w:rsid w:val="00172055"/>
    <w:rsid w:val="00177964"/>
    <w:rsid w:val="00177EE2"/>
    <w:rsid w:val="001976E0"/>
    <w:rsid w:val="001A432E"/>
    <w:rsid w:val="001A5171"/>
    <w:rsid w:val="001B4BAD"/>
    <w:rsid w:val="001C1D40"/>
    <w:rsid w:val="001C3FE6"/>
    <w:rsid w:val="001D01B1"/>
    <w:rsid w:val="001D54D3"/>
    <w:rsid w:val="001D6E99"/>
    <w:rsid w:val="001E664B"/>
    <w:rsid w:val="00230C5C"/>
    <w:rsid w:val="00237ED2"/>
    <w:rsid w:val="00247A8A"/>
    <w:rsid w:val="00266ADA"/>
    <w:rsid w:val="002705C2"/>
    <w:rsid w:val="00273E79"/>
    <w:rsid w:val="00285D58"/>
    <w:rsid w:val="002961A6"/>
    <w:rsid w:val="002B2932"/>
    <w:rsid w:val="002B7045"/>
    <w:rsid w:val="002C441C"/>
    <w:rsid w:val="002C46CB"/>
    <w:rsid w:val="002C576C"/>
    <w:rsid w:val="002D69B1"/>
    <w:rsid w:val="002E16DA"/>
    <w:rsid w:val="002F1514"/>
    <w:rsid w:val="002F5E00"/>
    <w:rsid w:val="00300CB0"/>
    <w:rsid w:val="00312E96"/>
    <w:rsid w:val="00317569"/>
    <w:rsid w:val="00334272"/>
    <w:rsid w:val="003344C2"/>
    <w:rsid w:val="00346F96"/>
    <w:rsid w:val="0035539D"/>
    <w:rsid w:val="00385C17"/>
    <w:rsid w:val="003939FE"/>
    <w:rsid w:val="00394995"/>
    <w:rsid w:val="003A1D52"/>
    <w:rsid w:val="003B124D"/>
    <w:rsid w:val="003B481B"/>
    <w:rsid w:val="003B4CF0"/>
    <w:rsid w:val="003B73D1"/>
    <w:rsid w:val="003C4993"/>
    <w:rsid w:val="003C5C10"/>
    <w:rsid w:val="003D5026"/>
    <w:rsid w:val="003F0562"/>
    <w:rsid w:val="003F5B8E"/>
    <w:rsid w:val="00402CB3"/>
    <w:rsid w:val="00404EDE"/>
    <w:rsid w:val="00404FA7"/>
    <w:rsid w:val="00405142"/>
    <w:rsid w:val="00410424"/>
    <w:rsid w:val="00415B3D"/>
    <w:rsid w:val="00417C6C"/>
    <w:rsid w:val="00417E0D"/>
    <w:rsid w:val="00432D5D"/>
    <w:rsid w:val="004502FB"/>
    <w:rsid w:val="0045417A"/>
    <w:rsid w:val="00454655"/>
    <w:rsid w:val="00470A09"/>
    <w:rsid w:val="00473207"/>
    <w:rsid w:val="0047461D"/>
    <w:rsid w:val="00483683"/>
    <w:rsid w:val="0048628D"/>
    <w:rsid w:val="0049248A"/>
    <w:rsid w:val="0049708F"/>
    <w:rsid w:val="00497E2B"/>
    <w:rsid w:val="004A1363"/>
    <w:rsid w:val="004A4309"/>
    <w:rsid w:val="004C6A98"/>
    <w:rsid w:val="004E2A19"/>
    <w:rsid w:val="004E50DE"/>
    <w:rsid w:val="004E5568"/>
    <w:rsid w:val="0050367F"/>
    <w:rsid w:val="00527A5F"/>
    <w:rsid w:val="00544080"/>
    <w:rsid w:val="00552B57"/>
    <w:rsid w:val="00576C99"/>
    <w:rsid w:val="00594F54"/>
    <w:rsid w:val="0059767D"/>
    <w:rsid w:val="005B3E28"/>
    <w:rsid w:val="005C6146"/>
    <w:rsid w:val="0060016E"/>
    <w:rsid w:val="006019D9"/>
    <w:rsid w:val="00604B2F"/>
    <w:rsid w:val="00622237"/>
    <w:rsid w:val="00626DE9"/>
    <w:rsid w:val="00640946"/>
    <w:rsid w:val="00642172"/>
    <w:rsid w:val="0064239A"/>
    <w:rsid w:val="00644E8D"/>
    <w:rsid w:val="00646BBE"/>
    <w:rsid w:val="0065548A"/>
    <w:rsid w:val="0065579B"/>
    <w:rsid w:val="00670706"/>
    <w:rsid w:val="006747CC"/>
    <w:rsid w:val="00674B53"/>
    <w:rsid w:val="0068220D"/>
    <w:rsid w:val="0068543C"/>
    <w:rsid w:val="00693173"/>
    <w:rsid w:val="0069574A"/>
    <w:rsid w:val="00696701"/>
    <w:rsid w:val="006C5A9A"/>
    <w:rsid w:val="006C72F5"/>
    <w:rsid w:val="00710C32"/>
    <w:rsid w:val="007115AE"/>
    <w:rsid w:val="007117D2"/>
    <w:rsid w:val="0071519A"/>
    <w:rsid w:val="00756820"/>
    <w:rsid w:val="00761C97"/>
    <w:rsid w:val="00762371"/>
    <w:rsid w:val="00783E14"/>
    <w:rsid w:val="00790CDB"/>
    <w:rsid w:val="007A4C56"/>
    <w:rsid w:val="007C1664"/>
    <w:rsid w:val="007E313B"/>
    <w:rsid w:val="007E34CC"/>
    <w:rsid w:val="007F436E"/>
    <w:rsid w:val="008079B7"/>
    <w:rsid w:val="00817806"/>
    <w:rsid w:val="00826971"/>
    <w:rsid w:val="00827B89"/>
    <w:rsid w:val="00850662"/>
    <w:rsid w:val="00875451"/>
    <w:rsid w:val="00880BB1"/>
    <w:rsid w:val="008811F4"/>
    <w:rsid w:val="00886520"/>
    <w:rsid w:val="008B5686"/>
    <w:rsid w:val="008C0A74"/>
    <w:rsid w:val="008C6D37"/>
    <w:rsid w:val="008D537D"/>
    <w:rsid w:val="008F29AC"/>
    <w:rsid w:val="009010E5"/>
    <w:rsid w:val="009106AA"/>
    <w:rsid w:val="009159D8"/>
    <w:rsid w:val="00920831"/>
    <w:rsid w:val="00955CA5"/>
    <w:rsid w:val="00971D4A"/>
    <w:rsid w:val="00980890"/>
    <w:rsid w:val="00980D6C"/>
    <w:rsid w:val="00982277"/>
    <w:rsid w:val="009A1100"/>
    <w:rsid w:val="009A255E"/>
    <w:rsid w:val="009A7878"/>
    <w:rsid w:val="009B27BE"/>
    <w:rsid w:val="009C265F"/>
    <w:rsid w:val="009C4F01"/>
    <w:rsid w:val="009D69BC"/>
    <w:rsid w:val="00A033FE"/>
    <w:rsid w:val="00A0418B"/>
    <w:rsid w:val="00A06B40"/>
    <w:rsid w:val="00A261C7"/>
    <w:rsid w:val="00A36291"/>
    <w:rsid w:val="00A42788"/>
    <w:rsid w:val="00A440D1"/>
    <w:rsid w:val="00A57424"/>
    <w:rsid w:val="00A629F5"/>
    <w:rsid w:val="00A704B1"/>
    <w:rsid w:val="00A70B35"/>
    <w:rsid w:val="00A942FC"/>
    <w:rsid w:val="00A976FD"/>
    <w:rsid w:val="00AA3FB6"/>
    <w:rsid w:val="00AA3FBC"/>
    <w:rsid w:val="00AB2982"/>
    <w:rsid w:val="00AB7D0A"/>
    <w:rsid w:val="00AC5F15"/>
    <w:rsid w:val="00AC6B82"/>
    <w:rsid w:val="00AD7700"/>
    <w:rsid w:val="00AE47D3"/>
    <w:rsid w:val="00AE7FCA"/>
    <w:rsid w:val="00AF1FA4"/>
    <w:rsid w:val="00AF23DE"/>
    <w:rsid w:val="00AF683F"/>
    <w:rsid w:val="00B02DEC"/>
    <w:rsid w:val="00B05B98"/>
    <w:rsid w:val="00B15704"/>
    <w:rsid w:val="00B239A5"/>
    <w:rsid w:val="00B258F6"/>
    <w:rsid w:val="00B336FD"/>
    <w:rsid w:val="00B40020"/>
    <w:rsid w:val="00B51D29"/>
    <w:rsid w:val="00B56838"/>
    <w:rsid w:val="00B62244"/>
    <w:rsid w:val="00B64EDC"/>
    <w:rsid w:val="00B66154"/>
    <w:rsid w:val="00B85315"/>
    <w:rsid w:val="00B95DAB"/>
    <w:rsid w:val="00B97FD6"/>
    <w:rsid w:val="00BC1314"/>
    <w:rsid w:val="00BC4D6C"/>
    <w:rsid w:val="00BF27E6"/>
    <w:rsid w:val="00C02B4E"/>
    <w:rsid w:val="00C23349"/>
    <w:rsid w:val="00C45F2F"/>
    <w:rsid w:val="00C508E1"/>
    <w:rsid w:val="00C53E01"/>
    <w:rsid w:val="00C6424F"/>
    <w:rsid w:val="00C718AF"/>
    <w:rsid w:val="00C85C34"/>
    <w:rsid w:val="00C9238A"/>
    <w:rsid w:val="00C96814"/>
    <w:rsid w:val="00C97A40"/>
    <w:rsid w:val="00CA28AB"/>
    <w:rsid w:val="00CA57CB"/>
    <w:rsid w:val="00CD12E8"/>
    <w:rsid w:val="00CD1BC9"/>
    <w:rsid w:val="00CD4F6D"/>
    <w:rsid w:val="00CE005F"/>
    <w:rsid w:val="00D01A43"/>
    <w:rsid w:val="00D02A5F"/>
    <w:rsid w:val="00D1445C"/>
    <w:rsid w:val="00D14E11"/>
    <w:rsid w:val="00D17D5D"/>
    <w:rsid w:val="00D225BA"/>
    <w:rsid w:val="00D3116E"/>
    <w:rsid w:val="00D44CCC"/>
    <w:rsid w:val="00D508D3"/>
    <w:rsid w:val="00D66B3D"/>
    <w:rsid w:val="00D7635C"/>
    <w:rsid w:val="00D84D73"/>
    <w:rsid w:val="00D84F8E"/>
    <w:rsid w:val="00D938D3"/>
    <w:rsid w:val="00DA6C55"/>
    <w:rsid w:val="00DA7AF6"/>
    <w:rsid w:val="00DB7829"/>
    <w:rsid w:val="00DC05B2"/>
    <w:rsid w:val="00DC1E19"/>
    <w:rsid w:val="00DC4EC0"/>
    <w:rsid w:val="00DC5B6D"/>
    <w:rsid w:val="00DC6BC7"/>
    <w:rsid w:val="00DC6D0E"/>
    <w:rsid w:val="00DD50C1"/>
    <w:rsid w:val="00DE291E"/>
    <w:rsid w:val="00DE3E5E"/>
    <w:rsid w:val="00DE6D8D"/>
    <w:rsid w:val="00DF6406"/>
    <w:rsid w:val="00E0076A"/>
    <w:rsid w:val="00E04474"/>
    <w:rsid w:val="00E06D19"/>
    <w:rsid w:val="00E24087"/>
    <w:rsid w:val="00E253DA"/>
    <w:rsid w:val="00E2552C"/>
    <w:rsid w:val="00E271DF"/>
    <w:rsid w:val="00E36BFC"/>
    <w:rsid w:val="00E42435"/>
    <w:rsid w:val="00E43535"/>
    <w:rsid w:val="00E52B54"/>
    <w:rsid w:val="00E53DE9"/>
    <w:rsid w:val="00E60064"/>
    <w:rsid w:val="00E6585D"/>
    <w:rsid w:val="00E72528"/>
    <w:rsid w:val="00E75502"/>
    <w:rsid w:val="00E9007A"/>
    <w:rsid w:val="00E90DFC"/>
    <w:rsid w:val="00E90F53"/>
    <w:rsid w:val="00E9423E"/>
    <w:rsid w:val="00EA3F0A"/>
    <w:rsid w:val="00EB2205"/>
    <w:rsid w:val="00EB261C"/>
    <w:rsid w:val="00EC106C"/>
    <w:rsid w:val="00EC1518"/>
    <w:rsid w:val="00EC5438"/>
    <w:rsid w:val="00EE2690"/>
    <w:rsid w:val="00EE39DA"/>
    <w:rsid w:val="00EF0156"/>
    <w:rsid w:val="00EF330D"/>
    <w:rsid w:val="00F24456"/>
    <w:rsid w:val="00F30945"/>
    <w:rsid w:val="00F3454A"/>
    <w:rsid w:val="00F40BFA"/>
    <w:rsid w:val="00F42B16"/>
    <w:rsid w:val="00F43F77"/>
    <w:rsid w:val="00F56EBE"/>
    <w:rsid w:val="00F7755D"/>
    <w:rsid w:val="00F94811"/>
    <w:rsid w:val="00F94C44"/>
    <w:rsid w:val="00F9538C"/>
    <w:rsid w:val="00F95D95"/>
    <w:rsid w:val="00FA4B91"/>
    <w:rsid w:val="00FD65A0"/>
    <w:rsid w:val="00FE3759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533D2"/>
  <w15:chartTrackingRefBased/>
  <w15:docId w15:val="{C7B46267-C3D6-4BDF-A9D3-99D6E096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ListParagraph">
    <w:name w:val="List Paragraph"/>
    <w:basedOn w:val="Normal"/>
    <w:uiPriority w:val="34"/>
    <w:qFormat/>
    <w:rsid w:val="00E658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5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5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5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85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15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15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C6D37"/>
    <w:pPr>
      <w:spacing w:after="0" w:line="240" w:lineRule="auto"/>
    </w:pPr>
  </w:style>
  <w:style w:type="paragraph" w:customStyle="1" w:styleId="NApunkts1">
    <w:name w:val="NA punkts 1"/>
    <w:basedOn w:val="Normal"/>
    <w:link w:val="NApunkts1Rakstz"/>
    <w:qFormat/>
    <w:rsid w:val="00D1445C"/>
    <w:pPr>
      <w:numPr>
        <w:numId w:val="7"/>
      </w:numPr>
      <w:spacing w:before="240" w:after="0" w:line="240" w:lineRule="auto"/>
      <w:ind w:left="0" w:firstLine="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DefaultParagraphFont"/>
    <w:link w:val="NApunkts1"/>
    <w:rsid w:val="00D1445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D1445C"/>
    <w:pPr>
      <w:keepLines/>
      <w:numPr>
        <w:ilvl w:val="1"/>
        <w:numId w:val="7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D1445C"/>
    <w:pPr>
      <w:keepLines/>
      <w:numPr>
        <w:ilvl w:val="2"/>
        <w:numId w:val="7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D1445C"/>
    <w:pPr>
      <w:keepLines/>
      <w:numPr>
        <w:ilvl w:val="3"/>
        <w:numId w:val="7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nk.l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4565</Words>
  <Characters>2603</Characters>
  <Application>Microsoft Office Word</Application>
  <DocSecurity>0</DocSecurity>
  <Lines>21</Lines>
  <Paragraphs>14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Lelde Stepanova</dc:creator>
  <cp:keywords/>
  <dc:description/>
  <cp:lastModifiedBy>Ilze Grava</cp:lastModifiedBy>
  <cp:revision>4</cp:revision>
  <cp:lastPrinted>2023-04-24T05:49:00Z</cp:lastPrinted>
  <dcterms:created xsi:type="dcterms:W3CDTF">2024-04-08T07:23:00Z</dcterms:created>
  <dcterms:modified xsi:type="dcterms:W3CDTF">2024-04-08T13:15:00Z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