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39AC7" w14:textId="4D2A72E3" w:rsidR="009B27BE" w:rsidRPr="004E3F4A" w:rsidRDefault="00CA28AB" w:rsidP="00F62DE2">
      <w:pPr>
        <w:spacing w:after="0" w:line="240" w:lineRule="auto"/>
        <w:jc w:val="center"/>
        <w:rPr>
          <w:rFonts w:ascii="Times New Roman" w:hAnsi="Times New Roman" w:cs="Times New Roman"/>
          <w:b/>
          <w:bCs/>
          <w:sz w:val="24"/>
          <w:szCs w:val="24"/>
        </w:rPr>
      </w:pPr>
      <w:r w:rsidRPr="004E3F4A">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25447728"/>
          <w:placeholder>
            <w:docPart w:val="06FB9562532E48C79A9A7CAF997B965E"/>
          </w:placeholder>
        </w:sdtPr>
        <w:sdtContent>
          <w:sdt>
            <w:sdtPr>
              <w:rPr>
                <w:rFonts w:ascii="Times New Roman" w:hAnsi="Times New Roman" w:cs="Times New Roman"/>
                <w:b/>
                <w:bCs/>
                <w:sz w:val="24"/>
                <w:szCs w:val="24"/>
              </w:rPr>
              <w:alias w:val="Nosaukums"/>
              <w:tag w:val="Nosaukums"/>
              <w:id w:val="-1282566986"/>
              <w:placeholder>
                <w:docPart w:val="0DE2760AD93F4C379BADD32CC4AEBE9A"/>
              </w:placeholder>
            </w:sdtPr>
            <w:sdtContent>
              <w:r w:rsidR="009A72ED" w:rsidRPr="004E3F4A">
                <w:rPr>
                  <w:rFonts w:ascii="Times New Roman" w:hAnsi="Times New Roman" w:cs="Times New Roman"/>
                  <w:b/>
                  <w:bCs/>
                  <w:sz w:val="24"/>
                  <w:szCs w:val="24"/>
                </w:rPr>
                <w:t>"</w:t>
              </w:r>
              <w:sdt>
                <w:sdtPr>
                  <w:rPr>
                    <w:rFonts w:ascii="Times New Roman" w:eastAsiaTheme="minorEastAsia" w:hAnsi="Times New Roman" w:cs="Times New Roman"/>
                    <w:b/>
                    <w:bCs/>
                    <w:sz w:val="24"/>
                    <w:szCs w:val="24"/>
                    <w:lang w:eastAsia="lv-LV"/>
                  </w:rPr>
                  <w:alias w:val="Nosaukums"/>
                  <w:tag w:val="Nosaukums"/>
                  <w:id w:val="1092273072"/>
                  <w:placeholder>
                    <w:docPart w:val="FCF66F6703F04663A56A794982DB3969"/>
                  </w:placeholder>
                </w:sdtPr>
                <w:sdtEndPr>
                  <w:rPr>
                    <w:rFonts w:eastAsiaTheme="minorHAnsi"/>
                    <w:lang w:eastAsia="en-US"/>
                  </w:rPr>
                </w:sdtEndPr>
                <w:sdtContent>
                  <w:sdt>
                    <w:sdtPr>
                      <w:rPr>
                        <w:rFonts w:ascii="Times New Roman" w:eastAsiaTheme="minorEastAsia" w:hAnsi="Times New Roman" w:cs="Times New Roman"/>
                        <w:b/>
                        <w:sz w:val="24"/>
                        <w:szCs w:val="24"/>
                        <w:highlight w:val="green"/>
                        <w:lang w:eastAsia="lv-LV"/>
                      </w:rPr>
                      <w:alias w:val="Nosaukums"/>
                      <w:tag w:val="Nosaukums"/>
                      <w:id w:val="-6520574"/>
                      <w:placeholder>
                        <w:docPart w:val="5F51AD33943244B880DD218443B2B4F6"/>
                      </w:placeholder>
                    </w:sdtPr>
                    <w:sdtEndPr>
                      <w:rPr>
                        <w:rFonts w:eastAsiaTheme="minorHAnsi"/>
                        <w:highlight w:val="none"/>
                        <w:lang w:eastAsia="en-US"/>
                      </w:rPr>
                    </w:sdtEndPr>
                    <w:sdtContent>
                      <w:bookmarkStart w:id="0" w:name="_Hlk137569837"/>
                      <w:r w:rsidR="00856918" w:rsidRPr="004E3F4A">
                        <w:rPr>
                          <w:rFonts w:ascii="Times New Roman" w:hAnsi="Times New Roman" w:cs="Times New Roman"/>
                          <w:b/>
                          <w:sz w:val="24"/>
                          <w:szCs w:val="24"/>
                        </w:rPr>
                        <w:t>Kredītiestāžu licencēšanas, atsevišķu atļauju izsniegšanas un informācijas sniegšanas noteikumi</w:t>
                      </w:r>
                    </w:sdtContent>
                  </w:sdt>
                  <w:bookmarkEnd w:id="0"/>
                  <w:r w:rsidR="009A72ED" w:rsidRPr="004E3F4A">
                    <w:rPr>
                      <w:rFonts w:ascii="Times New Roman" w:hAnsi="Times New Roman" w:cs="Times New Roman"/>
                      <w:b/>
                      <w:sz w:val="24"/>
                      <w:szCs w:val="24"/>
                    </w:rPr>
                    <w:t>"</w:t>
                  </w:r>
                </w:sdtContent>
              </w:sdt>
            </w:sdtContent>
          </w:sdt>
        </w:sdtContent>
      </w:sdt>
      <w:r w:rsidR="006760E3" w:rsidRPr="004E3F4A">
        <w:rPr>
          <w:rFonts w:ascii="Times New Roman" w:hAnsi="Times New Roman" w:cs="Times New Roman"/>
          <w:b/>
          <w:bCs/>
          <w:sz w:val="24"/>
          <w:szCs w:val="24"/>
        </w:rPr>
        <w:t xml:space="preserve"> </w:t>
      </w:r>
      <w:r w:rsidR="003B481B" w:rsidRPr="004E3F4A">
        <w:rPr>
          <w:rFonts w:ascii="Times New Roman" w:hAnsi="Times New Roman" w:cs="Times New Roman"/>
          <w:b/>
          <w:bCs/>
          <w:sz w:val="24"/>
          <w:szCs w:val="24"/>
        </w:rPr>
        <w:t>anotācija</w:t>
      </w:r>
    </w:p>
    <w:p w14:paraId="0B66099E" w14:textId="77777777" w:rsidR="003B481B" w:rsidRPr="004E3F4A" w:rsidRDefault="003B481B" w:rsidP="00F62DE2">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802"/>
      </w:tblGrid>
      <w:tr w:rsidR="00F62DE2" w:rsidRPr="004E3F4A" w14:paraId="2BEFF1B2" w14:textId="77777777" w:rsidTr="00ED184E">
        <w:trPr>
          <w:trHeight w:val="567"/>
        </w:trPr>
        <w:tc>
          <w:tcPr>
            <w:tcW w:w="1248" w:type="pct"/>
            <w:shd w:val="clear" w:color="auto" w:fill="auto"/>
            <w:hideMark/>
          </w:tcPr>
          <w:p w14:paraId="648BA918"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Nosaukums</w:t>
            </w:r>
          </w:p>
          <w:p w14:paraId="5CE2EE7C"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08E3F30D" w14:textId="7D8134D8" w:rsidR="00E53DE9" w:rsidRPr="004E3F4A" w:rsidRDefault="00A03F74" w:rsidP="00F62DE2">
            <w:pPr>
              <w:spacing w:after="0" w:line="240" w:lineRule="auto"/>
              <w:jc w:val="both"/>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Kredītiestāžu licencēšanas, atsevišķu atļauju izsniegšanas un informācijas sniegšanas noteikumi</w:t>
            </w:r>
          </w:p>
        </w:tc>
      </w:tr>
      <w:tr w:rsidR="00F62DE2" w:rsidRPr="004E3F4A" w14:paraId="1D36F47A" w14:textId="77777777" w:rsidTr="00ED184E">
        <w:trPr>
          <w:trHeight w:val="567"/>
        </w:trPr>
        <w:tc>
          <w:tcPr>
            <w:tcW w:w="1248" w:type="pct"/>
            <w:shd w:val="clear" w:color="auto" w:fill="auto"/>
            <w:hideMark/>
          </w:tcPr>
          <w:p w14:paraId="2F180771"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Dokumenta veids</w:t>
            </w:r>
          </w:p>
          <w:p w14:paraId="47E2425B"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4E1881C3" w14:textId="0D4BE86B" w:rsidR="00E53DE9" w:rsidRPr="004E3F4A" w:rsidRDefault="006760E3" w:rsidP="00F62DE2">
            <w:pPr>
              <w:spacing w:after="0" w:line="240" w:lineRule="auto"/>
              <w:rPr>
                <w:rFonts w:ascii="Times New Roman" w:eastAsia="Times New Roman" w:hAnsi="Times New Roman" w:cs="Times New Roman"/>
                <w:i/>
                <w:iCs/>
                <w:sz w:val="24"/>
                <w:szCs w:val="24"/>
                <w:lang w:eastAsia="lv-LV"/>
              </w:rPr>
            </w:pPr>
            <w:r w:rsidRPr="004E3F4A">
              <w:rPr>
                <w:rFonts w:ascii="Times New Roman" w:hAnsi="Times New Roman" w:cs="Times New Roman"/>
                <w:sz w:val="24"/>
                <w:szCs w:val="24"/>
                <w:shd w:val="clear" w:color="auto" w:fill="FFFFFF"/>
              </w:rPr>
              <w:t>Ārējais tiesību akts</w:t>
            </w:r>
            <w:r w:rsidR="008268D7" w:rsidRPr="004E3F4A">
              <w:rPr>
                <w:rFonts w:ascii="Times New Roman" w:hAnsi="Times New Roman" w:cs="Times New Roman"/>
                <w:sz w:val="24"/>
                <w:szCs w:val="24"/>
                <w:shd w:val="clear" w:color="auto" w:fill="FFFFFF"/>
              </w:rPr>
              <w:t> </w:t>
            </w:r>
            <w:r w:rsidR="00F62DE2" w:rsidRPr="004E3F4A">
              <w:rPr>
                <w:rFonts w:ascii="Times New Roman" w:hAnsi="Times New Roman" w:cs="Times New Roman"/>
                <w:sz w:val="24"/>
                <w:szCs w:val="24"/>
                <w:shd w:val="clear" w:color="auto" w:fill="FFFFFF"/>
              </w:rPr>
              <w:t>–</w:t>
            </w:r>
            <w:r w:rsidRPr="004E3F4A">
              <w:rPr>
                <w:rFonts w:ascii="Times New Roman" w:hAnsi="Times New Roman" w:cs="Times New Roman"/>
                <w:sz w:val="24"/>
                <w:szCs w:val="24"/>
                <w:shd w:val="clear" w:color="auto" w:fill="FFFFFF"/>
              </w:rPr>
              <w:t xml:space="preserve"> </w:t>
            </w:r>
            <w:r w:rsidR="00692DEA">
              <w:rPr>
                <w:rFonts w:ascii="Times New Roman" w:hAnsi="Times New Roman" w:cs="Times New Roman"/>
                <w:sz w:val="24"/>
                <w:szCs w:val="24"/>
                <w:shd w:val="clear" w:color="auto" w:fill="FFFFFF"/>
              </w:rPr>
              <w:t xml:space="preserve">Latvijas Bankas </w:t>
            </w:r>
            <w:r w:rsidR="004C3B7F" w:rsidRPr="004E3F4A">
              <w:rPr>
                <w:rFonts w:ascii="Times New Roman" w:hAnsi="Times New Roman" w:cs="Times New Roman"/>
                <w:sz w:val="24"/>
                <w:szCs w:val="24"/>
                <w:shd w:val="clear" w:color="auto" w:fill="FFFFFF"/>
              </w:rPr>
              <w:t>noteikumi</w:t>
            </w:r>
          </w:p>
        </w:tc>
      </w:tr>
      <w:tr w:rsidR="00F62DE2" w:rsidRPr="004E3F4A" w14:paraId="5992D55E" w14:textId="77777777" w:rsidTr="00ED184E">
        <w:trPr>
          <w:trHeight w:val="567"/>
        </w:trPr>
        <w:tc>
          <w:tcPr>
            <w:tcW w:w="1248" w:type="pct"/>
            <w:shd w:val="clear" w:color="auto" w:fill="auto"/>
            <w:hideMark/>
          </w:tcPr>
          <w:p w14:paraId="1F56AB7F" w14:textId="691EB716" w:rsidR="00CA28AB" w:rsidRPr="004E3F4A" w:rsidRDefault="00A42788" w:rsidP="00692DEA">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Izdošanas pamatojums</w:t>
            </w:r>
          </w:p>
        </w:tc>
        <w:tc>
          <w:tcPr>
            <w:tcW w:w="3752" w:type="pct"/>
            <w:shd w:val="clear" w:color="auto" w:fill="auto"/>
          </w:tcPr>
          <w:p w14:paraId="5AFDE6F9" w14:textId="2AD22774" w:rsidR="00E53DE9" w:rsidRPr="004E3F4A" w:rsidRDefault="003D1F15" w:rsidP="003D1F15">
            <w:pPr>
              <w:shd w:val="clear" w:color="auto" w:fill="FFFFFF"/>
              <w:spacing w:after="0" w:line="240" w:lineRule="auto"/>
              <w:jc w:val="both"/>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 xml:space="preserve">Kredītiestāžu likuma 13. panta ceturtā daļa, 50. panta </w:t>
            </w:r>
            <w:r w:rsidR="00FF59AC" w:rsidRPr="004E3F4A">
              <w:rPr>
                <w:rFonts w:ascii="Times New Roman" w:eastAsia="Times New Roman" w:hAnsi="Times New Roman" w:cs="Times New Roman"/>
                <w:sz w:val="24"/>
                <w:szCs w:val="24"/>
                <w:lang w:eastAsia="lv-LV"/>
              </w:rPr>
              <w:t xml:space="preserve">otrā un </w:t>
            </w:r>
            <w:r w:rsidRPr="004E3F4A">
              <w:rPr>
                <w:rFonts w:ascii="Times New Roman" w:eastAsia="Times New Roman" w:hAnsi="Times New Roman" w:cs="Times New Roman"/>
                <w:sz w:val="24"/>
                <w:szCs w:val="24"/>
                <w:lang w:eastAsia="lv-LV"/>
              </w:rPr>
              <w:t>trešā daļa</w:t>
            </w:r>
          </w:p>
        </w:tc>
      </w:tr>
      <w:tr w:rsidR="00F62DE2" w:rsidRPr="004E3F4A" w14:paraId="248CA3CA" w14:textId="77777777" w:rsidTr="00ED184E">
        <w:trPr>
          <w:trHeight w:val="567"/>
        </w:trPr>
        <w:tc>
          <w:tcPr>
            <w:tcW w:w="1248" w:type="pct"/>
            <w:shd w:val="clear" w:color="auto" w:fill="auto"/>
            <w:hideMark/>
          </w:tcPr>
          <w:p w14:paraId="71105B1A"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Mērķis un būtība</w:t>
            </w:r>
          </w:p>
          <w:p w14:paraId="1B83DA20"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39F1F81E" w14:textId="049328F1" w:rsidR="00A81648" w:rsidRPr="004E3F4A" w:rsidRDefault="00A81648" w:rsidP="003D1F15">
            <w:pPr>
              <w:spacing w:after="120" w:line="240" w:lineRule="auto"/>
              <w:jc w:val="both"/>
              <w:rPr>
                <w:rFonts w:ascii="Times New Roman" w:hAnsi="Times New Roman" w:cs="Times New Roman"/>
                <w:sz w:val="24"/>
                <w:szCs w:val="24"/>
              </w:rPr>
            </w:pPr>
            <w:r w:rsidRPr="004E3F4A">
              <w:rPr>
                <w:rFonts w:ascii="Times New Roman" w:hAnsi="Times New Roman" w:cs="Times New Roman"/>
                <w:sz w:val="24"/>
                <w:szCs w:val="24"/>
              </w:rPr>
              <w:t xml:space="preserve">Saskaņā ar Latvijas Bankas likuma </w:t>
            </w:r>
            <w:r w:rsidR="00F62DE2" w:rsidRPr="004E3F4A">
              <w:rPr>
                <w:rFonts w:ascii="Times New Roman" w:hAnsi="Times New Roman" w:cs="Times New Roman"/>
                <w:sz w:val="24"/>
                <w:szCs w:val="24"/>
              </w:rPr>
              <w:t>p</w:t>
            </w:r>
            <w:r w:rsidRPr="004E3F4A">
              <w:rPr>
                <w:rFonts w:ascii="Times New Roman" w:hAnsi="Times New Roman" w:cs="Times New Roman"/>
                <w:sz w:val="24"/>
                <w:szCs w:val="24"/>
              </w:rPr>
              <w:t>ārejas noteikumu 3.</w:t>
            </w:r>
            <w:r w:rsidR="00F62DE2" w:rsidRPr="004E3F4A">
              <w:rPr>
                <w:rFonts w:ascii="Times New Roman" w:hAnsi="Times New Roman" w:cs="Times New Roman"/>
                <w:sz w:val="24"/>
                <w:szCs w:val="24"/>
              </w:rPr>
              <w:t> </w:t>
            </w:r>
            <w:r w:rsidRPr="004E3F4A">
              <w:rPr>
                <w:rFonts w:ascii="Times New Roman" w:hAnsi="Times New Roman" w:cs="Times New Roman"/>
                <w:sz w:val="24"/>
                <w:szCs w:val="24"/>
              </w:rPr>
              <w:t xml:space="preserve">punktu </w:t>
            </w:r>
            <w:r w:rsidRPr="004E3F4A">
              <w:rPr>
                <w:rFonts w:ascii="Times New Roman" w:hAnsi="Times New Roman" w:cs="Times New Roman"/>
                <w:sz w:val="24"/>
                <w:szCs w:val="24"/>
                <w:shd w:val="clear" w:color="auto" w:fill="FFFFFF"/>
              </w:rPr>
              <w:t>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5445A0AB" w14:textId="7B4CE136" w:rsidR="00FF59AC" w:rsidRPr="00692DEA" w:rsidRDefault="00A81648" w:rsidP="000A7460">
            <w:pPr>
              <w:spacing w:after="120" w:line="240" w:lineRule="auto"/>
              <w:jc w:val="both"/>
              <w:rPr>
                <w:rFonts w:ascii="Times New Roman" w:hAnsi="Times New Roman" w:cs="Times New Roman"/>
                <w:sz w:val="24"/>
                <w:szCs w:val="24"/>
              </w:rPr>
            </w:pPr>
            <w:r w:rsidRPr="004E3F4A">
              <w:rPr>
                <w:rFonts w:ascii="Times New Roman" w:hAnsi="Times New Roman" w:cs="Times New Roman"/>
                <w:sz w:val="24"/>
                <w:szCs w:val="24"/>
              </w:rPr>
              <w:t xml:space="preserve">Ņemot vērā minēto, </w:t>
            </w:r>
            <w:r w:rsidR="00692DEA">
              <w:rPr>
                <w:rFonts w:ascii="Times New Roman" w:hAnsi="Times New Roman" w:cs="Times New Roman"/>
                <w:sz w:val="24"/>
                <w:szCs w:val="24"/>
              </w:rPr>
              <w:t xml:space="preserve">Latvijas Banka </w:t>
            </w:r>
            <w:r w:rsidRPr="004E3F4A">
              <w:rPr>
                <w:rFonts w:ascii="Times New Roman" w:hAnsi="Times New Roman" w:cs="Times New Roman"/>
                <w:sz w:val="24"/>
                <w:szCs w:val="24"/>
              </w:rPr>
              <w:t>ir izstrādā</w:t>
            </w:r>
            <w:r w:rsidR="00692DEA">
              <w:rPr>
                <w:rFonts w:ascii="Times New Roman" w:hAnsi="Times New Roman" w:cs="Times New Roman"/>
                <w:sz w:val="24"/>
                <w:szCs w:val="24"/>
              </w:rPr>
              <w:t>jusi</w:t>
            </w:r>
            <w:r w:rsidRPr="004E3F4A">
              <w:rPr>
                <w:rFonts w:ascii="Times New Roman" w:hAnsi="Times New Roman" w:cs="Times New Roman"/>
                <w:sz w:val="24"/>
                <w:szCs w:val="24"/>
              </w:rPr>
              <w:t xml:space="preserve"> </w:t>
            </w:r>
            <w:r w:rsidR="00692DEA">
              <w:rPr>
                <w:rFonts w:ascii="Times New Roman" w:hAnsi="Times New Roman" w:cs="Times New Roman"/>
                <w:sz w:val="24"/>
                <w:szCs w:val="24"/>
              </w:rPr>
              <w:t>noteikumu projektu "</w:t>
            </w:r>
            <w:r w:rsidR="00692DEA" w:rsidRPr="00692DEA">
              <w:rPr>
                <w:rFonts w:ascii="Times New Roman" w:hAnsi="Times New Roman" w:cs="Times New Roman"/>
                <w:sz w:val="24"/>
                <w:szCs w:val="24"/>
              </w:rPr>
              <w:t>Kredītiestāžu licencēšanas, atsevišķu atļauju izsniegšanas un informācijas sniegšanas noteikumi</w:t>
            </w:r>
            <w:r w:rsidR="00692DEA">
              <w:rPr>
                <w:rFonts w:ascii="Times New Roman" w:hAnsi="Times New Roman" w:cs="Times New Roman"/>
                <w:sz w:val="24"/>
                <w:szCs w:val="24"/>
              </w:rPr>
              <w:t>" (turpmāk –</w:t>
            </w:r>
            <w:r w:rsidRPr="004E3F4A">
              <w:rPr>
                <w:rFonts w:ascii="Times New Roman" w:hAnsi="Times New Roman" w:cs="Times New Roman"/>
                <w:sz w:val="24"/>
                <w:szCs w:val="24"/>
              </w:rPr>
              <w:t xml:space="preserve"> projekts</w:t>
            </w:r>
            <w:r w:rsidR="00692DEA">
              <w:rPr>
                <w:rFonts w:ascii="Times New Roman" w:hAnsi="Times New Roman" w:cs="Times New Roman"/>
                <w:sz w:val="24"/>
                <w:szCs w:val="24"/>
              </w:rPr>
              <w:t>)</w:t>
            </w:r>
            <w:r w:rsidRPr="004E3F4A">
              <w:rPr>
                <w:rFonts w:ascii="Times New Roman" w:hAnsi="Times New Roman" w:cs="Times New Roman"/>
                <w:sz w:val="24"/>
                <w:szCs w:val="24"/>
              </w:rPr>
              <w:t xml:space="preserve">, kas aizstās </w:t>
            </w:r>
            <w:r w:rsidR="001F1E1F" w:rsidRPr="004E3F4A">
              <w:rPr>
                <w:rFonts w:ascii="Times New Roman" w:hAnsi="Times New Roman" w:cs="Times New Roman"/>
                <w:sz w:val="24"/>
                <w:szCs w:val="24"/>
              </w:rPr>
              <w:t>Finanšu un kapitāla tirgus komisijas 2020. gada 27.</w:t>
            </w:r>
            <w:r w:rsidR="00213BA2" w:rsidRPr="004E3F4A">
              <w:rPr>
                <w:rFonts w:ascii="Times New Roman" w:hAnsi="Times New Roman" w:cs="Times New Roman"/>
                <w:sz w:val="24"/>
                <w:szCs w:val="24"/>
              </w:rPr>
              <w:t> </w:t>
            </w:r>
            <w:r w:rsidR="001F1E1F" w:rsidRPr="004E3F4A">
              <w:rPr>
                <w:rFonts w:ascii="Times New Roman" w:hAnsi="Times New Roman" w:cs="Times New Roman"/>
                <w:sz w:val="24"/>
                <w:szCs w:val="24"/>
              </w:rPr>
              <w:t xml:space="preserve">oktobra </w:t>
            </w:r>
            <w:r w:rsidR="001F1E1F" w:rsidRPr="004E3F4A">
              <w:rPr>
                <w:rFonts w:ascii="Times New Roman" w:hAnsi="Times New Roman" w:cs="Times New Roman"/>
                <w:bCs/>
                <w:sz w:val="24"/>
                <w:szCs w:val="24"/>
              </w:rPr>
              <w:t>normatīvos noteikumus Nr. 200 ''Kārtība, kādā iesniedzama informācija un dokumenti kredītiestādes licences, atsevišķu kredītiestādes darbību reglamentējošo atļauju un dokumentu saskaņojuma saņemšanai un informācijas sniegšanai</w:t>
            </w:r>
            <w:r w:rsidR="001F1E1F" w:rsidRPr="004E3F4A">
              <w:rPr>
                <w:rFonts w:ascii="Times New Roman" w:hAnsi="Times New Roman" w:cs="Times New Roman"/>
                <w:sz w:val="24"/>
                <w:szCs w:val="24"/>
              </w:rPr>
              <w:t>'</w:t>
            </w:r>
            <w:r w:rsidR="00141B3C" w:rsidRPr="004E3F4A">
              <w:rPr>
                <w:rFonts w:ascii="Times New Roman" w:hAnsi="Times New Roman" w:cs="Times New Roman"/>
                <w:sz w:val="24"/>
                <w:szCs w:val="24"/>
              </w:rPr>
              <w:t>'</w:t>
            </w:r>
            <w:r w:rsidR="001C690B" w:rsidRPr="004E3F4A">
              <w:rPr>
                <w:rFonts w:ascii="Times New Roman" w:hAnsi="Times New Roman" w:cs="Times New Roman"/>
                <w:sz w:val="24"/>
                <w:szCs w:val="24"/>
              </w:rPr>
              <w:t xml:space="preserve"> (turpmāk – Noteikumi Nr. 200)</w:t>
            </w:r>
            <w:r w:rsidR="00FF59AC" w:rsidRPr="004E3F4A">
              <w:rPr>
                <w:rFonts w:ascii="Times New Roman" w:hAnsi="Times New Roman" w:cs="Times New Roman"/>
                <w:sz w:val="24"/>
                <w:szCs w:val="24"/>
              </w:rPr>
              <w:t xml:space="preserve"> un </w:t>
            </w:r>
            <w:r w:rsidR="00FF59AC" w:rsidRPr="004E3F4A">
              <w:rPr>
                <w:rFonts w:ascii="Times New Roman" w:eastAsia="Times New Roman" w:hAnsi="Times New Roman" w:cs="Times New Roman"/>
                <w:sz w:val="24"/>
                <w:szCs w:val="24"/>
                <w:lang w:eastAsia="lv-LV"/>
              </w:rPr>
              <w:t>Finanšu un kapitāla tirgus komisijas 2020. gada 11. augusta normatīvos noteikumus Nr. 129 "Kredītiestādes uzņēmuma pārejas priekšlikuma izskatīšanas normatīvie noteikumi" (turpmāk – Noteikumi Nr. 129).</w:t>
            </w:r>
            <w:r w:rsidR="00C9237F" w:rsidRPr="004E3F4A">
              <w:rPr>
                <w:rFonts w:ascii="Times New Roman" w:eastAsia="Times New Roman" w:hAnsi="Times New Roman" w:cs="Times New Roman"/>
                <w:sz w:val="24"/>
                <w:szCs w:val="24"/>
                <w:lang w:eastAsia="lv-LV"/>
              </w:rPr>
              <w:t xml:space="preserve"> Projekts apvieno divu iepriekš izdotu noteikumu normas, lai nodrošinātu, ka vienādu atļauju izsniegšanas regulējums ir atrodams vienuviet.</w:t>
            </w:r>
          </w:p>
          <w:p w14:paraId="01FA08C9" w14:textId="3D2B527A" w:rsidR="00E53DE9" w:rsidRPr="004E3F4A" w:rsidRDefault="00103278" w:rsidP="003D1F15">
            <w:pPr>
              <w:spacing w:after="120" w:line="240" w:lineRule="auto"/>
              <w:jc w:val="both"/>
              <w:rPr>
                <w:rFonts w:ascii="Times New Roman" w:hAnsi="Times New Roman" w:cs="Times New Roman"/>
                <w:bCs/>
                <w:sz w:val="24"/>
                <w:szCs w:val="24"/>
              </w:rPr>
            </w:pPr>
            <w:r w:rsidRPr="004E3F4A">
              <w:rPr>
                <w:rFonts w:ascii="Times New Roman" w:hAnsi="Times New Roman" w:cs="Times New Roman"/>
                <w:sz w:val="24"/>
                <w:szCs w:val="24"/>
              </w:rPr>
              <w:t>Projekts pēc satura ir līdzīg</w:t>
            </w:r>
            <w:r w:rsidR="006C69BE" w:rsidRPr="004E3F4A">
              <w:rPr>
                <w:rFonts w:ascii="Times New Roman" w:hAnsi="Times New Roman" w:cs="Times New Roman"/>
                <w:sz w:val="24"/>
                <w:szCs w:val="24"/>
              </w:rPr>
              <w:t>s</w:t>
            </w:r>
            <w:r w:rsidRPr="004E3F4A">
              <w:rPr>
                <w:rFonts w:ascii="Times New Roman" w:hAnsi="Times New Roman" w:cs="Times New Roman"/>
                <w:sz w:val="24"/>
                <w:szCs w:val="24"/>
              </w:rPr>
              <w:t xml:space="preserve"> spēkā esošajiem Noteikumiem Nr. 200</w:t>
            </w:r>
            <w:r w:rsidR="00D6321D" w:rsidRPr="004E3F4A">
              <w:rPr>
                <w:rFonts w:ascii="Times New Roman" w:hAnsi="Times New Roman" w:cs="Times New Roman"/>
                <w:sz w:val="24"/>
                <w:szCs w:val="24"/>
              </w:rPr>
              <w:t xml:space="preserve"> un Noteikumiem </w:t>
            </w:r>
            <w:r w:rsidR="00692DEA">
              <w:rPr>
                <w:rFonts w:ascii="Times New Roman" w:hAnsi="Times New Roman" w:cs="Times New Roman"/>
                <w:sz w:val="24"/>
                <w:szCs w:val="24"/>
              </w:rPr>
              <w:t>Nr. </w:t>
            </w:r>
            <w:r w:rsidR="00D6321D" w:rsidRPr="004E3F4A">
              <w:rPr>
                <w:rFonts w:ascii="Times New Roman" w:hAnsi="Times New Roman" w:cs="Times New Roman"/>
                <w:sz w:val="24"/>
                <w:szCs w:val="24"/>
              </w:rPr>
              <w:t>129</w:t>
            </w:r>
            <w:r w:rsidRPr="004E3F4A">
              <w:rPr>
                <w:rFonts w:ascii="Times New Roman" w:hAnsi="Times New Roman" w:cs="Times New Roman"/>
                <w:sz w:val="24"/>
                <w:szCs w:val="24"/>
              </w:rPr>
              <w:t>, t</w:t>
            </w:r>
            <w:r w:rsidRPr="004E3F4A">
              <w:rPr>
                <w:rFonts w:ascii="Times New Roman" w:hAnsi="Times New Roman" w:cs="Times New Roman"/>
                <w:bCs/>
                <w:sz w:val="24"/>
                <w:szCs w:val="24"/>
              </w:rPr>
              <w:t>aču ir pārstrādāta pieprasāmās informācijas struktūra, normas precizētas, ņemot vērā Eiropas Savienības pieņemto regulējumu kredītiestāžu licencēšanas jomā</w:t>
            </w:r>
            <w:r w:rsidR="007D5307" w:rsidRPr="004E3F4A">
              <w:rPr>
                <w:rStyle w:val="FootnoteReference"/>
                <w:rFonts w:ascii="Times New Roman" w:hAnsi="Times New Roman" w:cs="Times New Roman"/>
                <w:bCs/>
                <w:sz w:val="24"/>
                <w:szCs w:val="24"/>
              </w:rPr>
              <w:footnoteReference w:id="1"/>
            </w:r>
            <w:r w:rsidRPr="004E3F4A">
              <w:rPr>
                <w:rFonts w:ascii="Times New Roman" w:hAnsi="Times New Roman" w:cs="Times New Roman"/>
                <w:bCs/>
                <w:sz w:val="24"/>
                <w:szCs w:val="24"/>
              </w:rPr>
              <w:t xml:space="preserve">, kā arī uzlabotas atsevišķas normas, ņemot vērā praktisko pieredzi darbā ar </w:t>
            </w:r>
            <w:r w:rsidR="00545D6A" w:rsidRPr="004E3F4A">
              <w:rPr>
                <w:rFonts w:ascii="Times New Roman" w:hAnsi="Times New Roman" w:cs="Times New Roman"/>
                <w:bCs/>
                <w:sz w:val="24"/>
                <w:szCs w:val="24"/>
              </w:rPr>
              <w:t xml:space="preserve">finanšu </w:t>
            </w:r>
            <w:r w:rsidRPr="004E3F4A">
              <w:rPr>
                <w:rFonts w:ascii="Times New Roman" w:hAnsi="Times New Roman" w:cs="Times New Roman"/>
                <w:bCs/>
                <w:sz w:val="24"/>
                <w:szCs w:val="24"/>
              </w:rPr>
              <w:t>tirgus dalībniekiem</w:t>
            </w:r>
            <w:r w:rsidR="00EB7433" w:rsidRPr="004E3F4A">
              <w:rPr>
                <w:rFonts w:ascii="Times New Roman" w:hAnsi="Times New Roman" w:cs="Times New Roman"/>
                <w:bCs/>
                <w:sz w:val="24"/>
                <w:szCs w:val="24"/>
              </w:rPr>
              <w:t xml:space="preserve"> (turpmāk – tirgus dalībnieki)</w:t>
            </w:r>
            <w:r w:rsidR="007F4C88" w:rsidRPr="004E3F4A">
              <w:rPr>
                <w:rFonts w:ascii="Times New Roman" w:hAnsi="Times New Roman" w:cs="Times New Roman"/>
                <w:sz w:val="24"/>
                <w:szCs w:val="24"/>
                <w:lang w:eastAsia="lv-LV"/>
              </w:rPr>
              <w:t>:</w:t>
            </w:r>
          </w:p>
          <w:p w14:paraId="4E64B207" w14:textId="1B7522D1" w:rsidR="00354C71" w:rsidRPr="004E3F4A" w:rsidRDefault="00070FE3" w:rsidP="00354C71">
            <w:pPr>
              <w:pStyle w:val="NApunkts2"/>
              <w:numPr>
                <w:ilvl w:val="0"/>
                <w:numId w:val="10"/>
              </w:numPr>
              <w:tabs>
                <w:tab w:val="left" w:pos="324"/>
              </w:tabs>
              <w:spacing w:after="120"/>
              <w:ind w:left="0" w:firstLine="0"/>
            </w:pPr>
            <w:r w:rsidRPr="004E3F4A">
              <w:t>ņ</w:t>
            </w:r>
            <w:r w:rsidR="007F4C88" w:rsidRPr="004E3F4A">
              <w:t>emot vērā, ka Eiropas Savienīb</w:t>
            </w:r>
            <w:r w:rsidR="001C690B" w:rsidRPr="004E3F4A">
              <w:t>as līmenī</w:t>
            </w:r>
            <w:r w:rsidR="007F4C88" w:rsidRPr="004E3F4A">
              <w:t xml:space="preserve"> ieviests vienots regulējums Eiropas Savienībā dibināto kredītiestāžu licencēšan</w:t>
            </w:r>
            <w:r w:rsidR="00DC417D" w:rsidRPr="004E3F4A">
              <w:t>ai</w:t>
            </w:r>
            <w:r w:rsidR="007F4C88" w:rsidRPr="004E3F4A">
              <w:t>, projekts</w:t>
            </w:r>
            <w:r w:rsidR="001C690B" w:rsidRPr="004E3F4A">
              <w:t xml:space="preserve"> </w:t>
            </w:r>
            <w:r w:rsidR="007F4C88" w:rsidRPr="004E3F4A">
              <w:t>atbilstoši jaunajam regulējumam</w:t>
            </w:r>
            <w:r w:rsidR="007D5307" w:rsidRPr="004E3F4A">
              <w:rPr>
                <w:vertAlign w:val="superscript"/>
              </w:rPr>
              <w:footnoteReference w:id="2"/>
            </w:r>
            <w:r w:rsidR="00CE50F6" w:rsidRPr="004E3F4A">
              <w:t xml:space="preserve"> </w:t>
            </w:r>
            <w:r w:rsidR="00DC417D" w:rsidRPr="004E3F4A">
              <w:t xml:space="preserve">precizē </w:t>
            </w:r>
            <w:r w:rsidR="00F91DDE" w:rsidRPr="004E3F4A">
              <w:t xml:space="preserve">prasības </w:t>
            </w:r>
            <w:r w:rsidR="00CE50F6" w:rsidRPr="004E3F4A">
              <w:t>kredītiestāde</w:t>
            </w:r>
            <w:r w:rsidR="00DC417D" w:rsidRPr="004E3F4A">
              <w:t>s</w:t>
            </w:r>
            <w:r w:rsidR="00CE50F6" w:rsidRPr="004E3F4A">
              <w:t xml:space="preserve"> licences (atļaujas) saņemšanai</w:t>
            </w:r>
            <w:r w:rsidRPr="004E3F4A">
              <w:t>;</w:t>
            </w:r>
          </w:p>
          <w:p w14:paraId="19AD5966" w14:textId="6AA1BBD0" w:rsidR="00BD0273" w:rsidRPr="004E3F4A" w:rsidRDefault="00070FE3" w:rsidP="00354C71">
            <w:pPr>
              <w:pStyle w:val="NApunkts2"/>
              <w:numPr>
                <w:ilvl w:val="0"/>
                <w:numId w:val="10"/>
              </w:numPr>
              <w:tabs>
                <w:tab w:val="left" w:pos="324"/>
              </w:tabs>
              <w:spacing w:after="120"/>
              <w:ind w:left="0" w:firstLine="0"/>
            </w:pPr>
            <w:r w:rsidRPr="004E3F4A">
              <w:lastRenderedPageBreak/>
              <w:t>ņ</w:t>
            </w:r>
            <w:r w:rsidR="007F4C88" w:rsidRPr="004E3F4A">
              <w:t xml:space="preserve">emot vērā, ka </w:t>
            </w:r>
            <w:r w:rsidR="00F91DDE" w:rsidRPr="004E3F4A">
              <w:t xml:space="preserve">Noteikumos Nr. 200 ietvertais </w:t>
            </w:r>
            <w:r w:rsidR="007F4C88" w:rsidRPr="004E3F4A">
              <w:t>regulējums ārvalsts kredītiestādes filiāles licencēšanai neatbil</w:t>
            </w:r>
            <w:r w:rsidR="00F91DDE" w:rsidRPr="004E3F4A">
              <w:t>st</w:t>
            </w:r>
            <w:r w:rsidR="007F4C88" w:rsidRPr="004E3F4A">
              <w:t xml:space="preserve"> </w:t>
            </w:r>
            <w:r w:rsidR="00FB3B81" w:rsidRPr="004E3F4A">
              <w:t>spēkā esoš</w:t>
            </w:r>
            <w:r w:rsidR="00F91FD7" w:rsidRPr="004E3F4A">
              <w:t>aj</w:t>
            </w:r>
            <w:r w:rsidR="00FB3B81" w:rsidRPr="004E3F4A">
              <w:t xml:space="preserve">ām </w:t>
            </w:r>
            <w:r w:rsidR="007F4C88" w:rsidRPr="004E3F4A">
              <w:t>prasībām</w:t>
            </w:r>
            <w:r w:rsidR="001B0617" w:rsidRPr="004E3F4A">
              <w:rPr>
                <w:vertAlign w:val="superscript"/>
              </w:rPr>
              <w:footnoteReference w:id="3"/>
            </w:r>
            <w:r w:rsidR="000A75B3" w:rsidRPr="004E3F4A">
              <w:t xml:space="preserve">, kādas izvirzītas jaundibināmām kredītiestādēm Eiropas </w:t>
            </w:r>
            <w:r w:rsidR="005F1BB0" w:rsidRPr="004E3F4A">
              <w:t>S</w:t>
            </w:r>
            <w:r w:rsidR="000A75B3" w:rsidRPr="004E3F4A">
              <w:t>avienībā</w:t>
            </w:r>
            <w:r w:rsidR="007F4C88" w:rsidRPr="004E3F4A">
              <w:t xml:space="preserve">, </w:t>
            </w:r>
            <w:r w:rsidR="00FB3B81" w:rsidRPr="004E3F4A">
              <w:t>un</w:t>
            </w:r>
            <w:r w:rsidR="007F4C88" w:rsidRPr="004E3F4A">
              <w:t xml:space="preserve"> ka šādu filiāļu licencēšana ir jānosaka katras valsts nacionāla</w:t>
            </w:r>
            <w:r w:rsidR="003E535C" w:rsidRPr="004E3F4A">
              <w:t>jā</w:t>
            </w:r>
            <w:r w:rsidR="007F4C88" w:rsidRPr="004E3F4A">
              <w:t xml:space="preserve"> regulējum</w:t>
            </w:r>
            <w:r w:rsidR="003E535C" w:rsidRPr="004E3F4A">
              <w:t>ā</w:t>
            </w:r>
            <w:r w:rsidR="007F4C88" w:rsidRPr="004E3F4A">
              <w:t>, projekts precizē</w:t>
            </w:r>
            <w:r w:rsidR="003E535C" w:rsidRPr="004E3F4A">
              <w:t xml:space="preserve"> ārvalsts kredītiestādes filiā</w:t>
            </w:r>
            <w:r w:rsidR="005F1BB0" w:rsidRPr="004E3F4A">
              <w:t>ļu</w:t>
            </w:r>
            <w:r w:rsidR="003E535C" w:rsidRPr="004E3F4A">
              <w:t xml:space="preserve"> licencēšana</w:t>
            </w:r>
            <w:r w:rsidR="002451FF" w:rsidRPr="004E3F4A">
              <w:t>s kārtību</w:t>
            </w:r>
            <w:r w:rsidR="007F4C88" w:rsidRPr="004E3F4A">
              <w:t xml:space="preserve">, piemērojot </w:t>
            </w:r>
            <w:r w:rsidR="003E535C" w:rsidRPr="004E3F4A">
              <w:t xml:space="preserve">tām </w:t>
            </w:r>
            <w:r w:rsidR="007F4C88" w:rsidRPr="004E3F4A">
              <w:t xml:space="preserve">tādas pašas prasības, </w:t>
            </w:r>
            <w:r w:rsidR="005F1BB0" w:rsidRPr="004E3F4A">
              <w:t xml:space="preserve">ciktāl tas attiecināms, </w:t>
            </w:r>
            <w:r w:rsidR="007F4C88" w:rsidRPr="004E3F4A">
              <w:t>kā jaundibināmām kredīt</w:t>
            </w:r>
            <w:r w:rsidR="00FB3B81" w:rsidRPr="004E3F4A">
              <w:t>i</w:t>
            </w:r>
            <w:r w:rsidR="007F4C88" w:rsidRPr="004E3F4A">
              <w:t>estādēm, k</w:t>
            </w:r>
            <w:r w:rsidR="003E535C" w:rsidRPr="004E3F4A">
              <w:t>uras</w:t>
            </w:r>
            <w:r w:rsidR="007F4C88" w:rsidRPr="004E3F4A">
              <w:t xml:space="preserve"> tiek licencētas Latvijā vai citur Eiropas Savienībā, tādējādi neradot labvēlīgākus nosacījumus ārvalstu uzņēmējiem</w:t>
            </w:r>
            <w:r w:rsidR="003E535C" w:rsidRPr="004E3F4A">
              <w:t>,</w:t>
            </w:r>
            <w:r w:rsidR="007F4C88" w:rsidRPr="004E3F4A">
              <w:t xml:space="preserve"> dibinot </w:t>
            </w:r>
            <w:r w:rsidR="00FB3B81" w:rsidRPr="004E3F4A">
              <w:t xml:space="preserve">ārvalsts kredītiestādes </w:t>
            </w:r>
            <w:r w:rsidR="007F4C88" w:rsidRPr="004E3F4A">
              <w:t>filiāli Latvijā</w:t>
            </w:r>
            <w:r w:rsidRPr="004E3F4A">
              <w:t>;</w:t>
            </w:r>
          </w:p>
          <w:p w14:paraId="0E6C2D35" w14:textId="693E172D" w:rsidR="007F4C88" w:rsidRPr="004E3F4A" w:rsidRDefault="00070FE3" w:rsidP="00354C71">
            <w:pPr>
              <w:pStyle w:val="NApunkts2"/>
              <w:numPr>
                <w:ilvl w:val="0"/>
                <w:numId w:val="10"/>
              </w:numPr>
              <w:tabs>
                <w:tab w:val="left" w:pos="324"/>
              </w:tabs>
              <w:spacing w:after="120"/>
              <w:ind w:left="0" w:firstLine="0"/>
            </w:pPr>
            <w:r w:rsidRPr="004E3F4A">
              <w:t>p</w:t>
            </w:r>
            <w:r w:rsidR="007F4C88" w:rsidRPr="004E3F4A">
              <w:t>recizētas normas</w:t>
            </w:r>
            <w:r w:rsidR="00BD0273" w:rsidRPr="004E3F4A">
              <w:t xml:space="preserve">, par kādām </w:t>
            </w:r>
            <w:r w:rsidR="007F4C88" w:rsidRPr="004E3F4A">
              <w:t>cieš</w:t>
            </w:r>
            <w:r w:rsidR="00BD0273" w:rsidRPr="004E3F4A">
              <w:t>ām</w:t>
            </w:r>
            <w:r w:rsidR="007F4C88" w:rsidRPr="004E3F4A">
              <w:t xml:space="preserve"> attiecīb</w:t>
            </w:r>
            <w:r w:rsidR="00BD0273" w:rsidRPr="004E3F4A">
              <w:t>ām</w:t>
            </w:r>
            <w:r w:rsidR="007F4C88" w:rsidRPr="004E3F4A">
              <w:t xml:space="preserve"> </w:t>
            </w:r>
            <w:r w:rsidR="00BD0273" w:rsidRPr="004E3F4A">
              <w:t>kredītiestāde informē Latvijas Banku</w:t>
            </w:r>
            <w:r w:rsidRPr="004E3F4A">
              <w:t>;</w:t>
            </w:r>
          </w:p>
          <w:p w14:paraId="35AA708B" w14:textId="3481F8D7" w:rsidR="00BD0273" w:rsidRPr="004E3F4A" w:rsidRDefault="00070FE3" w:rsidP="00354C71">
            <w:pPr>
              <w:pStyle w:val="NApunkts2"/>
              <w:numPr>
                <w:ilvl w:val="0"/>
                <w:numId w:val="10"/>
              </w:numPr>
              <w:tabs>
                <w:tab w:val="left" w:pos="324"/>
              </w:tabs>
              <w:spacing w:after="120"/>
              <w:ind w:left="0" w:firstLine="0"/>
            </w:pPr>
            <w:r w:rsidRPr="004E3F4A">
              <w:t>p</w:t>
            </w:r>
            <w:r w:rsidR="00BD0273" w:rsidRPr="004E3F4A">
              <w:t>recizēta informācija, kas kredītiestādēm jāsniedz Latvijas Bankai, ja kredītiestāde vēlas sniegt pārrobežu pakalpojumus bez filiāles atvēršanas dalībvalstīs</w:t>
            </w:r>
            <w:r w:rsidR="00A34928" w:rsidRPr="004E3F4A">
              <w:rPr>
                <w:vertAlign w:val="superscript"/>
              </w:rPr>
              <w:footnoteReference w:id="4"/>
            </w:r>
            <w:r w:rsidR="00C320B7" w:rsidRPr="004E3F4A">
              <w:t>;</w:t>
            </w:r>
          </w:p>
          <w:p w14:paraId="3A207EDD" w14:textId="107BB8AF" w:rsidR="00BD0273" w:rsidRPr="004E3F4A" w:rsidRDefault="00070FE3" w:rsidP="00354C71">
            <w:pPr>
              <w:pStyle w:val="NApunkts2"/>
              <w:numPr>
                <w:ilvl w:val="0"/>
                <w:numId w:val="10"/>
              </w:numPr>
              <w:tabs>
                <w:tab w:val="left" w:pos="324"/>
              </w:tabs>
              <w:spacing w:after="120"/>
              <w:ind w:left="0" w:firstLine="0"/>
            </w:pPr>
            <w:r w:rsidRPr="004E3F4A">
              <w:t>p</w:t>
            </w:r>
            <w:r w:rsidR="00BD0273" w:rsidRPr="004E3F4A">
              <w:t xml:space="preserve">recizēts informācijas saraksts, kas kredītiestādei regulāri </w:t>
            </w:r>
            <w:r w:rsidR="00E66BE4" w:rsidRPr="004E3F4A">
              <w:t>jā</w:t>
            </w:r>
            <w:r w:rsidR="002451FF" w:rsidRPr="004E3F4A">
              <w:t>ie</w:t>
            </w:r>
            <w:r w:rsidR="00E66BE4" w:rsidRPr="004E3F4A">
              <w:t>sniedz</w:t>
            </w:r>
            <w:r w:rsidR="00BD0273" w:rsidRPr="004E3F4A">
              <w:t xml:space="preserve"> Latvijas Bank</w:t>
            </w:r>
            <w:r w:rsidR="0096222B" w:rsidRPr="004E3F4A">
              <w:t>ā</w:t>
            </w:r>
            <w:r w:rsidR="00BD0273" w:rsidRPr="004E3F4A">
              <w:t xml:space="preserve"> uzraudzības nodrošināšana</w:t>
            </w:r>
            <w:r w:rsidR="00CE50F6" w:rsidRPr="004E3F4A">
              <w:t>i</w:t>
            </w:r>
            <w:r w:rsidR="00694C2D" w:rsidRPr="004E3F4A">
              <w:t xml:space="preserve">, cita starpā atceļot prasību katru gadu </w:t>
            </w:r>
            <w:r w:rsidR="00694C2D" w:rsidRPr="004E3F4A">
              <w:rPr>
                <w:rStyle w:val="cf01"/>
                <w:rFonts w:ascii="Times New Roman" w:hAnsi="Times New Roman" w:cs="Times New Roman"/>
                <w:sz w:val="24"/>
                <w:szCs w:val="24"/>
              </w:rPr>
              <w:t xml:space="preserve">sniegt Latvijas Bankai informāciju </w:t>
            </w:r>
            <w:r w:rsidR="00694C2D" w:rsidRPr="004E3F4A">
              <w:t>par personām (darbiniekiem), kas kredītiestādē pilda pamatfunkcijas</w:t>
            </w:r>
            <w:r w:rsidR="00CD6BC3" w:rsidRPr="004E3F4A">
              <w:t>, pamatkapitāla sadalījumu un kredītiestādes filiālēm</w:t>
            </w:r>
            <w:r w:rsidR="00EF46FD">
              <w:t xml:space="preserve"> Latvijā</w:t>
            </w:r>
            <w:r w:rsidRPr="004E3F4A">
              <w:t>;</w:t>
            </w:r>
          </w:p>
          <w:p w14:paraId="5D9E84A7" w14:textId="288F5D55" w:rsidR="00D6321D" w:rsidRPr="004E3F4A" w:rsidRDefault="00070FE3" w:rsidP="00D6321D">
            <w:pPr>
              <w:pStyle w:val="NApunkts2"/>
              <w:numPr>
                <w:ilvl w:val="0"/>
                <w:numId w:val="10"/>
              </w:numPr>
              <w:tabs>
                <w:tab w:val="left" w:pos="324"/>
              </w:tabs>
              <w:spacing w:after="120"/>
              <w:ind w:left="0" w:firstLine="0"/>
            </w:pPr>
            <w:r w:rsidRPr="004E3F4A">
              <w:t>v</w:t>
            </w:r>
            <w:r w:rsidR="00FB3B81" w:rsidRPr="004E3F4A">
              <w:t xml:space="preserve">eikti redakcionāli labojumi, kā arī svītrotas normas, kas dublē likumos noteikto, piemēram, </w:t>
            </w:r>
            <w:r w:rsidR="002451FF" w:rsidRPr="004E3F4A">
              <w:t xml:space="preserve">par </w:t>
            </w:r>
            <w:r w:rsidR="00FB3B81" w:rsidRPr="004E3F4A">
              <w:t>dokumentu izskatīšana</w:t>
            </w:r>
            <w:r w:rsidR="002451FF" w:rsidRPr="004E3F4A">
              <w:t>s termiņiem</w:t>
            </w:r>
            <w:r w:rsidR="00D6321D" w:rsidRPr="004E3F4A">
              <w:t>;</w:t>
            </w:r>
          </w:p>
          <w:p w14:paraId="548B9F51" w14:textId="1EFC4E30" w:rsidR="00D6321D" w:rsidRPr="004E3F4A" w:rsidRDefault="00D6321D" w:rsidP="003B1A26">
            <w:pPr>
              <w:pStyle w:val="NApunkts2"/>
              <w:numPr>
                <w:ilvl w:val="0"/>
                <w:numId w:val="10"/>
              </w:numPr>
              <w:tabs>
                <w:tab w:val="left" w:pos="324"/>
              </w:tabs>
              <w:spacing w:after="120"/>
              <w:ind w:left="0" w:firstLine="0"/>
            </w:pPr>
            <w:r w:rsidRPr="004E3F4A">
              <w:t xml:space="preserve">projekts nosaka dokumentus, </w:t>
            </w:r>
            <w:r w:rsidR="00563E2C" w:rsidRPr="004E3F4A">
              <w:t xml:space="preserve">kurus kredītiestāde iesniedz Latvijas Bankai, lai saņemtu atļauju </w:t>
            </w:r>
            <w:r w:rsidR="002F6625" w:rsidRPr="004E3F4A">
              <w:t>k</w:t>
            </w:r>
            <w:r w:rsidR="00AA220B" w:rsidRPr="004E3F4A">
              <w:t>r</w:t>
            </w:r>
            <w:r w:rsidR="002F6625" w:rsidRPr="004E3F4A">
              <w:t>edītiestādes uzņēmuma vai tā daļas, ta</w:t>
            </w:r>
            <w:r w:rsidR="002451FF" w:rsidRPr="004E3F4A">
              <w:t>i</w:t>
            </w:r>
            <w:r w:rsidR="002F6625" w:rsidRPr="004E3F4A">
              <w:t xml:space="preserve"> skaitā filiāles, nodalāmas mantas kopuma, aktīvu vai saistību kopuma vai ar kredītiestādes klientiem noslēgto tipveida līgumu kopuma (turpmāk</w:t>
            </w:r>
            <w:r w:rsidR="003B1A26" w:rsidRPr="004E3F4A">
              <w:t> –</w:t>
            </w:r>
            <w:r w:rsidR="002F6625" w:rsidRPr="004E3F4A">
              <w:t xml:space="preserve"> kredītiestādes uzņēmums) pārejai citas personas īpašumā vai lietošanā (turpmāk</w:t>
            </w:r>
            <w:r w:rsidR="003B1A26" w:rsidRPr="004E3F4A">
              <w:t> –</w:t>
            </w:r>
            <w:r w:rsidR="002F6625" w:rsidRPr="004E3F4A">
              <w:t xml:space="preserve"> kredītiestādes uzņēmuma pāreja</w:t>
            </w:r>
            <w:r w:rsidR="002F6625" w:rsidRPr="004E3F4A">
              <w:rPr>
                <w:color w:val="414142"/>
                <w:shd w:val="clear" w:color="auto" w:fill="FFFFFF"/>
              </w:rPr>
              <w:t>)</w:t>
            </w:r>
            <w:r w:rsidR="00563E2C" w:rsidRPr="004E3F4A">
              <w:t xml:space="preserve"> </w:t>
            </w:r>
            <w:r w:rsidRPr="004E3F4A">
              <w:t>atbilstoši Kredītiestāžu likuma 59.</w:t>
            </w:r>
            <w:r w:rsidRPr="004E3F4A">
              <w:rPr>
                <w:vertAlign w:val="superscript"/>
              </w:rPr>
              <w:t>2</w:t>
            </w:r>
            <w:r w:rsidR="0055210B" w:rsidRPr="004E3F4A">
              <w:t> </w:t>
            </w:r>
            <w:r w:rsidRPr="004E3F4A">
              <w:t>pantā noteiktajam</w:t>
            </w:r>
            <w:r w:rsidR="00CD025D" w:rsidRPr="004E3F4A">
              <w:t>;</w:t>
            </w:r>
          </w:p>
          <w:p w14:paraId="2C62B130" w14:textId="77777777" w:rsidR="00CD025D" w:rsidRPr="004E3F4A" w:rsidRDefault="00CD025D" w:rsidP="003B1A26">
            <w:pPr>
              <w:pStyle w:val="NApunkts2"/>
              <w:numPr>
                <w:ilvl w:val="0"/>
                <w:numId w:val="10"/>
              </w:numPr>
              <w:tabs>
                <w:tab w:val="left" w:pos="324"/>
              </w:tabs>
              <w:spacing w:after="120"/>
              <w:ind w:left="0" w:firstLine="0"/>
            </w:pPr>
            <w:r w:rsidRPr="004E3F4A">
              <w:t>atbilstoši Kredītiestāžu likuma 12. panta trešajai un ceturtajai daļai precizēts regulējums par kārtību, kādā kredītiestāde informē Latvijas Banku par pārstāvniecības atvēršanu vai slēgšanu;</w:t>
            </w:r>
          </w:p>
          <w:p w14:paraId="2C53C3D6" w14:textId="3291C1EE" w:rsidR="00CD025D" w:rsidRPr="004E3F4A" w:rsidRDefault="00CD025D" w:rsidP="003B1A26">
            <w:pPr>
              <w:pStyle w:val="NApunkts2"/>
              <w:numPr>
                <w:ilvl w:val="0"/>
                <w:numId w:val="10"/>
              </w:numPr>
              <w:tabs>
                <w:tab w:val="left" w:pos="324"/>
              </w:tabs>
              <w:spacing w:after="120"/>
              <w:ind w:left="0" w:firstLine="0"/>
            </w:pPr>
            <w:r w:rsidRPr="004E3F4A">
              <w:t>precizēts termiņš, kādā</w:t>
            </w:r>
            <w:r w:rsidR="00FD2BC5" w:rsidRPr="004E3F4A">
              <w:t xml:space="preserve"> atsevišķos gadījumos jāsniedz informācija Latvijas Bankai, proti, </w:t>
            </w:r>
            <w:r w:rsidR="002451FF" w:rsidRPr="004E3F4A">
              <w:t>septiņas</w:t>
            </w:r>
            <w:r w:rsidR="00FD2BC5" w:rsidRPr="004E3F4A">
              <w:t xml:space="preserve"> dienas aizstātas ar </w:t>
            </w:r>
            <w:r w:rsidR="002451FF" w:rsidRPr="004E3F4A">
              <w:t>piecām</w:t>
            </w:r>
            <w:r w:rsidR="00FD2BC5" w:rsidRPr="004E3F4A">
              <w:t> darbdienām, lai informācijas sniegšanas termiņš būtu saprātīgs arī tādos gadījumos, kad informācijas sniegšanas pienākums sakrīt ar garajām brīvdienām (piemēram, Ziemassvētku laikā).</w:t>
            </w:r>
          </w:p>
        </w:tc>
      </w:tr>
      <w:tr w:rsidR="00F62DE2" w:rsidRPr="004E3F4A" w14:paraId="0A6F58C3" w14:textId="77777777" w:rsidTr="00ED184E">
        <w:trPr>
          <w:trHeight w:val="770"/>
        </w:trPr>
        <w:tc>
          <w:tcPr>
            <w:tcW w:w="1248" w:type="pct"/>
            <w:shd w:val="clear" w:color="auto" w:fill="auto"/>
            <w:hideMark/>
          </w:tcPr>
          <w:p w14:paraId="427434F4"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lastRenderedPageBreak/>
              <w:t>Leģitīmais mērķis</w:t>
            </w:r>
          </w:p>
          <w:p w14:paraId="7F2053CC"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70DA85C7" w14:textId="7CE28A3D" w:rsidR="00B17FA3" w:rsidRPr="004E3F4A" w:rsidRDefault="001A1A7C" w:rsidP="00B17FA3">
            <w:pPr>
              <w:spacing w:after="120" w:line="240" w:lineRule="auto"/>
              <w:jc w:val="both"/>
              <w:rPr>
                <w:rFonts w:ascii="Times New Roman" w:hAnsi="Times New Roman" w:cs="Times New Roman"/>
                <w:sz w:val="24"/>
                <w:szCs w:val="24"/>
              </w:rPr>
            </w:pPr>
            <w:r w:rsidRPr="004E3F4A">
              <w:rPr>
                <w:rFonts w:ascii="Times New Roman" w:hAnsi="Times New Roman" w:cs="Times New Roman"/>
                <w:sz w:val="24"/>
                <w:szCs w:val="24"/>
              </w:rPr>
              <w:t xml:space="preserve">Noteikumi nepieciešami, lai Latvijas Banka atbilstoši Latvijas Bankas likuma </w:t>
            </w:r>
            <w:r w:rsidR="00A9235C" w:rsidRPr="004E3F4A">
              <w:rPr>
                <w:rFonts w:ascii="Times New Roman" w:hAnsi="Times New Roman" w:cs="Times New Roman"/>
                <w:sz w:val="24"/>
                <w:szCs w:val="24"/>
              </w:rPr>
              <w:t>48</w:t>
            </w:r>
            <w:r w:rsidRPr="004E3F4A">
              <w:rPr>
                <w:rFonts w:ascii="Times New Roman" w:hAnsi="Times New Roman" w:cs="Times New Roman"/>
                <w:sz w:val="24"/>
                <w:szCs w:val="24"/>
              </w:rPr>
              <w:t xml:space="preserve">. panta </w:t>
            </w:r>
            <w:r w:rsidR="00A9235C" w:rsidRPr="004E3F4A">
              <w:rPr>
                <w:rFonts w:ascii="Times New Roman" w:hAnsi="Times New Roman" w:cs="Times New Roman"/>
                <w:sz w:val="24"/>
                <w:szCs w:val="24"/>
              </w:rPr>
              <w:t>pirmajai un otrajai daļai nodrošinātu stabila un likumiem atbilstoša finanšu sektora darbību, kas iespējams,</w:t>
            </w:r>
            <w:r w:rsidRPr="004E3F4A">
              <w:rPr>
                <w:rFonts w:ascii="Times New Roman" w:hAnsi="Times New Roman" w:cs="Times New Roman"/>
                <w:sz w:val="24"/>
                <w:szCs w:val="24"/>
              </w:rPr>
              <w:t xml:space="preserve"> saņem</w:t>
            </w:r>
            <w:r w:rsidR="00A9235C" w:rsidRPr="004E3F4A">
              <w:rPr>
                <w:rFonts w:ascii="Times New Roman" w:hAnsi="Times New Roman" w:cs="Times New Roman"/>
                <w:sz w:val="24"/>
                <w:szCs w:val="24"/>
              </w:rPr>
              <w:t>ot</w:t>
            </w:r>
            <w:r w:rsidRPr="004E3F4A">
              <w:rPr>
                <w:rFonts w:ascii="Times New Roman" w:hAnsi="Times New Roman" w:cs="Times New Roman"/>
                <w:sz w:val="24"/>
                <w:szCs w:val="24"/>
              </w:rPr>
              <w:t xml:space="preserve"> pēc iespējas precīzāku un visaptverošu informāciju,</w:t>
            </w:r>
            <w:r w:rsidR="002B14F9" w:rsidRPr="004E3F4A">
              <w:rPr>
                <w:rFonts w:ascii="Times New Roman" w:hAnsi="Times New Roman" w:cs="Times New Roman"/>
                <w:sz w:val="24"/>
                <w:szCs w:val="24"/>
              </w:rPr>
              <w:t xml:space="preserve"> </w:t>
            </w:r>
            <w:r w:rsidRPr="004E3F4A">
              <w:rPr>
                <w:rFonts w:ascii="Times New Roman" w:hAnsi="Times New Roman" w:cs="Times New Roman"/>
                <w:sz w:val="24"/>
                <w:szCs w:val="24"/>
              </w:rPr>
              <w:t xml:space="preserve">lai </w:t>
            </w:r>
            <w:r w:rsidR="002451FF" w:rsidRPr="004E3F4A">
              <w:rPr>
                <w:rFonts w:ascii="Times New Roman" w:hAnsi="Times New Roman" w:cs="Times New Roman"/>
                <w:sz w:val="24"/>
                <w:szCs w:val="24"/>
              </w:rPr>
              <w:t xml:space="preserve">nodrošinātu </w:t>
            </w:r>
            <w:r w:rsidR="001F1E1F" w:rsidRPr="004E3F4A">
              <w:rPr>
                <w:rFonts w:ascii="Times New Roman" w:hAnsi="Times New Roman" w:cs="Times New Roman"/>
                <w:sz w:val="24"/>
                <w:szCs w:val="24"/>
              </w:rPr>
              <w:t xml:space="preserve">licenču piešķiršanas procesu, izsniegtu atsevišķas atļaujas, sniegtu saskaņojumus vai saņemtu regulāru informāciju, kas </w:t>
            </w:r>
            <w:r w:rsidR="001F1E1F" w:rsidRPr="004E3F4A">
              <w:rPr>
                <w:rFonts w:ascii="Times New Roman" w:hAnsi="Times New Roman" w:cs="Times New Roman"/>
                <w:sz w:val="24"/>
                <w:szCs w:val="24"/>
              </w:rPr>
              <w:lastRenderedPageBreak/>
              <w:t xml:space="preserve">nepieciešama uzraudzības </w:t>
            </w:r>
            <w:r w:rsidR="00BD0273" w:rsidRPr="004E3F4A">
              <w:rPr>
                <w:rFonts w:ascii="Times New Roman" w:hAnsi="Times New Roman" w:cs="Times New Roman"/>
                <w:sz w:val="24"/>
                <w:szCs w:val="24"/>
              </w:rPr>
              <w:t xml:space="preserve">un statistikas </w:t>
            </w:r>
            <w:r w:rsidR="002451FF" w:rsidRPr="004E3F4A">
              <w:rPr>
                <w:rFonts w:ascii="Times New Roman" w:hAnsi="Times New Roman" w:cs="Times New Roman"/>
                <w:sz w:val="24"/>
                <w:szCs w:val="24"/>
              </w:rPr>
              <w:t xml:space="preserve">apkopošanas </w:t>
            </w:r>
            <w:r w:rsidR="001F1E1F" w:rsidRPr="004E3F4A">
              <w:rPr>
                <w:rFonts w:ascii="Times New Roman" w:hAnsi="Times New Roman" w:cs="Times New Roman"/>
                <w:sz w:val="24"/>
                <w:szCs w:val="24"/>
              </w:rPr>
              <w:t>procesu nodrošināšanai</w:t>
            </w:r>
            <w:r w:rsidR="006C281E" w:rsidRPr="004E3F4A">
              <w:rPr>
                <w:rFonts w:ascii="Times New Roman" w:hAnsi="Times New Roman" w:cs="Times New Roman"/>
                <w:sz w:val="24"/>
                <w:szCs w:val="24"/>
              </w:rPr>
              <w:t xml:space="preserve">, kā arī </w:t>
            </w:r>
            <w:r w:rsidR="00B17FA3" w:rsidRPr="004E3F4A">
              <w:rPr>
                <w:rFonts w:ascii="Times New Roman" w:eastAsia="Times New Roman" w:hAnsi="Times New Roman" w:cs="Times New Roman"/>
                <w:sz w:val="24"/>
                <w:szCs w:val="24"/>
                <w:lang w:eastAsia="lv-LV"/>
              </w:rPr>
              <w:t xml:space="preserve">lai veicinātu vienotu tirgus dalībnieku izpratni un pieeju regulējošo prasību interpretācijai un nodrošinātu tirgus dalībniekus ar savlaicīgu informāciju gadījumos, </w:t>
            </w:r>
            <w:r w:rsidR="002451FF" w:rsidRPr="004E3F4A">
              <w:rPr>
                <w:rFonts w:ascii="Times New Roman" w:eastAsia="Times New Roman" w:hAnsi="Times New Roman" w:cs="Times New Roman"/>
                <w:sz w:val="24"/>
                <w:szCs w:val="24"/>
                <w:lang w:eastAsia="lv-LV"/>
              </w:rPr>
              <w:t>k</w:t>
            </w:r>
            <w:r w:rsidR="00B17FA3" w:rsidRPr="004E3F4A">
              <w:rPr>
                <w:rFonts w:ascii="Times New Roman" w:eastAsia="Times New Roman" w:hAnsi="Times New Roman" w:cs="Times New Roman"/>
                <w:sz w:val="24"/>
                <w:szCs w:val="24"/>
                <w:lang w:eastAsia="lv-LV"/>
              </w:rPr>
              <w:t>a</w:t>
            </w:r>
            <w:r w:rsidR="002451FF" w:rsidRPr="004E3F4A">
              <w:rPr>
                <w:rFonts w:ascii="Times New Roman" w:eastAsia="Times New Roman" w:hAnsi="Times New Roman" w:cs="Times New Roman"/>
                <w:sz w:val="24"/>
                <w:szCs w:val="24"/>
                <w:lang w:eastAsia="lv-LV"/>
              </w:rPr>
              <w:t>d</w:t>
            </w:r>
            <w:r w:rsidR="00B17FA3" w:rsidRPr="004E3F4A">
              <w:rPr>
                <w:rFonts w:ascii="Times New Roman" w:eastAsia="Times New Roman" w:hAnsi="Times New Roman" w:cs="Times New Roman"/>
                <w:sz w:val="24"/>
                <w:szCs w:val="24"/>
                <w:lang w:eastAsia="lv-LV"/>
              </w:rPr>
              <w:t xml:space="preserve"> </w:t>
            </w:r>
            <w:r w:rsidR="002451FF" w:rsidRPr="004E3F4A">
              <w:rPr>
                <w:rFonts w:ascii="Times New Roman" w:eastAsia="Times New Roman" w:hAnsi="Times New Roman" w:cs="Times New Roman"/>
                <w:sz w:val="24"/>
                <w:szCs w:val="24"/>
                <w:lang w:eastAsia="lv-LV"/>
              </w:rPr>
              <w:t>tie</w:t>
            </w:r>
            <w:r w:rsidR="00B17FA3" w:rsidRPr="004E3F4A">
              <w:rPr>
                <w:rFonts w:ascii="Times New Roman" w:eastAsia="Times New Roman" w:hAnsi="Times New Roman" w:cs="Times New Roman"/>
                <w:sz w:val="24"/>
                <w:szCs w:val="24"/>
                <w:lang w:eastAsia="lv-LV"/>
              </w:rPr>
              <w:t xml:space="preserve"> lemj par kredītiestādes uzņēmuma pāreju un ir nepieciešams saņemt Latvijas Bankas atļauju minēto darbību veikšanai.</w:t>
            </w:r>
          </w:p>
          <w:p w14:paraId="163BAD2D" w14:textId="25970A53" w:rsidR="000D1EBD" w:rsidRPr="004E3F4A" w:rsidRDefault="002451FF" w:rsidP="002969AD">
            <w:pPr>
              <w:spacing w:after="120" w:line="240" w:lineRule="auto"/>
              <w:jc w:val="both"/>
              <w:rPr>
                <w:rFonts w:ascii="Times New Roman" w:eastAsia="Times New Roman" w:hAnsi="Times New Roman" w:cs="Times New Roman"/>
                <w:i/>
                <w:iCs/>
                <w:sz w:val="24"/>
                <w:szCs w:val="24"/>
                <w:lang w:eastAsia="lv-LV"/>
              </w:rPr>
            </w:pPr>
            <w:r w:rsidRPr="004E3F4A">
              <w:rPr>
                <w:rStyle w:val="cf01"/>
                <w:rFonts w:ascii="Times New Roman" w:hAnsi="Times New Roman" w:cs="Times New Roman"/>
                <w:sz w:val="24"/>
                <w:szCs w:val="24"/>
              </w:rPr>
              <w:t xml:space="preserve">Līdz ar to </w:t>
            </w:r>
            <w:r w:rsidR="00FB3B81" w:rsidRPr="004E3F4A">
              <w:rPr>
                <w:rStyle w:val="cf01"/>
                <w:rFonts w:ascii="Times New Roman" w:hAnsi="Times New Roman" w:cs="Times New Roman"/>
                <w:sz w:val="24"/>
                <w:szCs w:val="24"/>
              </w:rPr>
              <w:t>šie noteikumi tiek izdoti citu personu tiesību un sabiedrības labklājības aizsardzībai</w:t>
            </w:r>
            <w:r w:rsidR="007F047A" w:rsidRPr="004E3F4A">
              <w:rPr>
                <w:rStyle w:val="cf01"/>
                <w:rFonts w:ascii="Times New Roman" w:hAnsi="Times New Roman" w:cs="Times New Roman"/>
                <w:sz w:val="24"/>
                <w:szCs w:val="24"/>
              </w:rPr>
              <w:t>.</w:t>
            </w:r>
          </w:p>
        </w:tc>
      </w:tr>
      <w:tr w:rsidR="00F62DE2" w:rsidRPr="004E3F4A" w14:paraId="490AA477" w14:textId="77777777" w:rsidTr="00ED184E">
        <w:trPr>
          <w:trHeight w:val="567"/>
        </w:trPr>
        <w:tc>
          <w:tcPr>
            <w:tcW w:w="1248" w:type="pct"/>
            <w:shd w:val="clear" w:color="auto" w:fill="auto"/>
            <w:hideMark/>
          </w:tcPr>
          <w:p w14:paraId="6CACFA44"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lastRenderedPageBreak/>
              <w:t>Samērīgums</w:t>
            </w:r>
          </w:p>
          <w:p w14:paraId="430A0335"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5CF35F5C" w14:textId="4B1EAB11" w:rsidR="000D1EBD" w:rsidRPr="004E3F4A" w:rsidRDefault="000D1EBD" w:rsidP="000C43AB">
            <w:pPr>
              <w:autoSpaceDE w:val="0"/>
              <w:autoSpaceDN w:val="0"/>
              <w:adjustRightInd w:val="0"/>
              <w:spacing w:after="120" w:line="240" w:lineRule="auto"/>
              <w:jc w:val="both"/>
              <w:rPr>
                <w:rFonts w:ascii="Times New Roman" w:hAnsi="Times New Roman" w:cs="Times New Roman"/>
                <w:sz w:val="24"/>
                <w:szCs w:val="24"/>
              </w:rPr>
            </w:pPr>
            <w:r w:rsidRPr="004E3F4A">
              <w:rPr>
                <w:rFonts w:ascii="Times New Roman" w:hAnsi="Times New Roman" w:cs="Times New Roman"/>
                <w:sz w:val="24"/>
                <w:szCs w:val="24"/>
              </w:rPr>
              <w:t>Atbilstošākais veids, kā noteikt vienotas prasības saistībā ar informācijas sniegšanu, kuras nodrošina normatīv</w:t>
            </w:r>
            <w:r w:rsidR="00F62DE2" w:rsidRPr="004E3F4A">
              <w:rPr>
                <w:rFonts w:ascii="Times New Roman" w:hAnsi="Times New Roman" w:cs="Times New Roman"/>
                <w:sz w:val="24"/>
                <w:szCs w:val="24"/>
              </w:rPr>
              <w:t>aj</w:t>
            </w:r>
            <w:r w:rsidRPr="004E3F4A">
              <w:rPr>
                <w:rFonts w:ascii="Times New Roman" w:hAnsi="Times New Roman" w:cs="Times New Roman"/>
                <w:sz w:val="24"/>
                <w:szCs w:val="24"/>
              </w:rPr>
              <w:t>os aktos noteikto prasību izpildi, ir izdot tirgus dalībniekiem saistošus noteikumus, k</w:t>
            </w:r>
            <w:r w:rsidR="00D8623C" w:rsidRPr="004E3F4A">
              <w:rPr>
                <w:rFonts w:ascii="Times New Roman" w:hAnsi="Times New Roman" w:cs="Times New Roman"/>
                <w:sz w:val="24"/>
                <w:szCs w:val="24"/>
              </w:rPr>
              <w:t>uri</w:t>
            </w:r>
            <w:r w:rsidRPr="004E3F4A">
              <w:rPr>
                <w:rFonts w:ascii="Times New Roman" w:hAnsi="Times New Roman" w:cs="Times New Roman"/>
                <w:sz w:val="24"/>
                <w:szCs w:val="24"/>
              </w:rPr>
              <w:t xml:space="preserve"> sniedz skaidru priekšstatu par iesniedzamās informācijas apjomu</w:t>
            </w:r>
            <w:r w:rsidR="001F1E1F" w:rsidRPr="004E3F4A">
              <w:rPr>
                <w:rFonts w:ascii="Times New Roman" w:hAnsi="Times New Roman" w:cs="Times New Roman"/>
                <w:sz w:val="24"/>
                <w:szCs w:val="24"/>
              </w:rPr>
              <w:t>.</w:t>
            </w:r>
          </w:p>
          <w:p w14:paraId="49101A8B" w14:textId="18365156" w:rsidR="00554D5F" w:rsidRPr="004E3F4A" w:rsidRDefault="00FB3B81" w:rsidP="000C43AB">
            <w:pPr>
              <w:autoSpaceDE w:val="0"/>
              <w:autoSpaceDN w:val="0"/>
              <w:adjustRightInd w:val="0"/>
              <w:spacing w:after="120" w:line="240" w:lineRule="auto"/>
              <w:jc w:val="both"/>
              <w:rPr>
                <w:rFonts w:ascii="Times New Roman" w:hAnsi="Times New Roman" w:cs="Times New Roman"/>
                <w:sz w:val="24"/>
                <w:szCs w:val="24"/>
              </w:rPr>
            </w:pPr>
            <w:r w:rsidRPr="004E3F4A">
              <w:rPr>
                <w:rFonts w:ascii="Times New Roman" w:eastAsia="Times New Roman" w:hAnsi="Times New Roman" w:cs="Times New Roman"/>
                <w:sz w:val="24"/>
                <w:szCs w:val="24"/>
                <w:lang w:eastAsia="lv-LV"/>
              </w:rPr>
              <w:t xml:space="preserve">Projekts kopumā un tajā ietvertās tiesību normas atbilst </w:t>
            </w:r>
            <w:r w:rsidRPr="004E3F4A">
              <w:rPr>
                <w:rFonts w:ascii="Times New Roman" w:hAnsi="Times New Roman" w:cs="Times New Roman"/>
                <w:sz w:val="24"/>
                <w:szCs w:val="24"/>
              </w:rPr>
              <w:t>samērīguma principam, jo:</w:t>
            </w:r>
          </w:p>
          <w:p w14:paraId="6BC7C1EA" w14:textId="6D578EB0" w:rsidR="00554D5F" w:rsidRPr="004E3F4A" w:rsidRDefault="00FB3B81" w:rsidP="000C43AB">
            <w:pPr>
              <w:pStyle w:val="NApunkts2"/>
              <w:numPr>
                <w:ilvl w:val="0"/>
                <w:numId w:val="4"/>
              </w:numPr>
              <w:tabs>
                <w:tab w:val="left" w:pos="269"/>
              </w:tabs>
              <w:spacing w:after="120"/>
              <w:ind w:left="0" w:firstLine="0"/>
            </w:pPr>
            <w:r w:rsidRPr="004E3F4A">
              <w:t>pirmkārt, ar projektu un tajā ietvertajām prasībām tiek sasniegts leģitīmais mērķis (citu personu tiesību un sabiedrības labklājības aizsardzība);</w:t>
            </w:r>
          </w:p>
          <w:p w14:paraId="16E404F6" w14:textId="2559EAC3" w:rsidR="00554D5F" w:rsidRPr="004E3F4A" w:rsidRDefault="00FB3B81" w:rsidP="000C43AB">
            <w:pPr>
              <w:pStyle w:val="NApunkts2"/>
              <w:numPr>
                <w:ilvl w:val="0"/>
                <w:numId w:val="4"/>
              </w:numPr>
              <w:tabs>
                <w:tab w:val="left" w:pos="269"/>
              </w:tabs>
              <w:spacing w:after="120"/>
              <w:ind w:left="0" w:firstLine="0"/>
            </w:pPr>
            <w:r w:rsidRPr="004E3F4A">
              <w:t>otrkārt, nepastāv tādi alternatīvi līdzekļi, kas sasniegtu leģitīmo mērķi tādā pašā kvalitātē;</w:t>
            </w:r>
          </w:p>
          <w:p w14:paraId="71ACF97F" w14:textId="48C92903" w:rsidR="00FB3B81" w:rsidRPr="004E3F4A" w:rsidRDefault="00FB3B81" w:rsidP="000C43AB">
            <w:pPr>
              <w:pStyle w:val="ListParagraph"/>
              <w:numPr>
                <w:ilvl w:val="0"/>
                <w:numId w:val="4"/>
              </w:numPr>
              <w:tabs>
                <w:tab w:val="left" w:pos="345"/>
              </w:tabs>
              <w:autoSpaceDE w:val="0"/>
              <w:autoSpaceDN w:val="0"/>
              <w:adjustRightInd w:val="0"/>
              <w:spacing w:after="120" w:line="240" w:lineRule="auto"/>
              <w:ind w:left="0" w:firstLine="0"/>
              <w:jc w:val="both"/>
              <w:rPr>
                <w:rFonts w:ascii="Times New Roman" w:hAnsi="Times New Roman" w:cs="Times New Roman"/>
                <w:sz w:val="24"/>
                <w:szCs w:val="24"/>
              </w:rPr>
            </w:pPr>
            <w:r w:rsidRPr="004E3F4A">
              <w:rPr>
                <w:rFonts w:ascii="Times New Roman" w:eastAsia="Times New Roman" w:hAnsi="Times New Roman" w:cs="Times New Roman"/>
                <w:sz w:val="24"/>
                <w:szCs w:val="24"/>
                <w:lang w:eastAsia="lv-LV"/>
              </w:rPr>
              <w:t>treškārt</w:t>
            </w:r>
            <w:r w:rsidR="002451FF" w:rsidRPr="004E3F4A">
              <w:rPr>
                <w:rFonts w:ascii="Times New Roman" w:eastAsia="Times New Roman" w:hAnsi="Times New Roman" w:cs="Times New Roman"/>
                <w:sz w:val="24"/>
                <w:szCs w:val="24"/>
                <w:lang w:eastAsia="lv-LV"/>
              </w:rPr>
              <w:t>,</w:t>
            </w:r>
            <w:r w:rsidRPr="004E3F4A">
              <w:rPr>
                <w:rFonts w:ascii="Times New Roman" w:eastAsia="Times New Roman" w:hAnsi="Times New Roman" w:cs="Times New Roman"/>
                <w:sz w:val="24"/>
                <w:szCs w:val="24"/>
                <w:lang w:eastAsia="lv-LV"/>
              </w:rPr>
              <w:t xml:space="preserve"> labums, ko iegūs sabiedrība, būs lielāks par </w:t>
            </w:r>
            <w:r w:rsidRPr="004E3F4A">
              <w:rPr>
                <w:rFonts w:ascii="Times New Roman" w:hAnsi="Times New Roman" w:cs="Times New Roman"/>
                <w:sz w:val="24"/>
                <w:szCs w:val="24"/>
              </w:rPr>
              <w:t>projektā</w:t>
            </w:r>
            <w:r w:rsidRPr="004E3F4A">
              <w:rPr>
                <w:rFonts w:ascii="Times New Roman" w:eastAsia="Times New Roman" w:hAnsi="Times New Roman" w:cs="Times New Roman"/>
                <w:sz w:val="24"/>
                <w:szCs w:val="24"/>
                <w:lang w:eastAsia="lv-LV"/>
              </w:rPr>
              <w:t xml:space="preserve"> ietverto prasību radītajām</w:t>
            </w:r>
            <w:r w:rsidRPr="004E3F4A">
              <w:rPr>
                <w:rFonts w:ascii="Times New Roman" w:hAnsi="Times New Roman" w:cs="Times New Roman"/>
                <w:sz w:val="24"/>
                <w:szCs w:val="24"/>
              </w:rPr>
              <w:t xml:space="preserve"> negatīvajām sekām</w:t>
            </w:r>
            <w:r w:rsidR="00CE50F6" w:rsidRPr="004E3F4A">
              <w:rPr>
                <w:rFonts w:ascii="Times New Roman" w:hAnsi="Times New Roman" w:cs="Times New Roman"/>
                <w:sz w:val="24"/>
                <w:szCs w:val="24"/>
              </w:rPr>
              <w:t>.</w:t>
            </w:r>
          </w:p>
          <w:p w14:paraId="540839CF" w14:textId="0C6974CE" w:rsidR="00CE58D5" w:rsidRPr="004E3F4A" w:rsidRDefault="002755AF" w:rsidP="002755AF">
            <w:pPr>
              <w:pStyle w:val="NApunkts2"/>
              <w:numPr>
                <w:ilvl w:val="0"/>
                <w:numId w:val="0"/>
              </w:numPr>
              <w:spacing w:after="120"/>
            </w:pPr>
            <w:r>
              <w:t>1.</w:t>
            </w:r>
            <w:r w:rsidR="008162BF" w:rsidRPr="004E3F4A">
              <w:t>Precizējot spēkā esošās normas par licences (atļaujas) izsniegšanu kredītiestāde</w:t>
            </w:r>
            <w:r w:rsidR="00212325" w:rsidRPr="004E3F4A">
              <w:t>s darbībai</w:t>
            </w:r>
            <w:r w:rsidR="008162BF" w:rsidRPr="004E3F4A">
              <w:t xml:space="preserve">, </w:t>
            </w:r>
            <w:r w:rsidR="00B82E74" w:rsidRPr="004E3F4A">
              <w:t xml:space="preserve">projekts aizstāj šīs </w:t>
            </w:r>
            <w:r w:rsidR="008162BF" w:rsidRPr="004E3F4A">
              <w:t xml:space="preserve">prasības ar atsauci uz regulām, jo iesniedzamie dokumenti vairs netiek noteikti katrā Eiropas Savienības valstī atsevišķi, bet gan vienoti </w:t>
            </w:r>
            <w:r w:rsidR="00801DA2" w:rsidRPr="004E3F4A">
              <w:t>ar</w:t>
            </w:r>
            <w:r w:rsidR="00CE58D5" w:rsidRPr="004E3F4A">
              <w:t>:</w:t>
            </w:r>
          </w:p>
          <w:p w14:paraId="716FB78D" w14:textId="19B8C8B5" w:rsidR="00CE58D5" w:rsidRPr="004E3F4A" w:rsidRDefault="00554D5F" w:rsidP="00C92CBE">
            <w:pPr>
              <w:pStyle w:val="NApunkts2"/>
              <w:numPr>
                <w:ilvl w:val="0"/>
                <w:numId w:val="4"/>
              </w:numPr>
              <w:tabs>
                <w:tab w:val="left" w:pos="345"/>
              </w:tabs>
              <w:spacing w:after="120"/>
              <w:ind w:left="0" w:firstLine="0"/>
            </w:pPr>
            <w:r w:rsidRPr="004E3F4A">
              <w:t>Komisijas 2022. gada 17. jūnija deleģēt</w:t>
            </w:r>
            <w:r w:rsidR="00801DA2" w:rsidRPr="004E3F4A">
              <w:t>o</w:t>
            </w:r>
            <w:r w:rsidRPr="004E3F4A">
              <w:t xml:space="preserve"> regul</w:t>
            </w:r>
            <w:r w:rsidR="00801DA2" w:rsidRPr="004E3F4A">
              <w:t>u</w:t>
            </w:r>
            <w:r w:rsidRPr="004E3F4A">
              <w:t xml:space="preserve"> (ES) 2022/2580, ar ko Eiropas Parlamenta un Padomes direktīvu 2013/36/ES papildina attiecībā uz regulatīvajiem tehniskajiem standartiem par informāciju, kas jāsniedz pieteikumā kredītiestādes atļaujas saņemšanai, un šķēršļiem, kuri var kavēt kompetento iestāžu uzraudzības funkciju efektīvu īstenošanu</w:t>
            </w:r>
            <w:r w:rsidR="008A123C" w:rsidRPr="004E3F4A">
              <w:t xml:space="preserve"> (turpmāk – Regula Nr. 2022/2580)</w:t>
            </w:r>
            <w:r w:rsidR="00CE58D5" w:rsidRPr="004E3F4A">
              <w:t>;</w:t>
            </w:r>
          </w:p>
          <w:p w14:paraId="1F1C4AB9" w14:textId="30D629D2" w:rsidR="00CE58D5" w:rsidRPr="004E3F4A" w:rsidRDefault="00554D5F" w:rsidP="000C43AB">
            <w:pPr>
              <w:pStyle w:val="ListParagraph"/>
              <w:numPr>
                <w:ilvl w:val="0"/>
                <w:numId w:val="4"/>
              </w:numPr>
              <w:tabs>
                <w:tab w:val="left" w:pos="345"/>
              </w:tabs>
              <w:autoSpaceDE w:val="0"/>
              <w:autoSpaceDN w:val="0"/>
              <w:adjustRightInd w:val="0"/>
              <w:spacing w:after="120" w:line="240" w:lineRule="auto"/>
              <w:ind w:left="0" w:firstLine="0"/>
              <w:jc w:val="both"/>
              <w:rPr>
                <w:rFonts w:ascii="Times New Roman" w:hAnsi="Times New Roman" w:cs="Times New Roman"/>
                <w:sz w:val="24"/>
                <w:szCs w:val="24"/>
              </w:rPr>
            </w:pPr>
            <w:r w:rsidRPr="004E3F4A">
              <w:rPr>
                <w:rFonts w:ascii="Times New Roman" w:hAnsi="Times New Roman" w:cs="Times New Roman"/>
                <w:sz w:val="24"/>
                <w:szCs w:val="24"/>
              </w:rPr>
              <w:t>Komisijas 2022. gada 20. jūnija īstenošanas regul</w:t>
            </w:r>
            <w:r w:rsidR="00801DA2" w:rsidRPr="004E3F4A">
              <w:rPr>
                <w:rFonts w:ascii="Times New Roman" w:hAnsi="Times New Roman" w:cs="Times New Roman"/>
                <w:sz w:val="24"/>
                <w:szCs w:val="24"/>
              </w:rPr>
              <w:t>u</w:t>
            </w:r>
            <w:r w:rsidRPr="004E3F4A">
              <w:rPr>
                <w:rFonts w:ascii="Times New Roman" w:hAnsi="Times New Roman" w:cs="Times New Roman"/>
                <w:sz w:val="24"/>
                <w:szCs w:val="24"/>
              </w:rPr>
              <w:t xml:space="preserve"> (ES) 2022/2581, ar ko nosaka īstenošanas tehniskos standartus Eiropas Parlamenta un Padomes direktīvas 2013/36/ES piemērošanai attiecībā uz informācijas sniegšanu kredītiestādes atļaujas pieteikumā</w:t>
            </w:r>
            <w:r w:rsidR="008A123C" w:rsidRPr="004E3F4A">
              <w:rPr>
                <w:rFonts w:ascii="Times New Roman" w:hAnsi="Times New Roman" w:cs="Times New Roman"/>
                <w:sz w:val="24"/>
                <w:szCs w:val="24"/>
              </w:rPr>
              <w:t xml:space="preserve"> (turpmāk</w:t>
            </w:r>
            <w:r w:rsidR="00C92CBE" w:rsidRPr="004E3F4A">
              <w:rPr>
                <w:rFonts w:ascii="Times New Roman" w:hAnsi="Times New Roman" w:cs="Times New Roman"/>
                <w:sz w:val="24"/>
                <w:szCs w:val="24"/>
              </w:rPr>
              <w:t> </w:t>
            </w:r>
            <w:r w:rsidR="008A123C" w:rsidRPr="004E3F4A">
              <w:rPr>
                <w:rFonts w:ascii="Times New Roman" w:hAnsi="Times New Roman" w:cs="Times New Roman"/>
                <w:sz w:val="24"/>
                <w:szCs w:val="24"/>
              </w:rPr>
              <w:t>– Regula Nr.</w:t>
            </w:r>
            <w:r w:rsidR="00C92CBE" w:rsidRPr="004E3F4A">
              <w:rPr>
                <w:rFonts w:ascii="Times New Roman" w:hAnsi="Times New Roman" w:cs="Times New Roman"/>
                <w:sz w:val="24"/>
                <w:szCs w:val="24"/>
              </w:rPr>
              <w:t> </w:t>
            </w:r>
            <w:r w:rsidR="008A123C" w:rsidRPr="004E3F4A">
              <w:rPr>
                <w:rFonts w:ascii="Times New Roman" w:eastAsia="Times New Roman" w:hAnsi="Times New Roman" w:cs="Times New Roman"/>
                <w:sz w:val="24"/>
                <w:szCs w:val="24"/>
                <w:lang w:eastAsia="lv-LV"/>
              </w:rPr>
              <w:t>2022</w:t>
            </w:r>
            <w:r w:rsidR="008A123C" w:rsidRPr="004E3F4A">
              <w:rPr>
                <w:rFonts w:ascii="Times New Roman" w:hAnsi="Times New Roman" w:cs="Times New Roman"/>
                <w:sz w:val="24"/>
                <w:szCs w:val="24"/>
              </w:rPr>
              <w:t>/2581)</w:t>
            </w:r>
            <w:r w:rsidRPr="004E3F4A">
              <w:rPr>
                <w:rFonts w:ascii="Times New Roman" w:hAnsi="Times New Roman" w:cs="Times New Roman"/>
                <w:sz w:val="24"/>
                <w:szCs w:val="24"/>
              </w:rPr>
              <w:t>.</w:t>
            </w:r>
          </w:p>
          <w:p w14:paraId="57F37120" w14:textId="2E73D451" w:rsidR="00554D5F" w:rsidRPr="004E3F4A" w:rsidRDefault="00B82E74" w:rsidP="000C43AB">
            <w:pPr>
              <w:pStyle w:val="NApunkts2"/>
              <w:numPr>
                <w:ilvl w:val="0"/>
                <w:numId w:val="0"/>
              </w:numPr>
              <w:spacing w:after="120"/>
            </w:pPr>
            <w:r w:rsidRPr="004E3F4A">
              <w:t>N</w:t>
            </w:r>
            <w:r w:rsidR="00FE3014" w:rsidRPr="004E3F4A">
              <w:t xml:space="preserve">epastāv alternatīvi līdzekļi, kā </w:t>
            </w:r>
            <w:r w:rsidR="002451FF" w:rsidRPr="004E3F4A">
              <w:t xml:space="preserve">sasniegt </w:t>
            </w:r>
            <w:r w:rsidR="00FE3014" w:rsidRPr="004E3F4A">
              <w:t>to pašu mērķi, jo regulas ir tieši piemērojamas</w:t>
            </w:r>
            <w:r w:rsidR="00B34458" w:rsidRPr="004E3F4A">
              <w:t>, turklāt regulu normas nedrīkst pārrakstīt nacionālajā regulējumā.</w:t>
            </w:r>
            <w:r w:rsidR="00FE3014" w:rsidRPr="004E3F4A">
              <w:t xml:space="preserve"> Projektā ietvertās prasības neradīs negatīvas sekas nedz sabiedrībai, nedz </w:t>
            </w:r>
            <w:r w:rsidR="000D1541" w:rsidRPr="004E3F4A">
              <w:t xml:space="preserve">esošajām </w:t>
            </w:r>
            <w:r w:rsidR="00FE3014" w:rsidRPr="004E3F4A">
              <w:t>kredītiestādēm</w:t>
            </w:r>
            <w:r w:rsidR="000D1541" w:rsidRPr="004E3F4A">
              <w:t>, jo</w:t>
            </w:r>
            <w:r w:rsidR="00FE3014" w:rsidRPr="004E3F4A">
              <w:t xml:space="preserve"> būs piemērojamas tikai tiem tirgus dalībniekiem, k</w:t>
            </w:r>
            <w:r w:rsidR="00801DA2" w:rsidRPr="004E3F4A">
              <w:t>uri</w:t>
            </w:r>
            <w:r w:rsidR="00FE3014" w:rsidRPr="004E3F4A">
              <w:t xml:space="preserve"> vēlēsies saņemt licenci (atļauju) kredītiestādes darbībai Latvijā</w:t>
            </w:r>
            <w:r w:rsidR="00554D5F" w:rsidRPr="004E3F4A">
              <w:t>.</w:t>
            </w:r>
          </w:p>
          <w:p w14:paraId="7E057071" w14:textId="227C2ED1" w:rsidR="00E34677" w:rsidRPr="004E3F4A" w:rsidRDefault="002755AF" w:rsidP="002755AF">
            <w:pPr>
              <w:pStyle w:val="NApunkts2"/>
              <w:numPr>
                <w:ilvl w:val="0"/>
                <w:numId w:val="0"/>
              </w:numPr>
              <w:spacing w:after="120"/>
            </w:pPr>
            <w:r>
              <w:lastRenderedPageBreak/>
              <w:t>2.</w:t>
            </w:r>
            <w:r w:rsidR="00A72A24" w:rsidRPr="004E3F4A">
              <w:t xml:space="preserve">Precizējot spēkā esošās normas </w:t>
            </w:r>
            <w:r w:rsidR="00554D5F" w:rsidRPr="004E3F4A">
              <w:t>par licences (atļaujas) izsniegšan</w:t>
            </w:r>
            <w:r w:rsidR="003D5869" w:rsidRPr="004E3F4A">
              <w:t>u</w:t>
            </w:r>
            <w:r w:rsidR="00554D5F" w:rsidRPr="004E3F4A">
              <w:t xml:space="preserve"> ārvalsts</w:t>
            </w:r>
            <w:r w:rsidR="00F53F44" w:rsidRPr="004E3F4A">
              <w:rPr>
                <w:rStyle w:val="FootnoteReference"/>
              </w:rPr>
              <w:footnoteReference w:id="5"/>
            </w:r>
            <w:r w:rsidR="00554D5F" w:rsidRPr="004E3F4A">
              <w:t xml:space="preserve"> kredītiestādes filiālei</w:t>
            </w:r>
            <w:r w:rsidR="00A72A24" w:rsidRPr="004E3F4A">
              <w:t>, projekts salāgo</w:t>
            </w:r>
            <w:r w:rsidR="003D5869" w:rsidRPr="004E3F4A">
              <w:t xml:space="preserve"> </w:t>
            </w:r>
            <w:r w:rsidR="000D1541" w:rsidRPr="004E3F4A">
              <w:t xml:space="preserve">šīs prasības ar </w:t>
            </w:r>
            <w:r w:rsidR="000E502E" w:rsidRPr="004E3F4A">
              <w:t xml:space="preserve">Regulas Nr. 2022/2580 un Regulas Nr. 2022/2581 </w:t>
            </w:r>
            <w:r w:rsidR="003D5869" w:rsidRPr="004E3F4A">
              <w:t>prasīb</w:t>
            </w:r>
            <w:r w:rsidR="000D1541" w:rsidRPr="004E3F4A">
              <w:t xml:space="preserve">ām </w:t>
            </w:r>
            <w:r w:rsidR="003D5869" w:rsidRPr="004E3F4A">
              <w:t>Latvijā dibinā</w:t>
            </w:r>
            <w:r w:rsidR="00DE1055" w:rsidRPr="004E3F4A">
              <w:t xml:space="preserve">tas kredītiestādes licencēšanai, </w:t>
            </w:r>
            <w:r w:rsidR="000D1541" w:rsidRPr="004E3F4A">
              <w:t xml:space="preserve">lai </w:t>
            </w:r>
            <w:r w:rsidR="00E34677" w:rsidRPr="004E3F4A">
              <w:t>ikvienam potenciālajam kredītiestādes dibinātājam nodrošinātu līdzvērtīgus nosacījumus darbības uzsākšanai Latvijā un tādējādi neradītu vieglāku režīmu ārvalstu kredītiestādēm dibināt filiāles Latvijā.</w:t>
            </w:r>
          </w:p>
          <w:p w14:paraId="5AC7A5D5" w14:textId="51215276" w:rsidR="000C43AB" w:rsidRPr="004E3F4A" w:rsidRDefault="00DE3790" w:rsidP="000C43AB">
            <w:pPr>
              <w:pStyle w:val="NApunkts2"/>
              <w:numPr>
                <w:ilvl w:val="0"/>
                <w:numId w:val="0"/>
              </w:numPr>
              <w:spacing w:after="120"/>
            </w:pPr>
            <w:r w:rsidRPr="004E3F4A">
              <w:t>P</w:t>
            </w:r>
            <w:r w:rsidR="008C7C24" w:rsidRPr="004E3F4A">
              <w:t xml:space="preserve">rojektā </w:t>
            </w:r>
            <w:r w:rsidR="00212325" w:rsidRPr="004E3F4A">
              <w:t>ietvertais regulējums</w:t>
            </w:r>
            <w:r w:rsidR="008C7C24" w:rsidRPr="004E3F4A">
              <w:t xml:space="preserve"> licences (atļaujas) izsniegšanai ārvalsts kredītiestādes filiālei atbilst </w:t>
            </w:r>
            <w:r w:rsidR="00C9237F" w:rsidRPr="004E3F4A">
              <w:t xml:space="preserve">Latvijas </w:t>
            </w:r>
            <w:r w:rsidR="002451FF" w:rsidRPr="004E3F4A">
              <w:t>B</w:t>
            </w:r>
            <w:r w:rsidR="00C9237F" w:rsidRPr="004E3F4A">
              <w:t xml:space="preserve">ankas likumā noteiktajam </w:t>
            </w:r>
            <w:r w:rsidR="00395801" w:rsidRPr="004E3F4A">
              <w:t>uzraudzības</w:t>
            </w:r>
            <w:r w:rsidRPr="004E3F4A">
              <w:t xml:space="preserve"> mērķim</w:t>
            </w:r>
            <w:r w:rsidR="003D1F15" w:rsidRPr="004E3F4A">
              <w:t> </w:t>
            </w:r>
            <w:r w:rsidRPr="004E3F4A">
              <w:t xml:space="preserve">– nodrošināt stabilu finanšu sistēmu Latvijā un tādējādi aizsargāt sabiedrības labklājību. Projektā ietvertās prasības ārvalsts kredītiestādes filiāles atvēršanai Latvijā ir samērīgas, jo tās ir ne tikai nepieciešamas leģitīmā mērķa sasniegšanai, bet arī nepastāv alternatīvi līdzekļi, kā </w:t>
            </w:r>
            <w:r w:rsidR="002451FF" w:rsidRPr="004E3F4A">
              <w:t xml:space="preserve">sasniegt </w:t>
            </w:r>
            <w:r w:rsidRPr="004E3F4A">
              <w:t>to pašu mērķi, jo Regulas Nr. 2022/2580 un Regulas Nr. 2022/2581 normas nav piemērojamas ārvalstu kredītiestāžu filiālēm</w:t>
            </w:r>
            <w:r w:rsidR="006650A1" w:rsidRPr="004E3F4A">
              <w:t>. Eiropas Parlamenta un Padomes 2013. gada 26. jūnija direktīvas 2013/36/ES par piekļuvi kredītiestāžu darbībai un kredītiestāžu prudenciālo uzraudzību, ar ko groza direktīvu 2002/87/EK un atceļ direktīvas 2006/48/EK un 2006/49/EK</w:t>
            </w:r>
            <w:r w:rsidR="002451FF" w:rsidRPr="004E3F4A">
              <w:t>,</w:t>
            </w:r>
            <w:r w:rsidR="006650A1" w:rsidRPr="004E3F4A">
              <w:t xml:space="preserve"> 47.</w:t>
            </w:r>
            <w:r w:rsidR="008343BE" w:rsidRPr="004E3F4A">
              <w:t> </w:t>
            </w:r>
            <w:r w:rsidR="006650A1" w:rsidRPr="004E3F4A">
              <w:t>panta pirmā daļ</w:t>
            </w:r>
            <w:r w:rsidR="003B1A26" w:rsidRPr="004E3F4A">
              <w:t>a</w:t>
            </w:r>
            <w:r w:rsidR="006650A1" w:rsidRPr="004E3F4A">
              <w:t xml:space="preserve"> nosaka, ka t</w:t>
            </w:r>
            <w:r w:rsidR="006650A1" w:rsidRPr="004E3F4A">
              <w:rPr>
                <w:rStyle w:val="ui-provider"/>
              </w:rPr>
              <w:t xml:space="preserve">ādu kredītiestāžu filiālēm, kuru galvenais birojs ir trešā valstī, sākot vai turpinot darbību, dalībvalstis nepiemēro noteikumus, kas rada labvēlīgāku režīmu par to, kādu piemēro to kredītiestāžu filiālēm, kuru galvenais birojs ir </w:t>
            </w:r>
            <w:r w:rsidR="00582F70" w:rsidRPr="004E3F4A">
              <w:rPr>
                <w:rStyle w:val="ui-provider"/>
              </w:rPr>
              <w:t xml:space="preserve">Eiropas </w:t>
            </w:r>
            <w:r w:rsidR="006650A1" w:rsidRPr="004E3F4A">
              <w:rPr>
                <w:rStyle w:val="ui-provider"/>
              </w:rPr>
              <w:t>Savienībā</w:t>
            </w:r>
            <w:r w:rsidR="00774A60" w:rsidRPr="004E3F4A">
              <w:t>.</w:t>
            </w:r>
            <w:r w:rsidR="007D2C5E" w:rsidRPr="004E3F4A" w:rsidDel="007D2C5E">
              <w:rPr>
                <w:rStyle w:val="FootnoteReference"/>
              </w:rPr>
              <w:t xml:space="preserve"> </w:t>
            </w:r>
            <w:r w:rsidR="006D348E" w:rsidRPr="004E3F4A">
              <w:t xml:space="preserve">Turklāt </w:t>
            </w:r>
            <w:r w:rsidR="002451FF" w:rsidRPr="004E3F4A">
              <w:t>jā</w:t>
            </w:r>
            <w:r w:rsidR="006D348E" w:rsidRPr="004E3F4A">
              <w:t xml:space="preserve">ņem vērā, ka ārvalsts kredītiestādes filiāle ir ārvalsts kredītiestādes struktūrvienība, uz kuru juridiski nav iespējams attiecināt tādas pašas prasības kā uz Latvijā reģistrētu kredītiestādi. </w:t>
            </w:r>
            <w:r w:rsidRPr="004E3F4A">
              <w:t>Tādēļ līdzvērtīgas prasības ārvalstu kredītiestāžu filiālēm būtu jānosaka nacionālajā līmenī, lai nodrošinātu līdzvērtīgas iespējas ikvienam potenciālajam Latvijas tirgus dalībniekam.</w:t>
            </w:r>
            <w:r w:rsidR="006D348E" w:rsidRPr="004E3F4A">
              <w:t xml:space="preserve"> </w:t>
            </w:r>
            <w:r w:rsidRPr="004E3F4A">
              <w:t>Līdz ar to labums, ko iegūs sabiedrība, būs lielāks par projektā ietverto prasību radītajām negatīvajām sekām</w:t>
            </w:r>
            <w:r w:rsidR="003D3640" w:rsidRPr="004E3F4A">
              <w:t>.</w:t>
            </w:r>
          </w:p>
          <w:p w14:paraId="085504D6" w14:textId="40616567" w:rsidR="000D18BD" w:rsidRPr="004E3F4A" w:rsidRDefault="002755AF" w:rsidP="002755AF">
            <w:pPr>
              <w:pStyle w:val="NApunkts2"/>
              <w:numPr>
                <w:ilvl w:val="0"/>
                <w:numId w:val="0"/>
              </w:numPr>
              <w:spacing w:after="120"/>
            </w:pPr>
            <w:r>
              <w:lastRenderedPageBreak/>
              <w:t>3.</w:t>
            </w:r>
            <w:r w:rsidR="00C43333" w:rsidRPr="004E3F4A">
              <w:t>P</w:t>
            </w:r>
            <w:r w:rsidR="00EC3923" w:rsidRPr="004E3F4A">
              <w:t xml:space="preserve">rojekts papildināts ar normu, kas paredz, ka kredītiestādēm, vēloties sniegt finanšu pakalpojumus dalībvalstīs </w:t>
            </w:r>
            <w:r w:rsidR="001E3429" w:rsidRPr="004E3F4A">
              <w:t xml:space="preserve">bez filiāles </w:t>
            </w:r>
            <w:r w:rsidR="00EC3923" w:rsidRPr="004E3F4A">
              <w:t>atv</w:t>
            </w:r>
            <w:r w:rsidR="001E3429" w:rsidRPr="004E3F4A">
              <w:t>ēršanas,</w:t>
            </w:r>
            <w:r w:rsidR="00EC3923" w:rsidRPr="004E3F4A">
              <w:t xml:space="preserve"> ir jāsniedz Latvijas Bankai papildu informācija par plānoto darbību attiecīgajā dalībvalstī. Minētais ir jauns pienākums no normatīvā regulējuma skatpunkta</w:t>
            </w:r>
            <w:r w:rsidR="00EC3923" w:rsidRPr="004E3F4A">
              <w:rPr>
                <w:color w:val="000000" w:themeColor="text1"/>
              </w:rPr>
              <w:t>, taču uzraudzības praksē normā paredzētā informācija pēc iesnieguma saņemšanas kredītiestādei jebkurā gadījum</w:t>
            </w:r>
            <w:r w:rsidR="00E079C0" w:rsidRPr="004E3F4A">
              <w:rPr>
                <w:color w:val="000000" w:themeColor="text1"/>
              </w:rPr>
              <w:t>ā</w:t>
            </w:r>
            <w:r w:rsidR="00EC3923" w:rsidRPr="004E3F4A">
              <w:rPr>
                <w:color w:val="000000" w:themeColor="text1"/>
              </w:rPr>
              <w:t xml:space="preserve"> tiek pieprasīta</w:t>
            </w:r>
            <w:r w:rsidR="002E7B20" w:rsidRPr="004E3F4A">
              <w:rPr>
                <w:color w:val="000000" w:themeColor="text1"/>
              </w:rPr>
              <w:t>, lai nodrošinātu Kredītiestā</w:t>
            </w:r>
            <w:r w:rsidR="00582F70" w:rsidRPr="004E3F4A">
              <w:rPr>
                <w:color w:val="000000" w:themeColor="text1"/>
              </w:rPr>
              <w:t>žu</w:t>
            </w:r>
            <w:r w:rsidR="002E7B20" w:rsidRPr="004E3F4A">
              <w:rPr>
                <w:color w:val="000000" w:themeColor="text1"/>
              </w:rPr>
              <w:t xml:space="preserve"> likuma </w:t>
            </w:r>
            <w:r w:rsidR="00FB585A" w:rsidRPr="004E3F4A">
              <w:rPr>
                <w:color w:val="000000" w:themeColor="text1"/>
                <w:shd w:val="clear" w:color="auto" w:fill="FFFFFF"/>
              </w:rPr>
              <w:t>99.</w:t>
            </w:r>
            <w:r w:rsidR="00FB585A" w:rsidRPr="004E3F4A">
              <w:rPr>
                <w:color w:val="000000" w:themeColor="text1"/>
                <w:shd w:val="clear" w:color="auto" w:fill="FFFFFF"/>
                <w:vertAlign w:val="superscript"/>
              </w:rPr>
              <w:t>1</w:t>
            </w:r>
            <w:r w:rsidR="00FB585A" w:rsidRPr="004E3F4A">
              <w:rPr>
                <w:color w:val="000000" w:themeColor="text1"/>
                <w:shd w:val="clear" w:color="auto" w:fill="FFFFFF"/>
              </w:rPr>
              <w:t> panta pirmajā daļā noteikto</w:t>
            </w:r>
            <w:r w:rsidR="003B1A26" w:rsidRPr="004E3F4A">
              <w:rPr>
                <w:color w:val="000000" w:themeColor="text1"/>
                <w:shd w:val="clear" w:color="auto" w:fill="FFFFFF"/>
              </w:rPr>
              <w:t> –</w:t>
            </w:r>
            <w:r w:rsidR="00FB585A" w:rsidRPr="004E3F4A">
              <w:rPr>
                <w:color w:val="000000" w:themeColor="text1"/>
                <w:shd w:val="clear" w:color="auto" w:fill="FFFFFF"/>
              </w:rPr>
              <w:t xml:space="preserve"> panākt Latvijas kredītiestāžu sektora drošību, stabilitāti un attīstību</w:t>
            </w:r>
            <w:r w:rsidR="001E3429" w:rsidRPr="004E3F4A">
              <w:rPr>
                <w:color w:val="000000" w:themeColor="text1"/>
                <w:shd w:val="clear" w:color="auto" w:fill="FFFFFF"/>
              </w:rPr>
              <w:t xml:space="preserve"> –</w:t>
            </w:r>
            <w:r w:rsidR="007F033F" w:rsidRPr="004E3F4A">
              <w:rPr>
                <w:color w:val="000000" w:themeColor="text1"/>
                <w:shd w:val="clear" w:color="auto" w:fill="FFFFFF"/>
              </w:rPr>
              <w:t xml:space="preserve">, kā arī </w:t>
            </w:r>
            <w:r w:rsidR="00FB585A" w:rsidRPr="004E3F4A">
              <w:rPr>
                <w:color w:val="000000" w:themeColor="text1"/>
                <w:shd w:val="clear" w:color="auto" w:fill="FFFFFF"/>
              </w:rPr>
              <w:t>Latvijas Banka uzraudzības procesā pirms lēmumu pieņemšanas, ievērojot tās rīcībā esošo informāciju, izvērtē attiecīgo lēmumu iespējamo ietekmi uz citas dalībvalsts finanšu sistēmas stabilitāti.</w:t>
            </w:r>
            <w:r w:rsidR="00FB585A" w:rsidRPr="004E3F4A">
              <w:rPr>
                <w:color w:val="000000" w:themeColor="text1"/>
              </w:rPr>
              <w:t xml:space="preserve"> </w:t>
            </w:r>
            <w:r w:rsidR="00EC3923" w:rsidRPr="004E3F4A">
              <w:rPr>
                <w:color w:val="000000" w:themeColor="text1"/>
              </w:rPr>
              <w:t>Minētais tiek darīts ar mērķi izprast kredītiestādes plānoto darbību</w:t>
            </w:r>
            <w:r w:rsidR="001E3429" w:rsidRPr="004E3F4A">
              <w:rPr>
                <w:color w:val="000000" w:themeColor="text1"/>
              </w:rPr>
              <w:t xml:space="preserve"> un</w:t>
            </w:r>
            <w:r w:rsidR="00EC3923" w:rsidRPr="004E3F4A">
              <w:rPr>
                <w:color w:val="000000" w:themeColor="text1"/>
              </w:rPr>
              <w:t xml:space="preserve"> atbilstību </w:t>
            </w:r>
            <w:r w:rsidR="009740E3" w:rsidRPr="004E3F4A">
              <w:rPr>
                <w:color w:val="000000" w:themeColor="text1"/>
              </w:rPr>
              <w:t xml:space="preserve">kredītiestādes </w:t>
            </w:r>
            <w:r w:rsidR="00EC3923" w:rsidRPr="004E3F4A">
              <w:rPr>
                <w:color w:val="000000" w:themeColor="text1"/>
              </w:rPr>
              <w:t>stratēģijai</w:t>
            </w:r>
            <w:r w:rsidR="009740E3" w:rsidRPr="004E3F4A">
              <w:rPr>
                <w:color w:val="000000" w:themeColor="text1"/>
              </w:rPr>
              <w:t xml:space="preserve"> un </w:t>
            </w:r>
            <w:r w:rsidR="00EC3923" w:rsidRPr="004E3F4A">
              <w:rPr>
                <w:color w:val="000000" w:themeColor="text1"/>
              </w:rPr>
              <w:t>risku līmenim. Izvērtējot šos aspektus</w:t>
            </w:r>
            <w:r w:rsidR="009740E3" w:rsidRPr="004E3F4A">
              <w:rPr>
                <w:color w:val="000000" w:themeColor="text1"/>
              </w:rPr>
              <w:t>,</w:t>
            </w:r>
            <w:r w:rsidR="00EC3923" w:rsidRPr="004E3F4A">
              <w:rPr>
                <w:color w:val="000000" w:themeColor="text1"/>
              </w:rPr>
              <w:t xml:space="preserve"> uzraugs secina, vai plānotā pārrobežu darbība neradīs </w:t>
            </w:r>
            <w:r w:rsidR="00EC3923" w:rsidRPr="004E3F4A">
              <w:t xml:space="preserve">risku kredītiestādei, kā arī reputācijas risku Latvijas valstij, atļaujot kredītiestādei strādāt pārrobežu režīmā. </w:t>
            </w:r>
            <w:r w:rsidR="00E079C0" w:rsidRPr="004E3F4A">
              <w:t xml:space="preserve">Līdz ar to </w:t>
            </w:r>
            <w:r w:rsidR="00EC3923" w:rsidRPr="004E3F4A">
              <w:t>projektā ietvertā norma ir samērīga ar kredītiestādei uzlikto slogu, jo pēc būtības</w:t>
            </w:r>
            <w:r w:rsidR="009E7470" w:rsidRPr="004E3F4A">
              <w:t xml:space="preserve"> </w:t>
            </w:r>
            <w:r w:rsidR="001E3429" w:rsidRPr="004E3F4A">
              <w:t xml:space="preserve">kredītiestādes vadībai šai </w:t>
            </w:r>
            <w:r w:rsidR="00EC3923" w:rsidRPr="004E3F4A">
              <w:t>pieprasāmajai informācijai ir jābūt skaidrai</w:t>
            </w:r>
            <w:r w:rsidR="001E3429" w:rsidRPr="004E3F4A">
              <w:t>,</w:t>
            </w:r>
            <w:r w:rsidR="00EC3923" w:rsidRPr="004E3F4A">
              <w:t xml:space="preserve"> pirms tā uzsāk pakalpojumu sniegšanu citā dalībvalstī.</w:t>
            </w:r>
          </w:p>
          <w:p w14:paraId="4BACE2F0" w14:textId="6ACA5788" w:rsidR="00630855" w:rsidRPr="004E3F4A" w:rsidRDefault="002755AF" w:rsidP="002755AF">
            <w:pPr>
              <w:pStyle w:val="NApunkts2"/>
              <w:numPr>
                <w:ilvl w:val="0"/>
                <w:numId w:val="0"/>
              </w:numPr>
            </w:pPr>
            <w:r>
              <w:t>4.</w:t>
            </w:r>
            <w:r w:rsidR="00822A04" w:rsidRPr="004E3F4A">
              <w:t>Lai kredītiestāde varētu saņemt atļauju</w:t>
            </w:r>
            <w:r w:rsidR="009740E3" w:rsidRPr="004E3F4A">
              <w:t xml:space="preserve"> </w:t>
            </w:r>
            <w:r w:rsidR="001E3429" w:rsidRPr="004E3F4A">
              <w:t xml:space="preserve">veikt </w:t>
            </w:r>
            <w:r w:rsidR="009740E3" w:rsidRPr="004E3F4A">
              <w:t>reorganizācij</w:t>
            </w:r>
            <w:r w:rsidR="001E3429" w:rsidRPr="004E3F4A">
              <w:t>u</w:t>
            </w:r>
            <w:r w:rsidR="00822A04" w:rsidRPr="004E3F4A">
              <w:t xml:space="preserve"> atbilstoši Kredītiestāžu likuma 57.</w:t>
            </w:r>
            <w:r w:rsidR="00D44A41" w:rsidRPr="004E3F4A">
              <w:t> </w:t>
            </w:r>
            <w:r w:rsidR="00822A04" w:rsidRPr="004E3F4A">
              <w:t>panta pirmajai daļai, tai jāiesniedz</w:t>
            </w:r>
            <w:r w:rsidR="00630855" w:rsidRPr="004E3F4A">
              <w:t xml:space="preserve"> Latvijas Bankā</w:t>
            </w:r>
            <w:r w:rsidR="00822A04" w:rsidRPr="004E3F4A">
              <w:t xml:space="preserve"> informācija par</w:t>
            </w:r>
            <w:r w:rsidR="00630855" w:rsidRPr="004E3F4A">
              <w:t>:</w:t>
            </w:r>
          </w:p>
          <w:p w14:paraId="66BCC9D7" w14:textId="7ECD1BF7" w:rsidR="00630855" w:rsidRPr="004E3F4A" w:rsidRDefault="00822A04" w:rsidP="004245FD">
            <w:pPr>
              <w:pStyle w:val="NApunkts2"/>
              <w:numPr>
                <w:ilvl w:val="0"/>
                <w:numId w:val="4"/>
              </w:numPr>
              <w:tabs>
                <w:tab w:val="left" w:pos="269"/>
              </w:tabs>
              <w:ind w:left="0" w:firstLine="0"/>
            </w:pPr>
            <w:r w:rsidRPr="004E3F4A">
              <w:t>reorganizācijas iemesliem,</w:t>
            </w:r>
          </w:p>
          <w:p w14:paraId="7474E818" w14:textId="1FAAB7C4" w:rsidR="00630855" w:rsidRPr="004E3F4A" w:rsidRDefault="00102FD5" w:rsidP="004245FD">
            <w:pPr>
              <w:pStyle w:val="NApunkts2"/>
              <w:numPr>
                <w:ilvl w:val="0"/>
                <w:numId w:val="4"/>
              </w:numPr>
              <w:tabs>
                <w:tab w:val="left" w:pos="269"/>
              </w:tabs>
              <w:ind w:left="0" w:firstLine="0"/>
            </w:pPr>
            <w:r w:rsidRPr="004E3F4A">
              <w:t>valstīm</w:t>
            </w:r>
            <w:r w:rsidR="00822A04" w:rsidRPr="004E3F4A">
              <w:t>, kurās kredītiestādei ir kreditori,</w:t>
            </w:r>
          </w:p>
          <w:p w14:paraId="430FF5D5" w14:textId="5CE07981" w:rsidR="00630855" w:rsidRPr="004E3F4A" w:rsidRDefault="00822A04" w:rsidP="004245FD">
            <w:pPr>
              <w:pStyle w:val="NApunkts2"/>
              <w:numPr>
                <w:ilvl w:val="0"/>
                <w:numId w:val="4"/>
              </w:numPr>
              <w:tabs>
                <w:tab w:val="left" w:pos="269"/>
              </w:tabs>
              <w:ind w:left="0" w:firstLine="0"/>
            </w:pPr>
            <w:r w:rsidRPr="004E3F4A">
              <w:t>plānot</w:t>
            </w:r>
            <w:r w:rsidR="001E3429" w:rsidRPr="004E3F4A">
              <w:t>o</w:t>
            </w:r>
            <w:r w:rsidRPr="004E3F4A">
              <w:t xml:space="preserve"> darbīb</w:t>
            </w:r>
            <w:r w:rsidR="001E3429" w:rsidRPr="004E3F4A">
              <w:t>u</w:t>
            </w:r>
            <w:r w:rsidRPr="004E3F4A">
              <w:t xml:space="preserve"> turpinošo kredītiestāžu bilanc</w:t>
            </w:r>
            <w:r w:rsidR="002E77A9" w:rsidRPr="004E3F4A">
              <w:t>i</w:t>
            </w:r>
            <w:r w:rsidRPr="004E3F4A">
              <w:t>,</w:t>
            </w:r>
          </w:p>
          <w:p w14:paraId="7EB330F2" w14:textId="5DBC47BC" w:rsidR="00E51F71" w:rsidRPr="004E3F4A" w:rsidRDefault="00822A04" w:rsidP="004245FD">
            <w:pPr>
              <w:pStyle w:val="NApunkts2"/>
              <w:numPr>
                <w:ilvl w:val="0"/>
                <w:numId w:val="4"/>
              </w:numPr>
              <w:tabs>
                <w:tab w:val="left" w:pos="269"/>
              </w:tabs>
              <w:spacing w:after="240"/>
              <w:ind w:left="0" w:firstLine="0"/>
            </w:pPr>
            <w:r w:rsidRPr="004E3F4A">
              <w:t>plānoto pašu kapitālu un plānotajiem kapitāla pietiekamības rādītājiem pēc reorganizācijas pabeigšanas.</w:t>
            </w:r>
          </w:p>
          <w:p w14:paraId="158C01AE" w14:textId="2A15387E" w:rsidR="00EC3923" w:rsidRPr="004E3F4A" w:rsidRDefault="00822A04" w:rsidP="000C43AB">
            <w:pPr>
              <w:pStyle w:val="NApunkts2"/>
              <w:numPr>
                <w:ilvl w:val="0"/>
                <w:numId w:val="0"/>
              </w:numPr>
              <w:spacing w:after="120"/>
            </w:pPr>
            <w:r w:rsidRPr="004E3F4A">
              <w:t>Minētā prasība</w:t>
            </w:r>
            <w:r w:rsidR="00BE63B7" w:rsidRPr="004E3F4A">
              <w:t xml:space="preserve"> nodrošinās uzraugam iespēju secināt, vai reorganizācija</w:t>
            </w:r>
            <w:r w:rsidRPr="004E3F4A">
              <w:t xml:space="preserve"> </w:t>
            </w:r>
            <w:r w:rsidR="00BE63B7" w:rsidRPr="004E3F4A">
              <w:t>neapdraud kredītiestādes finanšu stabilitāti un maksātspēju, kā arī negatīvi neietekmē ne kredīt</w:t>
            </w:r>
            <w:r w:rsidR="009E7470" w:rsidRPr="004E3F4A">
              <w:t>i</w:t>
            </w:r>
            <w:r w:rsidR="00BE63B7" w:rsidRPr="004E3F4A">
              <w:t>estādes, ne ieguldītāju un noguldītāju kolektīvo interešu aizsardzību, ne arī klientu individuālo interešu aizsardzību (t.</w:t>
            </w:r>
            <w:r w:rsidR="001E3429" w:rsidRPr="004E3F4A">
              <w:t> </w:t>
            </w:r>
            <w:r w:rsidR="00BE63B7" w:rsidRPr="004E3F4A">
              <w:t>i., tiek saglabātas tiesības un pienākumi, kas izriet no līgumiem, k</w:t>
            </w:r>
            <w:r w:rsidR="001E3429" w:rsidRPr="004E3F4A">
              <w:t>uri</w:t>
            </w:r>
            <w:r w:rsidR="00BE63B7" w:rsidRPr="004E3F4A">
              <w:t xml:space="preserve"> noslēgti ar </w:t>
            </w:r>
            <w:r w:rsidR="009E7470" w:rsidRPr="004E3F4A">
              <w:t>kredītiestādi</w:t>
            </w:r>
            <w:r w:rsidR="00BE63B7" w:rsidRPr="004E3F4A">
              <w:t xml:space="preserve">), kā arī tiek nodrošināta finanšu sistēmas stabilitāte kopumā. </w:t>
            </w:r>
            <w:r w:rsidR="00E079C0" w:rsidRPr="004E3F4A">
              <w:t xml:space="preserve">Līdz ar to </w:t>
            </w:r>
            <w:r w:rsidR="00386CDB" w:rsidRPr="004E3F4A">
              <w:t>pieprasāmās informācijas apjoms ir samērīgs ar sabiedrības interesēm</w:t>
            </w:r>
            <w:r w:rsidR="00BE63B7" w:rsidRPr="004E3F4A">
              <w:t>.</w:t>
            </w:r>
          </w:p>
          <w:p w14:paraId="79653339" w14:textId="2B6824E2" w:rsidR="00BE63B7" w:rsidRPr="004E3F4A" w:rsidRDefault="002755AF" w:rsidP="002755AF">
            <w:pPr>
              <w:pStyle w:val="NApunkts2"/>
              <w:numPr>
                <w:ilvl w:val="0"/>
                <w:numId w:val="0"/>
              </w:numPr>
              <w:spacing w:after="120"/>
              <w:rPr>
                <w:rStyle w:val="cf01"/>
                <w:rFonts w:ascii="Times New Roman" w:hAnsi="Times New Roman" w:cs="Times New Roman"/>
                <w:sz w:val="24"/>
                <w:szCs w:val="24"/>
              </w:rPr>
            </w:pPr>
            <w:r>
              <w:lastRenderedPageBreak/>
              <w:t>5.</w:t>
            </w:r>
            <w:r w:rsidR="00BE63B7" w:rsidRPr="004E3F4A">
              <w:t>Kredītiestādei, paziņojot par nodomu izmaksāt ārkārtas dividendes, ir jāie</w:t>
            </w:r>
            <w:r w:rsidR="009E7470" w:rsidRPr="004E3F4A">
              <w:t>s</w:t>
            </w:r>
            <w:r w:rsidR="00BE63B7" w:rsidRPr="004E3F4A">
              <w:t>niedz Latvijas Bank</w:t>
            </w:r>
            <w:r w:rsidR="00EA7F4A" w:rsidRPr="004E3F4A">
              <w:t>ai</w:t>
            </w:r>
            <w:r w:rsidR="00BE63B7" w:rsidRPr="004E3F4A">
              <w:t xml:space="preserve"> starpperiodu finanšu pārskat</w:t>
            </w:r>
            <w:r w:rsidR="00CB6CBE" w:rsidRPr="004E3F4A">
              <w:t>i</w:t>
            </w:r>
            <w:r w:rsidR="00BE63B7" w:rsidRPr="004E3F4A">
              <w:t xml:space="preserve"> par periodu, par kuru tiek noteiktas ārkārtas dividendes, kopā ar zvērināta revidenta ziņojumu par kredītiestādes starpperiodu finanšu pārskatiem, ja no pārskata gada sākuma līdz ārkārtas dividenžu noteikšanas datumam ir pagājuši seši mēneši vai vairāk. </w:t>
            </w:r>
            <w:r w:rsidR="00BE63B7" w:rsidRPr="004E3F4A">
              <w:rPr>
                <w:rStyle w:val="cf01"/>
                <w:rFonts w:ascii="Times New Roman" w:hAnsi="Times New Roman" w:cs="Times New Roman"/>
                <w:sz w:val="24"/>
                <w:szCs w:val="24"/>
              </w:rPr>
              <w:t xml:space="preserve">Gada laikā </w:t>
            </w:r>
            <w:r w:rsidR="001E3429" w:rsidRPr="004E3F4A">
              <w:rPr>
                <w:rStyle w:val="cf01"/>
                <w:rFonts w:ascii="Times New Roman" w:hAnsi="Times New Roman" w:cs="Times New Roman"/>
                <w:sz w:val="24"/>
                <w:szCs w:val="24"/>
              </w:rPr>
              <w:t xml:space="preserve">kredītiestādes </w:t>
            </w:r>
            <w:r w:rsidR="00EA52D1" w:rsidRPr="004E3F4A">
              <w:rPr>
                <w:rStyle w:val="cf01"/>
                <w:rFonts w:ascii="Times New Roman" w:hAnsi="Times New Roman" w:cs="Times New Roman"/>
                <w:sz w:val="24"/>
                <w:szCs w:val="24"/>
              </w:rPr>
              <w:t xml:space="preserve">finansiālā </w:t>
            </w:r>
            <w:r w:rsidR="00BE63B7" w:rsidRPr="004E3F4A">
              <w:rPr>
                <w:rStyle w:val="cf01"/>
                <w:rFonts w:ascii="Times New Roman" w:hAnsi="Times New Roman" w:cs="Times New Roman"/>
                <w:sz w:val="24"/>
                <w:szCs w:val="24"/>
              </w:rPr>
              <w:t>situācija var būtiski mainīties, tādēļ gada laikā, lai izvērtētu un sniegtu atļauju izmaksāt starpperiodu dividendes, uzraugam nepieciešam</w:t>
            </w:r>
            <w:r w:rsidR="00CB6CBE" w:rsidRPr="004E3F4A">
              <w:rPr>
                <w:rStyle w:val="cf01"/>
                <w:rFonts w:ascii="Times New Roman" w:hAnsi="Times New Roman" w:cs="Times New Roman"/>
                <w:sz w:val="24"/>
                <w:szCs w:val="24"/>
              </w:rPr>
              <w:t>s</w:t>
            </w:r>
            <w:r w:rsidR="00BE63B7" w:rsidRPr="004E3F4A">
              <w:rPr>
                <w:rStyle w:val="cf01"/>
                <w:rFonts w:ascii="Times New Roman" w:hAnsi="Times New Roman" w:cs="Times New Roman"/>
                <w:sz w:val="24"/>
                <w:szCs w:val="24"/>
              </w:rPr>
              <w:t xml:space="preserve"> neatkarīgas trešās personas (revidenta) viedoklis par finansiālo situāciju. Pirmajā pusgadā pēc revidētā gada pārskata datu pieejamības būtu pamatoti paļauties uz revidētā gada pārskata datiem, bet otrajā pusgadā uzraugam, pieņemot lēmumu par starpperiod</w:t>
            </w:r>
            <w:r w:rsidR="001E3429" w:rsidRPr="004E3F4A">
              <w:rPr>
                <w:rStyle w:val="cf01"/>
                <w:rFonts w:ascii="Times New Roman" w:hAnsi="Times New Roman" w:cs="Times New Roman"/>
                <w:sz w:val="24"/>
                <w:szCs w:val="24"/>
              </w:rPr>
              <w:t>u</w:t>
            </w:r>
            <w:r w:rsidR="00BE63B7" w:rsidRPr="004E3F4A">
              <w:rPr>
                <w:rStyle w:val="cf01"/>
                <w:rFonts w:ascii="Times New Roman" w:hAnsi="Times New Roman" w:cs="Times New Roman"/>
                <w:sz w:val="24"/>
                <w:szCs w:val="24"/>
              </w:rPr>
              <w:t xml:space="preserve"> dividenžu izmaksu, paļauties tikai uz </w:t>
            </w:r>
            <w:r w:rsidR="001E3429" w:rsidRPr="004E3F4A">
              <w:rPr>
                <w:rStyle w:val="cf01"/>
                <w:rFonts w:ascii="Times New Roman" w:hAnsi="Times New Roman" w:cs="Times New Roman"/>
                <w:sz w:val="24"/>
                <w:szCs w:val="24"/>
              </w:rPr>
              <w:t xml:space="preserve">kredītiestādes </w:t>
            </w:r>
            <w:r w:rsidR="00BE63B7" w:rsidRPr="004E3F4A">
              <w:rPr>
                <w:rStyle w:val="cf01"/>
                <w:rFonts w:ascii="Times New Roman" w:hAnsi="Times New Roman" w:cs="Times New Roman"/>
                <w:sz w:val="24"/>
                <w:szCs w:val="24"/>
              </w:rPr>
              <w:t xml:space="preserve">sniegto informāciju, kuru nav pārbaudījis revidents, būtu riskanti. </w:t>
            </w:r>
            <w:r w:rsidR="001E3429" w:rsidRPr="004E3F4A">
              <w:rPr>
                <w:rStyle w:val="cf01"/>
                <w:rFonts w:ascii="Times New Roman" w:hAnsi="Times New Roman" w:cs="Times New Roman"/>
                <w:sz w:val="24"/>
                <w:szCs w:val="24"/>
              </w:rPr>
              <w:t xml:space="preserve">Līdz ar to </w:t>
            </w:r>
            <w:r w:rsidR="00BE63B7" w:rsidRPr="004E3F4A">
              <w:rPr>
                <w:rStyle w:val="cf01"/>
                <w:rFonts w:ascii="Times New Roman" w:hAnsi="Times New Roman" w:cs="Times New Roman"/>
                <w:sz w:val="24"/>
                <w:szCs w:val="24"/>
              </w:rPr>
              <w:t>šāda pārskata ar revidenta atzinumu pieprasīšan</w:t>
            </w:r>
            <w:r w:rsidR="00CB6CBE" w:rsidRPr="004E3F4A">
              <w:rPr>
                <w:rStyle w:val="cf01"/>
                <w:rFonts w:ascii="Times New Roman" w:hAnsi="Times New Roman" w:cs="Times New Roman"/>
                <w:sz w:val="24"/>
                <w:szCs w:val="24"/>
              </w:rPr>
              <w:t>a</w:t>
            </w:r>
            <w:r w:rsidR="00BE63B7" w:rsidRPr="004E3F4A">
              <w:rPr>
                <w:rStyle w:val="cf01"/>
                <w:rFonts w:ascii="Times New Roman" w:hAnsi="Times New Roman" w:cs="Times New Roman"/>
                <w:sz w:val="24"/>
                <w:szCs w:val="24"/>
              </w:rPr>
              <w:t xml:space="preserve"> ir samērīga, jo ļaus uzraugam pieņemt izsvērtu lēmumu par atļauju izmaksāt ārkārtas dividendes, kas savukārt nodrošinā</w:t>
            </w:r>
            <w:r w:rsidR="001E3429" w:rsidRPr="004E3F4A">
              <w:rPr>
                <w:rStyle w:val="cf01"/>
                <w:rFonts w:ascii="Times New Roman" w:hAnsi="Times New Roman" w:cs="Times New Roman"/>
                <w:sz w:val="24"/>
                <w:szCs w:val="24"/>
              </w:rPr>
              <w:t>s</w:t>
            </w:r>
            <w:r w:rsidR="00BE63B7" w:rsidRPr="004E3F4A">
              <w:rPr>
                <w:rStyle w:val="cf01"/>
                <w:rFonts w:ascii="Times New Roman" w:hAnsi="Times New Roman" w:cs="Times New Roman"/>
                <w:sz w:val="24"/>
                <w:szCs w:val="24"/>
              </w:rPr>
              <w:t>, ka turpmākā kredītiestādes darbība ir finansiāli stabila un tādējādi arī netiks negatīvi ietekmēts finanšu tirgus un sabiedrība.</w:t>
            </w:r>
          </w:p>
          <w:p w14:paraId="1F217528" w14:textId="50033E39" w:rsidR="00EF62A7" w:rsidRPr="004E3F4A" w:rsidRDefault="002755AF" w:rsidP="002755AF">
            <w:pPr>
              <w:pStyle w:val="NApunkts2"/>
              <w:numPr>
                <w:ilvl w:val="0"/>
                <w:numId w:val="0"/>
              </w:numPr>
              <w:spacing w:after="120"/>
            </w:pPr>
            <w:r>
              <w:t>6.</w:t>
            </w:r>
            <w:r w:rsidR="00EE5441" w:rsidRPr="004E3F4A">
              <w:t xml:space="preserve">Lai Latvijas Banka varētu nodrošināt Kredītiestāžu likuma </w:t>
            </w:r>
            <w:r w:rsidR="00EE5441" w:rsidRPr="004E3F4A">
              <w:rPr>
                <w:shd w:val="clear" w:color="auto" w:fill="FFFFFF"/>
              </w:rPr>
              <w:t>101.</w:t>
            </w:r>
            <w:r w:rsidR="00EE5441" w:rsidRPr="004E3F4A">
              <w:rPr>
                <w:shd w:val="clear" w:color="auto" w:fill="FFFFFF"/>
                <w:vertAlign w:val="superscript"/>
              </w:rPr>
              <w:t>1</w:t>
            </w:r>
            <w:r w:rsidR="00EE5441" w:rsidRPr="004E3F4A">
              <w:rPr>
                <w:shd w:val="clear" w:color="auto" w:fill="FFFFFF"/>
              </w:rPr>
              <w:t> pant</w:t>
            </w:r>
            <w:r w:rsidR="00EA52D1" w:rsidRPr="004E3F4A">
              <w:rPr>
                <w:shd w:val="clear" w:color="auto" w:fill="FFFFFF"/>
              </w:rPr>
              <w:t>a prasības</w:t>
            </w:r>
            <w:r w:rsidR="00EE5441" w:rsidRPr="004E3F4A">
              <w:rPr>
                <w:shd w:val="clear" w:color="auto" w:fill="FFFFFF"/>
              </w:rPr>
              <w:t>,</w:t>
            </w:r>
            <w:r w:rsidR="00AA220B" w:rsidRPr="004E3F4A">
              <w:rPr>
                <w:shd w:val="clear" w:color="auto" w:fill="FFFFFF"/>
              </w:rPr>
              <w:t xml:space="preserve"> kā arī </w:t>
            </w:r>
            <w:r w:rsidR="00F11CFF" w:rsidRPr="004E3F4A">
              <w:t>Eiropas Parlamenta un Padomes 2013. gada 26. jūnija direktīvas 2013/36/ES par piekļuvi kredītiestāžu darbībai un kredītiestāžu prudenciālo uzraudzību, ar ko groza direktīvu 2002/87/EK un atceļ direktīvas 2006/48/EK un 2006/49/EK,</w:t>
            </w:r>
            <w:r w:rsidR="00AA220B" w:rsidRPr="004E3F4A">
              <w:t xml:space="preserve"> 14.</w:t>
            </w:r>
            <w:r w:rsidR="003B1A26" w:rsidRPr="004E3F4A">
              <w:t> </w:t>
            </w:r>
            <w:r w:rsidR="00AA220B" w:rsidRPr="004E3F4A">
              <w:t>panta 3.</w:t>
            </w:r>
            <w:r w:rsidR="003B1A26" w:rsidRPr="004E3F4A">
              <w:t> </w:t>
            </w:r>
            <w:r w:rsidR="00AA220B" w:rsidRPr="004E3F4A">
              <w:t>punkta prasīb</w:t>
            </w:r>
            <w:r w:rsidR="001E3429" w:rsidRPr="004E3F4A">
              <w:t>as</w:t>
            </w:r>
            <w:r w:rsidR="00AA220B" w:rsidRPr="004E3F4A">
              <w:t xml:space="preserve"> </w:t>
            </w:r>
            <w:r w:rsidR="00AA220B" w:rsidRPr="002755AF">
              <w:rPr>
                <w:shd w:val="clear" w:color="auto" w:fill="FFFFFF"/>
              </w:rPr>
              <w:t>par efektīvas uzraudzības īstenošanu ciešu attiecību izveidošanās gadījumā</w:t>
            </w:r>
            <w:r w:rsidR="001E3429" w:rsidRPr="002755AF">
              <w:rPr>
                <w:shd w:val="clear" w:color="auto" w:fill="FFFFFF"/>
              </w:rPr>
              <w:t xml:space="preserve"> ievērošanu</w:t>
            </w:r>
            <w:r w:rsidR="00AA220B" w:rsidRPr="002755AF">
              <w:rPr>
                <w:shd w:val="clear" w:color="auto" w:fill="FFFFFF"/>
              </w:rPr>
              <w:t xml:space="preserve">, </w:t>
            </w:r>
            <w:r w:rsidR="00EE5441" w:rsidRPr="004E3F4A">
              <w:t xml:space="preserve">kredītiestādēm </w:t>
            </w:r>
            <w:r w:rsidR="00EF62A7" w:rsidRPr="004E3F4A">
              <w:t xml:space="preserve">ik gadu jāinformē </w:t>
            </w:r>
            <w:r w:rsidR="001E3429" w:rsidRPr="004E3F4A">
              <w:t>uzraugs</w:t>
            </w:r>
            <w:r w:rsidR="00DB2F6A" w:rsidRPr="004E3F4A">
              <w:t xml:space="preserve"> </w:t>
            </w:r>
            <w:r w:rsidR="00EF62A7" w:rsidRPr="004E3F4A">
              <w:t>par cieš</w:t>
            </w:r>
            <w:r w:rsidR="00EA52D1" w:rsidRPr="004E3F4A">
              <w:t>ā</w:t>
            </w:r>
            <w:r w:rsidR="00EF62A7" w:rsidRPr="004E3F4A">
              <w:t>m attiecībām, kādas tai pastāv, savukārt kontroles iegūšanas vai zaudēšanas gadījumā lai</w:t>
            </w:r>
            <w:r w:rsidR="00CB6CBE" w:rsidRPr="004E3F4A">
              <w:t>kus</w:t>
            </w:r>
            <w:r w:rsidR="00EF62A7" w:rsidRPr="004E3F4A">
              <w:t xml:space="preserve"> jāinformē uzraugs, lai tas varētu izvērtēt</w:t>
            </w:r>
            <w:r w:rsidR="00CB6CBE" w:rsidRPr="004E3F4A">
              <w:t>, vai</w:t>
            </w:r>
            <w:r w:rsidR="00EF62A7" w:rsidRPr="004E3F4A">
              <w:t xml:space="preserve"> investīcijas atbilst </w:t>
            </w:r>
            <w:r w:rsidR="001E3429" w:rsidRPr="004E3F4A">
              <w:t>kredītiestādes noteiktajai</w:t>
            </w:r>
            <w:r w:rsidR="00EF62A7" w:rsidRPr="004E3F4A">
              <w:t xml:space="preserve"> risku apetītei, stratē</w:t>
            </w:r>
            <w:r w:rsidR="00B449DA" w:rsidRPr="004E3F4A">
              <w:t>ģ</w:t>
            </w:r>
            <w:r w:rsidR="00EF62A7" w:rsidRPr="004E3F4A">
              <w:t>ijai</w:t>
            </w:r>
            <w:r w:rsidR="00C77E8C" w:rsidRPr="004E3F4A">
              <w:t xml:space="preserve">, </w:t>
            </w:r>
            <w:r w:rsidR="00EF62A7" w:rsidRPr="004E3F4A">
              <w:t>tostarp</w:t>
            </w:r>
            <w:r w:rsidR="00DB2F6A" w:rsidRPr="004E3F4A">
              <w:t xml:space="preserve">, </w:t>
            </w:r>
            <w:r w:rsidR="00EF62A7" w:rsidRPr="004E3F4A">
              <w:t>vai jaunās korporatīvās saistības vai struktūras nepakļauj kredītiestād</w:t>
            </w:r>
            <w:r w:rsidR="00DB2F6A" w:rsidRPr="004E3F4A">
              <w:t>i</w:t>
            </w:r>
            <w:r w:rsidR="00EF62A7" w:rsidRPr="004E3F4A">
              <w:t xml:space="preserve"> pārmērīgiem riskiem un nekavē efektīvu uzraudzību.</w:t>
            </w:r>
            <w:r w:rsidR="00DB7F7B" w:rsidRPr="004E3F4A">
              <w:t xml:space="preserve"> </w:t>
            </w:r>
            <w:r w:rsidR="001E3429" w:rsidRPr="004E3F4A">
              <w:t>Līdz ar to</w:t>
            </w:r>
            <w:r w:rsidR="00DB7F7B" w:rsidRPr="004E3F4A">
              <w:t xml:space="preserve"> projekta </w:t>
            </w:r>
            <w:r w:rsidR="00D214EC" w:rsidRPr="004E3F4A">
              <w:t>VIII</w:t>
            </w:r>
            <w:r w:rsidR="00DB7F7B" w:rsidRPr="004E3F4A">
              <w:t> nodaļ</w:t>
            </w:r>
            <w:r w:rsidR="00BA6A89" w:rsidRPr="004E3F4A">
              <w:t>a satur prasības sniegt L</w:t>
            </w:r>
            <w:r w:rsidR="00DB7F7B" w:rsidRPr="004E3F4A">
              <w:t>atvijas Banka</w:t>
            </w:r>
            <w:r w:rsidR="001E3429" w:rsidRPr="004E3F4A">
              <w:t>i</w:t>
            </w:r>
            <w:r w:rsidR="00BA6A89" w:rsidRPr="004E3F4A">
              <w:t xml:space="preserve"> </w:t>
            </w:r>
            <w:r w:rsidR="001E3429" w:rsidRPr="004E3F4A">
              <w:t xml:space="preserve">informāciju </w:t>
            </w:r>
            <w:r w:rsidR="00BA6A89" w:rsidRPr="004E3F4A">
              <w:t>tādā ap</w:t>
            </w:r>
            <w:r w:rsidR="001E3429" w:rsidRPr="004E3F4A">
              <w:t>jom</w:t>
            </w:r>
            <w:r w:rsidR="00BA6A89" w:rsidRPr="004E3F4A">
              <w:t xml:space="preserve">ā, kāds </w:t>
            </w:r>
            <w:r w:rsidR="001E3429" w:rsidRPr="004E3F4A">
              <w:t xml:space="preserve">tai </w:t>
            </w:r>
            <w:r w:rsidR="00BA6A89" w:rsidRPr="004E3F4A">
              <w:t xml:space="preserve">ir nepieciešams </w:t>
            </w:r>
            <w:r w:rsidR="00DB7F7B" w:rsidRPr="004E3F4A">
              <w:t xml:space="preserve">Kredītiestāžu likuma </w:t>
            </w:r>
            <w:r w:rsidR="00DB7F7B" w:rsidRPr="004E3F4A">
              <w:rPr>
                <w:shd w:val="clear" w:color="auto" w:fill="FFFFFF"/>
              </w:rPr>
              <w:t>101.</w:t>
            </w:r>
            <w:r w:rsidR="00DB7F7B" w:rsidRPr="004E3F4A">
              <w:rPr>
                <w:shd w:val="clear" w:color="auto" w:fill="FFFFFF"/>
                <w:vertAlign w:val="superscript"/>
              </w:rPr>
              <w:t>1</w:t>
            </w:r>
            <w:r w:rsidR="00DB7F7B" w:rsidRPr="004E3F4A">
              <w:rPr>
                <w:shd w:val="clear" w:color="auto" w:fill="FFFFFF"/>
              </w:rPr>
              <w:t xml:space="preserve"> pantā </w:t>
            </w:r>
            <w:r w:rsidR="00BA6A89" w:rsidRPr="004E3F4A">
              <w:rPr>
                <w:shd w:val="clear" w:color="auto" w:fill="FFFFFF"/>
              </w:rPr>
              <w:t xml:space="preserve">paredzētā </w:t>
            </w:r>
            <w:r w:rsidR="00DB7F7B" w:rsidRPr="004E3F4A">
              <w:rPr>
                <w:shd w:val="clear" w:color="auto" w:fill="FFFFFF"/>
              </w:rPr>
              <w:t>uzdevuma izpildei</w:t>
            </w:r>
            <w:r w:rsidR="00EA75E1" w:rsidRPr="004E3F4A">
              <w:rPr>
                <w:shd w:val="clear" w:color="auto" w:fill="FFFFFF"/>
              </w:rPr>
              <w:t xml:space="preserve">, </w:t>
            </w:r>
            <w:r w:rsidR="001E3429" w:rsidRPr="004E3F4A">
              <w:rPr>
                <w:shd w:val="clear" w:color="auto" w:fill="FFFFFF"/>
              </w:rPr>
              <w:t xml:space="preserve">un </w:t>
            </w:r>
            <w:r w:rsidR="00EA75E1" w:rsidRPr="004E3F4A">
              <w:rPr>
                <w:shd w:val="clear" w:color="auto" w:fill="FFFFFF"/>
              </w:rPr>
              <w:t>pieprasītās informācijas apjoms ir samērīgs ar sasniedzamo mērķi</w:t>
            </w:r>
            <w:r w:rsidR="00DB7F7B" w:rsidRPr="004E3F4A">
              <w:t>.</w:t>
            </w:r>
            <w:r w:rsidR="0079759C" w:rsidRPr="004E3F4A">
              <w:t xml:space="preserve"> Projekt</w:t>
            </w:r>
            <w:r w:rsidR="00692DEA">
              <w:t>ā</w:t>
            </w:r>
            <w:r w:rsidR="0079759C" w:rsidRPr="004E3F4A">
              <w:t xml:space="preserve"> ievie</w:t>
            </w:r>
            <w:r w:rsidR="00692DEA">
              <w:t>sta</w:t>
            </w:r>
            <w:r w:rsidR="0079759C" w:rsidRPr="004E3F4A">
              <w:t xml:space="preserve"> standarta veidlap</w:t>
            </w:r>
            <w:r w:rsidR="00692DEA">
              <w:t>a</w:t>
            </w:r>
            <w:r w:rsidR="0079759C" w:rsidRPr="004E3F4A">
              <w:t xml:space="preserve"> par ikgadējo informācijas sniegšanu, lai nodrošinātu vienādu pieeju informācijas sniegšanā elektroniskā veidā, izmantojot paaugstinātās drošības sistēmu.</w:t>
            </w:r>
          </w:p>
          <w:p w14:paraId="2018F4D6" w14:textId="73EEA602" w:rsidR="000915E7" w:rsidRPr="004E3F4A" w:rsidRDefault="002755AF" w:rsidP="002755AF">
            <w:pPr>
              <w:pStyle w:val="NApunkts2"/>
              <w:numPr>
                <w:ilvl w:val="0"/>
                <w:numId w:val="0"/>
              </w:numPr>
              <w:spacing w:after="120"/>
            </w:pPr>
            <w:r>
              <w:t>7.</w:t>
            </w:r>
            <w:r w:rsidR="00C43333" w:rsidRPr="004E3F4A">
              <w:t>P</w:t>
            </w:r>
            <w:r w:rsidR="004D731D" w:rsidRPr="004E3F4A">
              <w:t>rojekt</w:t>
            </w:r>
            <w:r w:rsidR="00B11D09" w:rsidRPr="004E3F4A">
              <w:t xml:space="preserve">a </w:t>
            </w:r>
            <w:r w:rsidR="00D214EC" w:rsidRPr="004E3F4A">
              <w:t>I</w:t>
            </w:r>
            <w:r w:rsidR="00B11D09" w:rsidRPr="004E3F4A">
              <w:t>X nodaļa</w:t>
            </w:r>
            <w:r w:rsidR="004D731D" w:rsidRPr="004E3F4A">
              <w:t xml:space="preserve"> paredz normu par ikgadēju noteiktas informācijas sniegšanu uzraugam par ārvalsts kredītiestādes filiāli pēc tam, kad šī fili</w:t>
            </w:r>
            <w:r w:rsidR="002003FD" w:rsidRPr="004E3F4A">
              <w:t>ā</w:t>
            </w:r>
            <w:r w:rsidR="004D731D" w:rsidRPr="004E3F4A">
              <w:t xml:space="preserve">le uzsākusi darbību Latvijā. Minētā norma </w:t>
            </w:r>
            <w:r w:rsidR="00312E54" w:rsidRPr="004E3F4A">
              <w:t>pārņem</w:t>
            </w:r>
            <w:r w:rsidR="004D731D" w:rsidRPr="004E3F4A">
              <w:t xml:space="preserve"> Eiropas Parlamenta un Padomes 2019.</w:t>
            </w:r>
            <w:r w:rsidR="003822E6" w:rsidRPr="004E3F4A">
              <w:t> </w:t>
            </w:r>
            <w:r w:rsidR="004D731D" w:rsidRPr="004E3F4A">
              <w:t>gada 20.</w:t>
            </w:r>
            <w:r w:rsidR="00F61BC1" w:rsidRPr="004E3F4A">
              <w:t> </w:t>
            </w:r>
            <w:r w:rsidR="004D731D" w:rsidRPr="004E3F4A">
              <w:t>maija direktīvas (ES)</w:t>
            </w:r>
            <w:r w:rsidR="00AF7DBA" w:rsidRPr="004E3F4A">
              <w:t xml:space="preserve"> Nr. 2019/878, </w:t>
            </w:r>
            <w:r w:rsidR="004D731D" w:rsidRPr="004E3F4A">
              <w:t xml:space="preserve">ar ko </w:t>
            </w:r>
            <w:r w:rsidR="00312E54" w:rsidRPr="004E3F4A">
              <w:t>d</w:t>
            </w:r>
            <w:r w:rsidR="004D731D" w:rsidRPr="004E3F4A">
              <w:t>irektīvu 2013/36/ES groza attiecībā uz atbrīvotajām sabiedrībām, finanšu pārvaldītājsabiedrībām, jauktām finanšu pārvaldītājsabiedrībām, atalgojumu, uzraudzības pasākumiem un pilnvarām, kā arī kapitāla saglabāšanas pasākumiem</w:t>
            </w:r>
            <w:r w:rsidR="00312E54" w:rsidRPr="004E3F4A">
              <w:t>,</w:t>
            </w:r>
            <w:r w:rsidR="004D731D" w:rsidRPr="004E3F4A">
              <w:t xml:space="preserve"> 1.</w:t>
            </w:r>
            <w:r w:rsidR="00312E54" w:rsidRPr="004E3F4A">
              <w:t> </w:t>
            </w:r>
            <w:r w:rsidR="004D731D" w:rsidRPr="004E3F4A">
              <w:t>panta 11.</w:t>
            </w:r>
            <w:r w:rsidR="00312E54" w:rsidRPr="004E3F4A">
              <w:t> </w:t>
            </w:r>
            <w:r w:rsidR="004D731D" w:rsidRPr="004E3F4A">
              <w:t>punktu</w:t>
            </w:r>
            <w:r w:rsidR="00424EF3" w:rsidRPr="004E3F4A">
              <w:t>.</w:t>
            </w:r>
            <w:r w:rsidR="000915E7" w:rsidRPr="004E3F4A">
              <w:t xml:space="preserve"> </w:t>
            </w:r>
            <w:r w:rsidR="001E3429" w:rsidRPr="004E3F4A">
              <w:t xml:space="preserve">Līdz ar to </w:t>
            </w:r>
            <w:r w:rsidR="000915E7" w:rsidRPr="004E3F4A">
              <w:t xml:space="preserve">projekta </w:t>
            </w:r>
            <w:r w:rsidR="009F2F3C" w:rsidRPr="004E3F4A">
              <w:t>I</w:t>
            </w:r>
            <w:r w:rsidR="000915E7" w:rsidRPr="004E3F4A">
              <w:t>X nodaļa satur prasības sniegt informāciju Latvijas Bankai tādā ap</w:t>
            </w:r>
            <w:r w:rsidR="001E3429" w:rsidRPr="004E3F4A">
              <w:t>jom</w:t>
            </w:r>
            <w:r w:rsidR="000915E7" w:rsidRPr="004E3F4A">
              <w:t xml:space="preserve">ā un termiņā, kāds ir nepieciešams un samērīgs </w:t>
            </w:r>
            <w:r w:rsidR="001E3429" w:rsidRPr="004E3F4A">
              <w:t xml:space="preserve">minētās </w:t>
            </w:r>
            <w:r w:rsidR="000915E7" w:rsidRPr="004E3F4A">
              <w:t>direktīvas prasību izpildei.</w:t>
            </w:r>
          </w:p>
          <w:p w14:paraId="116155ED" w14:textId="37F64B01" w:rsidR="00F50936" w:rsidRPr="004E3F4A" w:rsidRDefault="002755AF" w:rsidP="002755AF">
            <w:pPr>
              <w:pStyle w:val="NApunkts2"/>
              <w:numPr>
                <w:ilvl w:val="0"/>
                <w:numId w:val="0"/>
              </w:numPr>
            </w:pPr>
            <w:r>
              <w:lastRenderedPageBreak/>
              <w:t>8.</w:t>
            </w:r>
            <w:r w:rsidR="00F50936" w:rsidRPr="004E3F4A">
              <w:t xml:space="preserve">Nosakot tirgus dalībniekiem iesniedzamās informācijas prasības kredītiestādes uzņēmuma pārejas gadījumā un veicot iesniegtās informācijas pārbaudi, Latvijas Banka nodrošina tai Latvijas Bankas likumā noteikto pienākumu </w:t>
            </w:r>
            <w:r w:rsidR="00EA7F4A" w:rsidRPr="004E3F4A">
              <w:t xml:space="preserve">izpildi – </w:t>
            </w:r>
            <w:r w:rsidR="00F50936" w:rsidRPr="004E3F4A">
              <w:t>veicināt ieguldītāju un noguldītāju interešu aizsardzību</w:t>
            </w:r>
            <w:r w:rsidR="00EA7F4A" w:rsidRPr="004E3F4A">
              <w:t xml:space="preserve">, kā arī </w:t>
            </w:r>
            <w:r w:rsidR="00F50936" w:rsidRPr="004E3F4A">
              <w:t xml:space="preserve">finanšu tirgus ilgtspējīgu attīstību un stabilitāti. </w:t>
            </w:r>
            <w:r w:rsidR="001E3429" w:rsidRPr="004E3F4A">
              <w:t xml:space="preserve">Līdz ar to </w:t>
            </w:r>
            <w:r w:rsidR="00F50936" w:rsidRPr="004E3F4A">
              <w:t xml:space="preserve">projektā pieprasāmā informācija </w:t>
            </w:r>
            <w:r w:rsidR="004E4CEE" w:rsidRPr="004E3F4A">
              <w:t>ir noteikt</w:t>
            </w:r>
            <w:r w:rsidR="00F11CFF" w:rsidRPr="004E3F4A">
              <w:t>a</w:t>
            </w:r>
            <w:r w:rsidR="00F50936" w:rsidRPr="004E3F4A">
              <w:t xml:space="preserve"> tādā ap</w:t>
            </w:r>
            <w:r w:rsidR="001E3429" w:rsidRPr="004E3F4A">
              <w:t>jom</w:t>
            </w:r>
            <w:r w:rsidR="00F50936" w:rsidRPr="004E3F4A">
              <w:t>ā, lai nodrošinātu finanšu tirgus stabilitāti un sabiedrības aizsardzību</w:t>
            </w:r>
            <w:r w:rsidR="00850BA2" w:rsidRPr="004E3F4A">
              <w:t xml:space="preserve"> un būtu pietiekam</w:t>
            </w:r>
            <w:r w:rsidR="00F11CFF" w:rsidRPr="004E3F4A">
              <w:t>a</w:t>
            </w:r>
            <w:r w:rsidR="00850BA2" w:rsidRPr="004E3F4A">
              <w:t>, lai pieņemtu lēmumu par atļaujas sniegšanu.</w:t>
            </w:r>
          </w:p>
          <w:p w14:paraId="5E2A2084" w14:textId="77777777" w:rsidR="00F50936" w:rsidRPr="004E3F4A" w:rsidRDefault="00F50936" w:rsidP="00F50936">
            <w:pPr>
              <w:spacing w:after="0" w:line="240" w:lineRule="auto"/>
              <w:jc w:val="both"/>
              <w:rPr>
                <w:rFonts w:ascii="Times New Roman" w:eastAsia="Times New Roman" w:hAnsi="Times New Roman" w:cs="Times New Roman"/>
                <w:sz w:val="24"/>
                <w:szCs w:val="24"/>
                <w:lang w:eastAsia="lv-LV"/>
              </w:rPr>
            </w:pPr>
          </w:p>
          <w:p w14:paraId="0690EE93" w14:textId="2776E215" w:rsidR="0079759C" w:rsidRPr="004E3F4A" w:rsidRDefault="002755AF" w:rsidP="002755AF">
            <w:pPr>
              <w:pStyle w:val="NApunkts2"/>
              <w:numPr>
                <w:ilvl w:val="0"/>
                <w:numId w:val="0"/>
              </w:numPr>
              <w:spacing w:after="120"/>
            </w:pPr>
            <w:r>
              <w:t>9.</w:t>
            </w:r>
            <w:r w:rsidR="00C43333" w:rsidRPr="004E3F4A">
              <w:t>P</w:t>
            </w:r>
            <w:r w:rsidR="00424EF3" w:rsidRPr="004E3F4A">
              <w:t>rojekts nosaka atsevišķas informācijas sniegšanas biežumu uzraudzības</w:t>
            </w:r>
            <w:r w:rsidR="002003FD" w:rsidRPr="004E3F4A">
              <w:t xml:space="preserve"> </w:t>
            </w:r>
            <w:r w:rsidR="00424EF3" w:rsidRPr="004E3F4A">
              <w:t>vajadzībām</w:t>
            </w:r>
            <w:r w:rsidR="00C92CBE" w:rsidRPr="004E3F4A">
              <w:t>:</w:t>
            </w:r>
            <w:r w:rsidR="00CF36BA" w:rsidRPr="004E3F4A">
              <w:t>-</w:t>
            </w:r>
            <w:r w:rsidR="00424EF3" w:rsidRPr="004E3F4A">
              <w:t xml:space="preserve">par kredītiestādes struktūrvienībām – reizi gadā ne vēlāk kā nākamā gada 31. janvārī iesniedz kredītiestādes pārstāvniecību un citu tās struktūrvienību (norēķinu grupu, klientu apkalpošanas centru u. tml.) </w:t>
            </w:r>
            <w:r w:rsidR="00CF36BA" w:rsidRPr="004E3F4A">
              <w:t xml:space="preserve">skaitu iepriekšējā gada </w:t>
            </w:r>
            <w:r w:rsidR="00424EF3" w:rsidRPr="004E3F4A">
              <w:t>31. decembr</w:t>
            </w:r>
            <w:r w:rsidR="00CF36BA" w:rsidRPr="004E3F4A">
              <w:t>ī.</w:t>
            </w:r>
            <w:r w:rsidR="0079759C" w:rsidRPr="004E3F4A">
              <w:t xml:space="preserve"> Projekt</w:t>
            </w:r>
            <w:r w:rsidR="00692DEA">
              <w:t>ā</w:t>
            </w:r>
            <w:r w:rsidR="0079759C" w:rsidRPr="004E3F4A">
              <w:t xml:space="preserve"> ievie</w:t>
            </w:r>
            <w:r w:rsidR="00692DEA">
              <w:t>sta</w:t>
            </w:r>
            <w:r w:rsidR="0079759C" w:rsidRPr="004E3F4A">
              <w:t xml:space="preserve"> </w:t>
            </w:r>
            <w:r w:rsidR="00692DEA" w:rsidRPr="00692DEA">
              <w:t>standarta veidlapa par ikgadējo informācijas sniegšanu</w:t>
            </w:r>
            <w:r w:rsidR="00692DEA">
              <w:t>, lai nodrošinātu</w:t>
            </w:r>
            <w:r w:rsidR="00692DEA" w:rsidRPr="00692DEA">
              <w:t xml:space="preserve"> </w:t>
            </w:r>
            <w:r w:rsidR="0079759C" w:rsidRPr="004E3F4A">
              <w:t>vienādu pieeju informācijas sniegšanā elektroniskā veidā, izmantojot paaugstinātās drošības sistēmu.</w:t>
            </w:r>
          </w:p>
          <w:p w14:paraId="556A2A57" w14:textId="7F5996ED" w:rsidR="00424EF3" w:rsidRPr="004E3F4A" w:rsidRDefault="006A0EF2" w:rsidP="000C43AB">
            <w:pPr>
              <w:pStyle w:val="NApunkts2"/>
              <w:numPr>
                <w:ilvl w:val="0"/>
                <w:numId w:val="0"/>
              </w:numPr>
              <w:spacing w:after="120"/>
            </w:pPr>
            <w:r w:rsidRPr="004E3F4A">
              <w:t>Informācija</w:t>
            </w:r>
            <w:r w:rsidR="000716D9" w:rsidRPr="004E3F4A">
              <w:t>s</w:t>
            </w:r>
            <w:r w:rsidRPr="004E3F4A">
              <w:t xml:space="preserve"> par kredītiestādes struktūrvienībām sagatavošana neprasa kredītiestādēm papildu resursus analīzes</w:t>
            </w:r>
            <w:r w:rsidR="0042517C" w:rsidRPr="004E3F4A">
              <w:t xml:space="preserve"> vai </w:t>
            </w:r>
            <w:r w:rsidRPr="004E3F4A">
              <w:t xml:space="preserve">secinājumu gatavošanai, jo pēc būtības </w:t>
            </w:r>
            <w:r w:rsidR="00F11CFF" w:rsidRPr="004E3F4A">
              <w:t xml:space="preserve">tā </w:t>
            </w:r>
            <w:r w:rsidRPr="004E3F4A">
              <w:t>ir kredītiestādes rīcībā.</w:t>
            </w:r>
          </w:p>
          <w:p w14:paraId="3BCB4026" w14:textId="4F243D9D" w:rsidR="000F20B9" w:rsidRPr="004E3F4A" w:rsidRDefault="002755AF" w:rsidP="002755AF">
            <w:pPr>
              <w:pStyle w:val="NApunkts2"/>
              <w:numPr>
                <w:ilvl w:val="0"/>
                <w:numId w:val="0"/>
              </w:numPr>
              <w:spacing w:after="120"/>
            </w:pPr>
            <w:r>
              <w:t>10.</w:t>
            </w:r>
            <w:r w:rsidR="000F20B9" w:rsidRPr="004E3F4A">
              <w:t>Projekts paredz pieprasīt arī fizisko personu datus par akcionāriem</w:t>
            </w:r>
            <w:r w:rsidR="004E4CEE" w:rsidRPr="004E3F4A">
              <w:t xml:space="preserve"> – </w:t>
            </w:r>
            <w:r w:rsidR="000F20B9" w:rsidRPr="004E3F4A">
              <w:t xml:space="preserve">fiziskām personām </w:t>
            </w:r>
            <w:r w:rsidR="00F11CFF" w:rsidRPr="004E3F4A">
              <w:t xml:space="preserve">– </w:t>
            </w:r>
            <w:r w:rsidR="000F20B9" w:rsidRPr="004E3F4A">
              <w:t xml:space="preserve">un amatpersonām tādā apmērā, kas ir nepieciešams un vienlaikus pietiekams, lai nodrošinātu personu atbilstības normatīvo aktu prasībām izvērtēšanu. Bez projektā paredzēto datu pieprasīšanas nav iespējams personas identificēt, izvērtēt atbilstoši kopējām prasībām </w:t>
            </w:r>
            <w:r w:rsidR="00F11CFF" w:rsidRPr="004E3F4A">
              <w:t xml:space="preserve">kredītiestādes </w:t>
            </w:r>
            <w:r w:rsidR="000F20B9" w:rsidRPr="004E3F4A">
              <w:t>pārvaldības jomā vai akcionāram atbilstoš</w:t>
            </w:r>
            <w:r w:rsidR="00EA52D1" w:rsidRPr="004E3F4A">
              <w:t>aj</w:t>
            </w:r>
            <w:r w:rsidR="000F20B9" w:rsidRPr="004E3F4A">
              <w:t xml:space="preserve">ām prasībām, kā arī konstatēt, vai persona nav ieguvusi vai samazinājusi būtisku līdzdalību </w:t>
            </w:r>
            <w:r w:rsidR="00F11CFF" w:rsidRPr="004E3F4A">
              <w:t>kredītiestādē</w:t>
            </w:r>
            <w:r w:rsidR="000F20B9" w:rsidRPr="004E3F4A">
              <w:t>.</w:t>
            </w:r>
          </w:p>
          <w:p w14:paraId="7229CF82" w14:textId="45BED7F6" w:rsidR="00E53DE9" w:rsidRPr="004E3F4A" w:rsidRDefault="000F20B9" w:rsidP="009F2F3C">
            <w:pPr>
              <w:spacing w:after="120" w:line="240" w:lineRule="auto"/>
              <w:jc w:val="both"/>
              <w:rPr>
                <w:rFonts w:ascii="Times New Roman" w:hAnsi="Times New Roman" w:cs="Times New Roman"/>
                <w:i/>
                <w:iCs/>
                <w:sz w:val="24"/>
                <w:szCs w:val="24"/>
              </w:rPr>
            </w:pPr>
            <w:r w:rsidRPr="004E3F4A">
              <w:rPr>
                <w:rFonts w:ascii="Times New Roman" w:hAnsi="Times New Roman" w:cs="Times New Roman"/>
                <w:sz w:val="24"/>
                <w:szCs w:val="24"/>
              </w:rPr>
              <w:t xml:space="preserve">Saskaņā ar Eiropas Parlamenta un Padomes </w:t>
            </w:r>
            <w:r w:rsidR="00D304A4" w:rsidRPr="004E3F4A">
              <w:rPr>
                <w:rFonts w:ascii="Times New Roman" w:hAnsi="Times New Roman" w:cs="Times New Roman"/>
                <w:sz w:val="24"/>
                <w:szCs w:val="24"/>
              </w:rPr>
              <w:t xml:space="preserve">2016. gada 27. aprīļa </w:t>
            </w:r>
            <w:r w:rsidRPr="004E3F4A">
              <w:rPr>
                <w:rFonts w:ascii="Times New Roman" w:hAnsi="Times New Roman" w:cs="Times New Roman"/>
                <w:sz w:val="24"/>
                <w:szCs w:val="24"/>
              </w:rPr>
              <w:t xml:space="preserve">regulas (ES) 2016/679 par fizisku personu aizsardzību attiecībā uz personas datu apstrādi un šādu datu brīvu apriti un ar ko atceļ </w:t>
            </w:r>
            <w:r w:rsidR="00D304A4" w:rsidRPr="004E3F4A">
              <w:rPr>
                <w:rFonts w:ascii="Times New Roman" w:hAnsi="Times New Roman" w:cs="Times New Roman"/>
                <w:sz w:val="24"/>
                <w:szCs w:val="24"/>
              </w:rPr>
              <w:t>d</w:t>
            </w:r>
            <w:r w:rsidRPr="004E3F4A">
              <w:rPr>
                <w:rFonts w:ascii="Times New Roman" w:hAnsi="Times New Roman" w:cs="Times New Roman"/>
                <w:sz w:val="24"/>
                <w:szCs w:val="24"/>
              </w:rPr>
              <w:t>irektīvu 95/46/EK (Vispārīgā datu aizsardzības regula) 13.</w:t>
            </w:r>
            <w:r w:rsidR="00D304A4" w:rsidRPr="004E3F4A">
              <w:rPr>
                <w:rFonts w:ascii="Times New Roman" w:hAnsi="Times New Roman" w:cs="Times New Roman"/>
                <w:sz w:val="24"/>
                <w:szCs w:val="24"/>
              </w:rPr>
              <w:t> </w:t>
            </w:r>
            <w:r w:rsidRPr="004E3F4A">
              <w:rPr>
                <w:rFonts w:ascii="Times New Roman" w:hAnsi="Times New Roman" w:cs="Times New Roman"/>
                <w:sz w:val="24"/>
                <w:szCs w:val="24"/>
              </w:rPr>
              <w:t xml:space="preserve">pantu datu pārzinim personas datu iegūšanas laikā ir jāsniedz datu subjektam informācija par viņa datu apstrādi, lai nodrošinātu godprātīgu un pārredzamu apstrādi. Līdz ar to saskaņā ar projekta </w:t>
            </w:r>
            <w:r w:rsidR="00701BC6" w:rsidRPr="004E3F4A">
              <w:rPr>
                <w:rFonts w:ascii="Times New Roman" w:hAnsi="Times New Roman" w:cs="Times New Roman"/>
                <w:sz w:val="24"/>
                <w:szCs w:val="24"/>
              </w:rPr>
              <w:t>1. un 3. </w:t>
            </w:r>
            <w:r w:rsidRPr="004E3F4A">
              <w:rPr>
                <w:rFonts w:ascii="Times New Roman" w:hAnsi="Times New Roman" w:cs="Times New Roman"/>
                <w:sz w:val="24"/>
                <w:szCs w:val="24"/>
              </w:rPr>
              <w:t>pielikumu persona paraksta apliecinājumu, ka ir iepazinu</w:t>
            </w:r>
            <w:r w:rsidR="00D15ACA" w:rsidRPr="004E3F4A">
              <w:rPr>
                <w:rFonts w:ascii="Times New Roman" w:hAnsi="Times New Roman" w:cs="Times New Roman"/>
                <w:sz w:val="24"/>
                <w:szCs w:val="24"/>
              </w:rPr>
              <w:t>sies</w:t>
            </w:r>
            <w:r w:rsidRPr="004E3F4A">
              <w:rPr>
                <w:rFonts w:ascii="Times New Roman" w:hAnsi="Times New Roman" w:cs="Times New Roman"/>
                <w:sz w:val="24"/>
                <w:szCs w:val="24"/>
              </w:rPr>
              <w:t xml:space="preserve"> ar Latvijas Bankas sniegto informāciju par person</w:t>
            </w:r>
            <w:r w:rsidR="00F11CFF" w:rsidRPr="004E3F4A">
              <w:rPr>
                <w:rFonts w:ascii="Times New Roman" w:hAnsi="Times New Roman" w:cs="Times New Roman"/>
                <w:sz w:val="24"/>
                <w:szCs w:val="24"/>
              </w:rPr>
              <w:t>as</w:t>
            </w:r>
            <w:r w:rsidRPr="004E3F4A">
              <w:rPr>
                <w:rFonts w:ascii="Times New Roman" w:hAnsi="Times New Roman" w:cs="Times New Roman"/>
                <w:sz w:val="24"/>
                <w:szCs w:val="24"/>
              </w:rPr>
              <w:t xml:space="preserve"> datu apstrādi</w:t>
            </w:r>
            <w:r w:rsidR="00F11CFF" w:rsidRPr="004E3F4A">
              <w:rPr>
                <w:rFonts w:ascii="Times New Roman" w:hAnsi="Times New Roman" w:cs="Times New Roman"/>
                <w:sz w:val="24"/>
                <w:szCs w:val="24"/>
              </w:rPr>
              <w:t xml:space="preserve"> un</w:t>
            </w:r>
            <w:r w:rsidRPr="004E3F4A">
              <w:rPr>
                <w:rFonts w:ascii="Times New Roman" w:hAnsi="Times New Roman" w:cs="Times New Roman"/>
                <w:sz w:val="24"/>
                <w:szCs w:val="24"/>
              </w:rPr>
              <w:t xml:space="preserve"> ka tās dati tiek nodoti Eiropas Centrālajai bankai, ja konkrētais licencēšanas process veicams kopīgi ar Eiropas Centrālo banku. Latvijas Banka iegūtos datus glabā 10</w:t>
            </w:r>
            <w:r w:rsidR="00D304A4" w:rsidRPr="004E3F4A">
              <w:rPr>
                <w:rFonts w:ascii="Times New Roman" w:hAnsi="Times New Roman" w:cs="Times New Roman"/>
                <w:sz w:val="24"/>
                <w:szCs w:val="24"/>
              </w:rPr>
              <w:t> </w:t>
            </w:r>
            <w:r w:rsidRPr="004E3F4A">
              <w:rPr>
                <w:rFonts w:ascii="Times New Roman" w:hAnsi="Times New Roman" w:cs="Times New Roman"/>
                <w:sz w:val="24"/>
                <w:szCs w:val="24"/>
              </w:rPr>
              <w:t>gadus pēc akcionāra vai amatpersonas statusa zaudēšanas.</w:t>
            </w:r>
          </w:p>
        </w:tc>
      </w:tr>
      <w:tr w:rsidR="00F62DE2" w:rsidRPr="004E3F4A" w14:paraId="7803B4D4" w14:textId="77777777" w:rsidTr="00ED184E">
        <w:trPr>
          <w:trHeight w:val="567"/>
        </w:trPr>
        <w:tc>
          <w:tcPr>
            <w:tcW w:w="1248" w:type="pct"/>
            <w:shd w:val="clear" w:color="auto" w:fill="auto"/>
            <w:hideMark/>
          </w:tcPr>
          <w:p w14:paraId="385434FC"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lastRenderedPageBreak/>
              <w:t>Spēkā stāšanās</w:t>
            </w:r>
          </w:p>
          <w:p w14:paraId="11817387"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474BC914" w14:textId="77777777" w:rsidR="00CA28AB" w:rsidRPr="004E3F4A" w:rsidRDefault="0062751E" w:rsidP="00D304A4">
            <w:pPr>
              <w:spacing w:after="120" w:line="240" w:lineRule="auto"/>
              <w:jc w:val="both"/>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Atbilstoši Latvijas Bankas likuma 8.</w:t>
            </w:r>
            <w:r w:rsidR="003F3859" w:rsidRPr="004E3F4A">
              <w:rPr>
                <w:rFonts w:ascii="Times New Roman" w:eastAsia="Times New Roman" w:hAnsi="Times New Roman" w:cs="Times New Roman"/>
                <w:sz w:val="24"/>
                <w:szCs w:val="24"/>
                <w:lang w:eastAsia="lv-LV"/>
              </w:rPr>
              <w:t> </w:t>
            </w:r>
            <w:r w:rsidRPr="004E3F4A">
              <w:rPr>
                <w:rFonts w:ascii="Times New Roman" w:eastAsia="Times New Roman" w:hAnsi="Times New Roman" w:cs="Times New Roman"/>
                <w:sz w:val="24"/>
                <w:szCs w:val="24"/>
                <w:lang w:eastAsia="lv-LV"/>
              </w:rPr>
              <w:t>panta otrajai daļai</w:t>
            </w:r>
            <w:r w:rsidR="003F3859" w:rsidRPr="004E3F4A">
              <w:rPr>
                <w:rFonts w:ascii="Times New Roman" w:eastAsia="Times New Roman" w:hAnsi="Times New Roman" w:cs="Times New Roman"/>
                <w:sz w:val="24"/>
                <w:szCs w:val="24"/>
                <w:lang w:eastAsia="lv-LV"/>
              </w:rPr>
              <w:t> </w:t>
            </w:r>
            <w:r w:rsidR="00F62DE2" w:rsidRPr="004E3F4A">
              <w:rPr>
                <w:rFonts w:ascii="Times New Roman" w:eastAsia="Times New Roman" w:hAnsi="Times New Roman" w:cs="Times New Roman"/>
                <w:sz w:val="24"/>
                <w:szCs w:val="24"/>
                <w:lang w:eastAsia="lv-LV"/>
              </w:rPr>
              <w:t>–</w:t>
            </w:r>
            <w:r w:rsidRPr="004E3F4A">
              <w:rPr>
                <w:rFonts w:ascii="Times New Roman" w:eastAsia="Times New Roman" w:hAnsi="Times New Roman" w:cs="Times New Roman"/>
                <w:sz w:val="24"/>
                <w:szCs w:val="24"/>
                <w:lang w:eastAsia="lv-LV"/>
              </w:rPr>
              <w:t xml:space="preserve"> nākamajā dienā pēc noteikumu publicēšanas oficiālajā izdevumā ''Latvijas Vēstnesis''</w:t>
            </w:r>
            <w:r w:rsidR="00F62DE2" w:rsidRPr="004E3F4A">
              <w:rPr>
                <w:rFonts w:ascii="Times New Roman" w:eastAsia="Times New Roman" w:hAnsi="Times New Roman" w:cs="Times New Roman"/>
                <w:sz w:val="24"/>
                <w:szCs w:val="24"/>
                <w:lang w:eastAsia="lv-LV"/>
              </w:rPr>
              <w:t>.</w:t>
            </w:r>
          </w:p>
          <w:p w14:paraId="17BC22D9" w14:textId="754B208C" w:rsidR="0079759C" w:rsidRPr="004E3F4A" w:rsidRDefault="0079759C" w:rsidP="00D304A4">
            <w:pPr>
              <w:spacing w:after="120" w:line="240" w:lineRule="auto"/>
              <w:jc w:val="both"/>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 xml:space="preserve">Ņemot vērā, ka </w:t>
            </w:r>
            <w:r w:rsidR="008D12B8" w:rsidRPr="004E3F4A">
              <w:rPr>
                <w:rFonts w:ascii="Times New Roman" w:eastAsia="Times New Roman" w:hAnsi="Times New Roman" w:cs="Times New Roman"/>
                <w:sz w:val="24"/>
                <w:szCs w:val="24"/>
                <w:lang w:eastAsia="lv-LV"/>
              </w:rPr>
              <w:t>šis p</w:t>
            </w:r>
            <w:r w:rsidRPr="004E3F4A">
              <w:rPr>
                <w:rFonts w:ascii="Times New Roman" w:eastAsia="Times New Roman" w:hAnsi="Times New Roman" w:cs="Times New Roman"/>
                <w:sz w:val="24"/>
                <w:szCs w:val="24"/>
                <w:lang w:eastAsia="lv-LV"/>
              </w:rPr>
              <w:t xml:space="preserve">rojekts ievieš standartizētas informācijas sniegšanas veidlapas, lai nodrošinātu kredītiestādēm pietiekamu laiku savu sistēmu pielāgošanai veidlapām par ciešām attiecībām, kā arī par kredītiestādes struktūrvienību skaitu, projekts paredz, ka </w:t>
            </w:r>
            <w:r w:rsidRPr="004E3F4A">
              <w:rPr>
                <w:rFonts w:ascii="Times New Roman" w:hAnsi="Times New Roman" w:cs="Times New Roman"/>
                <w:sz w:val="24"/>
                <w:szCs w:val="24"/>
              </w:rPr>
              <w:lastRenderedPageBreak/>
              <w:t>noteikumu 28., 29., 33. un 34. punkts stājas spēkā 2024. gada 1. martā. Savukārt informāciju par stāvokli uz 2023.</w:t>
            </w:r>
            <w:r w:rsidR="000727B1">
              <w:rPr>
                <w:rFonts w:ascii="Times New Roman" w:hAnsi="Times New Roman" w:cs="Times New Roman"/>
                <w:sz w:val="24"/>
                <w:szCs w:val="24"/>
              </w:rPr>
              <w:t> </w:t>
            </w:r>
            <w:r w:rsidRPr="004E3F4A">
              <w:rPr>
                <w:rFonts w:ascii="Times New Roman" w:hAnsi="Times New Roman" w:cs="Times New Roman"/>
                <w:sz w:val="24"/>
                <w:szCs w:val="24"/>
              </w:rPr>
              <w:t>gada 31.</w:t>
            </w:r>
            <w:r w:rsidR="000727B1">
              <w:rPr>
                <w:rFonts w:ascii="Times New Roman" w:hAnsi="Times New Roman" w:cs="Times New Roman"/>
                <w:sz w:val="24"/>
                <w:szCs w:val="24"/>
              </w:rPr>
              <w:t> </w:t>
            </w:r>
            <w:r w:rsidRPr="004E3F4A">
              <w:rPr>
                <w:rFonts w:ascii="Times New Roman" w:hAnsi="Times New Roman" w:cs="Times New Roman"/>
                <w:sz w:val="24"/>
                <w:szCs w:val="24"/>
              </w:rPr>
              <w:t xml:space="preserve">decembri kredītiestādes iesniedz pēc kārtības, kāda bija paredzēta Noteikumos Nr. 200.  </w:t>
            </w:r>
          </w:p>
          <w:p w14:paraId="2E39BC90" w14:textId="456FC95D" w:rsidR="0016709D" w:rsidRPr="004E3F4A" w:rsidRDefault="0016709D" w:rsidP="00D304A4">
            <w:pPr>
              <w:spacing w:after="120" w:line="240" w:lineRule="auto"/>
              <w:jc w:val="both"/>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Vienlaikus jāņem vērā, ka Regula Nr.</w:t>
            </w:r>
            <w:r w:rsidR="00D304A4" w:rsidRPr="004E3F4A">
              <w:rPr>
                <w:rFonts w:ascii="Times New Roman" w:eastAsia="Times New Roman" w:hAnsi="Times New Roman" w:cs="Times New Roman"/>
                <w:sz w:val="24"/>
                <w:szCs w:val="24"/>
                <w:lang w:eastAsia="lv-LV"/>
              </w:rPr>
              <w:t> </w:t>
            </w:r>
            <w:r w:rsidRPr="004E3F4A">
              <w:rPr>
                <w:rFonts w:ascii="Times New Roman" w:eastAsia="Times New Roman" w:hAnsi="Times New Roman" w:cs="Times New Roman"/>
                <w:sz w:val="24"/>
                <w:szCs w:val="24"/>
                <w:lang w:eastAsia="lv-LV"/>
              </w:rPr>
              <w:t>2022/2580 un Regula Nr.</w:t>
            </w:r>
            <w:r w:rsidR="00D304A4" w:rsidRPr="004E3F4A">
              <w:rPr>
                <w:rFonts w:ascii="Times New Roman" w:eastAsia="Times New Roman" w:hAnsi="Times New Roman" w:cs="Times New Roman"/>
                <w:sz w:val="24"/>
                <w:szCs w:val="24"/>
                <w:lang w:eastAsia="lv-LV"/>
              </w:rPr>
              <w:t> </w:t>
            </w:r>
            <w:r w:rsidRPr="004E3F4A">
              <w:rPr>
                <w:rFonts w:ascii="Times New Roman" w:eastAsia="Times New Roman" w:hAnsi="Times New Roman" w:cs="Times New Roman"/>
                <w:sz w:val="24"/>
                <w:szCs w:val="24"/>
                <w:lang w:eastAsia="lv-LV"/>
              </w:rPr>
              <w:t>2022/2581 ir piemērojamas no 2023. gada 18. jūlija</w:t>
            </w:r>
            <w:r w:rsidR="0032003F" w:rsidRPr="004E3F4A">
              <w:rPr>
                <w:rFonts w:ascii="Times New Roman" w:eastAsia="Times New Roman" w:hAnsi="Times New Roman" w:cs="Times New Roman"/>
                <w:sz w:val="24"/>
                <w:szCs w:val="24"/>
                <w:lang w:eastAsia="lv-LV"/>
              </w:rPr>
              <w:t xml:space="preserve">, </w:t>
            </w:r>
            <w:r w:rsidR="00F11CFF" w:rsidRPr="004E3F4A">
              <w:rPr>
                <w:rFonts w:ascii="Times New Roman" w:eastAsia="Times New Roman" w:hAnsi="Times New Roman" w:cs="Times New Roman"/>
                <w:sz w:val="24"/>
                <w:szCs w:val="24"/>
                <w:lang w:eastAsia="lv-LV"/>
              </w:rPr>
              <w:t>un to</w:t>
            </w:r>
            <w:r w:rsidR="0032003F" w:rsidRPr="004E3F4A">
              <w:rPr>
                <w:rFonts w:ascii="Times New Roman" w:eastAsia="Times New Roman" w:hAnsi="Times New Roman" w:cs="Times New Roman"/>
                <w:sz w:val="24"/>
                <w:szCs w:val="24"/>
                <w:lang w:eastAsia="lv-LV"/>
              </w:rPr>
              <w:t xml:space="preserve"> normas Latvijas Banka piemērotu, ja</w:t>
            </w:r>
            <w:r w:rsidR="00F11CFF" w:rsidRPr="004E3F4A">
              <w:rPr>
                <w:rFonts w:ascii="Times New Roman" w:eastAsia="Times New Roman" w:hAnsi="Times New Roman" w:cs="Times New Roman"/>
                <w:sz w:val="24"/>
                <w:szCs w:val="24"/>
                <w:lang w:eastAsia="lv-LV"/>
              </w:rPr>
              <w:t>,</w:t>
            </w:r>
            <w:r w:rsidR="0032003F" w:rsidRPr="004E3F4A">
              <w:rPr>
                <w:rFonts w:ascii="Times New Roman" w:eastAsia="Times New Roman" w:hAnsi="Times New Roman" w:cs="Times New Roman"/>
                <w:sz w:val="24"/>
                <w:szCs w:val="24"/>
                <w:lang w:eastAsia="lv-LV"/>
              </w:rPr>
              <w:t xml:space="preserve"> šim projektam vēl spēkā neesot, tiktu iesniegta informācija un dokumenti atbilstoši minētajām regulām, kurām ir augstāks juridisks spēks par nacionālajiem tiesību aktiem.</w:t>
            </w:r>
          </w:p>
        </w:tc>
      </w:tr>
      <w:tr w:rsidR="00F62DE2" w:rsidRPr="004E3F4A" w14:paraId="334FA83B" w14:textId="77777777" w:rsidTr="00ED184E">
        <w:trPr>
          <w:trHeight w:val="567"/>
        </w:trPr>
        <w:tc>
          <w:tcPr>
            <w:tcW w:w="1248" w:type="pct"/>
            <w:shd w:val="clear" w:color="auto" w:fill="auto"/>
            <w:hideMark/>
          </w:tcPr>
          <w:p w14:paraId="413D2506"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lastRenderedPageBreak/>
              <w:t>Ietekme uz Latvijas Bankas budžetu</w:t>
            </w:r>
          </w:p>
          <w:p w14:paraId="61C22255"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6FABF7D5" w14:textId="60FEEA42" w:rsidR="00E53DE9" w:rsidRPr="004E3F4A" w:rsidRDefault="0062751E" w:rsidP="00F62DE2">
            <w:pPr>
              <w:spacing w:after="0" w:line="240" w:lineRule="auto"/>
              <w:rPr>
                <w:rFonts w:ascii="Times New Roman" w:eastAsia="Times New Roman" w:hAnsi="Times New Roman" w:cs="Times New Roman"/>
                <w:iCs/>
                <w:sz w:val="24"/>
                <w:szCs w:val="24"/>
                <w:lang w:eastAsia="lv-LV"/>
              </w:rPr>
            </w:pPr>
            <w:r w:rsidRPr="004E3F4A">
              <w:rPr>
                <w:rFonts w:ascii="Times New Roman" w:hAnsi="Times New Roman" w:cs="Times New Roman"/>
                <w:iCs/>
                <w:sz w:val="24"/>
                <w:szCs w:val="24"/>
              </w:rPr>
              <w:t>Nav ietekme</w:t>
            </w:r>
            <w:r w:rsidR="003F3859" w:rsidRPr="004E3F4A">
              <w:rPr>
                <w:rFonts w:ascii="Times New Roman" w:hAnsi="Times New Roman" w:cs="Times New Roman"/>
                <w:iCs/>
                <w:sz w:val="24"/>
                <w:szCs w:val="24"/>
              </w:rPr>
              <w:t>s</w:t>
            </w:r>
            <w:r w:rsidRPr="004E3F4A">
              <w:rPr>
                <w:rFonts w:ascii="Times New Roman" w:hAnsi="Times New Roman" w:cs="Times New Roman"/>
                <w:iCs/>
                <w:sz w:val="24"/>
                <w:szCs w:val="24"/>
              </w:rPr>
              <w:t xml:space="preserve"> uz Latvijas Bankas budžetu</w:t>
            </w:r>
            <w:r w:rsidR="00F62DE2" w:rsidRPr="004E3F4A">
              <w:rPr>
                <w:rFonts w:ascii="Times New Roman" w:hAnsi="Times New Roman" w:cs="Times New Roman"/>
                <w:iCs/>
                <w:sz w:val="24"/>
                <w:szCs w:val="24"/>
              </w:rPr>
              <w:t>.</w:t>
            </w:r>
          </w:p>
        </w:tc>
      </w:tr>
      <w:tr w:rsidR="00F62DE2" w:rsidRPr="004E3F4A" w14:paraId="3AA013AA" w14:textId="77777777" w:rsidTr="00ED184E">
        <w:trPr>
          <w:trHeight w:val="567"/>
        </w:trPr>
        <w:tc>
          <w:tcPr>
            <w:tcW w:w="1248" w:type="pct"/>
            <w:shd w:val="clear" w:color="auto" w:fill="auto"/>
            <w:hideMark/>
          </w:tcPr>
          <w:p w14:paraId="11F5B109"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 xml:space="preserve">Administratīvā sloga un izmaksu novērtējums </w:t>
            </w:r>
            <w:r w:rsidR="00C85C34" w:rsidRPr="004E3F4A">
              <w:rPr>
                <w:rFonts w:ascii="Times New Roman" w:eastAsia="Times New Roman" w:hAnsi="Times New Roman" w:cs="Times New Roman"/>
                <w:b/>
                <w:bCs/>
                <w:sz w:val="24"/>
                <w:szCs w:val="24"/>
                <w:lang w:eastAsia="lv-LV"/>
              </w:rPr>
              <w:t>(</w:t>
            </w:r>
            <w:r w:rsidRPr="004E3F4A">
              <w:rPr>
                <w:rFonts w:ascii="Times New Roman" w:eastAsia="Times New Roman" w:hAnsi="Times New Roman" w:cs="Times New Roman"/>
                <w:b/>
                <w:bCs/>
                <w:sz w:val="24"/>
                <w:szCs w:val="24"/>
                <w:lang w:eastAsia="lv-LV"/>
              </w:rPr>
              <w:t>tirgus dalībniekiem</w:t>
            </w:r>
            <w:r w:rsidR="00C85C34" w:rsidRPr="004E3F4A">
              <w:rPr>
                <w:rFonts w:ascii="Times New Roman" w:eastAsia="Times New Roman" w:hAnsi="Times New Roman" w:cs="Times New Roman"/>
                <w:b/>
                <w:bCs/>
                <w:sz w:val="24"/>
                <w:szCs w:val="24"/>
                <w:lang w:eastAsia="lv-LV"/>
              </w:rPr>
              <w:t>)</w:t>
            </w:r>
          </w:p>
          <w:p w14:paraId="19955254"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1FC0E256" w14:textId="268FF672" w:rsidR="002003FD" w:rsidRPr="004E3F4A" w:rsidRDefault="0042517C" w:rsidP="00C92CBE">
            <w:pPr>
              <w:spacing w:after="120" w:line="240" w:lineRule="auto"/>
              <w:jc w:val="both"/>
              <w:rPr>
                <w:rStyle w:val="cf01"/>
                <w:rFonts w:ascii="Times New Roman" w:hAnsi="Times New Roman" w:cs="Times New Roman"/>
                <w:sz w:val="24"/>
                <w:szCs w:val="24"/>
              </w:rPr>
            </w:pPr>
            <w:r w:rsidRPr="004E3F4A">
              <w:rPr>
                <w:rStyle w:val="cf01"/>
                <w:rFonts w:ascii="Times New Roman" w:hAnsi="Times New Roman" w:cs="Times New Roman"/>
                <w:sz w:val="24"/>
                <w:szCs w:val="24"/>
              </w:rPr>
              <w:t>Salīdzinot ar spēkā esošajiem Noteikumiem Nr. 200</w:t>
            </w:r>
            <w:r w:rsidR="008F6091" w:rsidRPr="004E3F4A">
              <w:rPr>
                <w:rStyle w:val="cf01"/>
                <w:rFonts w:ascii="Times New Roman" w:hAnsi="Times New Roman" w:cs="Times New Roman"/>
                <w:sz w:val="24"/>
                <w:szCs w:val="24"/>
              </w:rPr>
              <w:t xml:space="preserve"> un Noteikumiem Nr.</w:t>
            </w:r>
            <w:r w:rsidR="00125026" w:rsidRPr="004E3F4A">
              <w:rPr>
                <w:rStyle w:val="cf01"/>
                <w:rFonts w:ascii="Times New Roman" w:hAnsi="Times New Roman" w:cs="Times New Roman"/>
                <w:sz w:val="24"/>
                <w:szCs w:val="24"/>
              </w:rPr>
              <w:t> </w:t>
            </w:r>
            <w:r w:rsidR="008F6091" w:rsidRPr="004E3F4A">
              <w:rPr>
                <w:rStyle w:val="cf01"/>
                <w:rFonts w:ascii="Times New Roman" w:hAnsi="Times New Roman" w:cs="Times New Roman"/>
                <w:sz w:val="24"/>
                <w:szCs w:val="24"/>
              </w:rPr>
              <w:t xml:space="preserve">129, </w:t>
            </w:r>
            <w:r w:rsidRPr="004E3F4A">
              <w:rPr>
                <w:rStyle w:val="cf01"/>
                <w:rFonts w:ascii="Times New Roman" w:hAnsi="Times New Roman" w:cs="Times New Roman"/>
                <w:sz w:val="24"/>
                <w:szCs w:val="24"/>
              </w:rPr>
              <w:t xml:space="preserve">projekts neparedz </w:t>
            </w:r>
            <w:r w:rsidR="00D15ACA" w:rsidRPr="004E3F4A">
              <w:rPr>
                <w:rStyle w:val="cf01"/>
                <w:rFonts w:ascii="Times New Roman" w:hAnsi="Times New Roman" w:cs="Times New Roman"/>
                <w:sz w:val="24"/>
                <w:szCs w:val="24"/>
              </w:rPr>
              <w:t xml:space="preserve">būtiskas </w:t>
            </w:r>
            <w:r w:rsidRPr="004E3F4A">
              <w:rPr>
                <w:rStyle w:val="cf01"/>
                <w:rFonts w:ascii="Times New Roman" w:hAnsi="Times New Roman" w:cs="Times New Roman"/>
                <w:sz w:val="24"/>
                <w:szCs w:val="24"/>
              </w:rPr>
              <w:t>jaunas prasības esošajām kredītiestādēm, taču precizē uz tām attiecināmās prasības</w:t>
            </w:r>
            <w:r w:rsidR="005F1BB0" w:rsidRPr="004E3F4A">
              <w:rPr>
                <w:rStyle w:val="cf01"/>
                <w:rFonts w:ascii="Times New Roman" w:hAnsi="Times New Roman" w:cs="Times New Roman"/>
                <w:sz w:val="24"/>
                <w:szCs w:val="24"/>
              </w:rPr>
              <w:t xml:space="preserve">, kā arī pārskata </w:t>
            </w:r>
            <w:r w:rsidR="005F1BB0" w:rsidRPr="004E3F4A">
              <w:rPr>
                <w:rFonts w:ascii="Times New Roman" w:hAnsi="Times New Roman" w:cs="Times New Roman"/>
                <w:sz w:val="24"/>
                <w:szCs w:val="24"/>
              </w:rPr>
              <w:t>kredītiestāde</w:t>
            </w:r>
            <w:r w:rsidR="00F11CFF" w:rsidRPr="004E3F4A">
              <w:rPr>
                <w:rFonts w:ascii="Times New Roman" w:hAnsi="Times New Roman" w:cs="Times New Roman"/>
                <w:sz w:val="24"/>
                <w:szCs w:val="24"/>
              </w:rPr>
              <w:t>s</w:t>
            </w:r>
            <w:r w:rsidR="005F1BB0" w:rsidRPr="004E3F4A">
              <w:rPr>
                <w:rFonts w:ascii="Times New Roman" w:hAnsi="Times New Roman" w:cs="Times New Roman"/>
                <w:sz w:val="24"/>
                <w:szCs w:val="24"/>
              </w:rPr>
              <w:t xml:space="preserve"> sniedzamās informācijas apjom</w:t>
            </w:r>
            <w:r w:rsidR="00125026" w:rsidRPr="004E3F4A">
              <w:rPr>
                <w:rFonts w:ascii="Times New Roman" w:hAnsi="Times New Roman" w:cs="Times New Roman"/>
                <w:sz w:val="24"/>
                <w:szCs w:val="24"/>
              </w:rPr>
              <w:t>u</w:t>
            </w:r>
            <w:r w:rsidR="00290656" w:rsidRPr="004E3F4A">
              <w:rPr>
                <w:rFonts w:ascii="Times New Roman" w:hAnsi="Times New Roman" w:cs="Times New Roman"/>
                <w:sz w:val="24"/>
                <w:szCs w:val="24"/>
              </w:rPr>
              <w:t xml:space="preserve"> un iesniegšanas kārtību</w:t>
            </w:r>
            <w:r w:rsidR="005F1BB0" w:rsidRPr="004E3F4A">
              <w:rPr>
                <w:rFonts w:ascii="Times New Roman" w:hAnsi="Times New Roman" w:cs="Times New Roman"/>
                <w:sz w:val="24"/>
                <w:szCs w:val="24"/>
              </w:rPr>
              <w:t xml:space="preserve">, </w:t>
            </w:r>
            <w:r w:rsidR="00D15ACA" w:rsidRPr="004E3F4A">
              <w:rPr>
                <w:rFonts w:ascii="Times New Roman" w:hAnsi="Times New Roman" w:cs="Times New Roman"/>
                <w:sz w:val="24"/>
                <w:szCs w:val="24"/>
              </w:rPr>
              <w:t xml:space="preserve">kopumā </w:t>
            </w:r>
            <w:r w:rsidR="005F1BB0" w:rsidRPr="004E3F4A">
              <w:rPr>
                <w:rFonts w:ascii="Times New Roman" w:hAnsi="Times New Roman" w:cs="Times New Roman"/>
                <w:sz w:val="24"/>
                <w:szCs w:val="24"/>
              </w:rPr>
              <w:t>samazinot administratīvo slogu.</w:t>
            </w:r>
          </w:p>
          <w:p w14:paraId="38EA4C6A" w14:textId="0B08B533" w:rsidR="00141B3C" w:rsidRPr="004E3F4A" w:rsidRDefault="00867B2F" w:rsidP="00C92CBE">
            <w:pPr>
              <w:spacing w:after="120" w:line="240" w:lineRule="auto"/>
              <w:jc w:val="both"/>
              <w:rPr>
                <w:rFonts w:ascii="Times New Roman" w:eastAsia="Times New Roman" w:hAnsi="Times New Roman" w:cs="Times New Roman"/>
                <w:bCs/>
                <w:sz w:val="24"/>
                <w:szCs w:val="24"/>
                <w:lang w:eastAsia="lv-LV"/>
              </w:rPr>
            </w:pPr>
            <w:r w:rsidRPr="004E3F4A">
              <w:rPr>
                <w:rStyle w:val="cf01"/>
                <w:rFonts w:ascii="Times New Roman" w:hAnsi="Times New Roman" w:cs="Times New Roman"/>
                <w:sz w:val="24"/>
                <w:szCs w:val="24"/>
              </w:rPr>
              <w:t>K</w:t>
            </w:r>
            <w:r w:rsidR="00141B3C" w:rsidRPr="004E3F4A">
              <w:rPr>
                <w:rStyle w:val="cf01"/>
                <w:rFonts w:ascii="Times New Roman" w:hAnsi="Times New Roman" w:cs="Times New Roman"/>
                <w:sz w:val="24"/>
                <w:szCs w:val="24"/>
              </w:rPr>
              <w:t xml:space="preserve">redītiestādes tiek atbrīvotas no pienākuma sniegt informāciju </w:t>
            </w:r>
            <w:r w:rsidR="00141B3C" w:rsidRPr="004E3F4A">
              <w:rPr>
                <w:rFonts w:ascii="Times New Roman" w:eastAsia="Times New Roman" w:hAnsi="Times New Roman" w:cs="Times New Roman"/>
                <w:sz w:val="24"/>
                <w:szCs w:val="24"/>
                <w:lang w:eastAsia="lv-LV"/>
              </w:rPr>
              <w:t>par personām (darbiniekiem), kas kredītiestādē pilda pamatfunkcijas</w:t>
            </w:r>
            <w:r w:rsidR="00125026" w:rsidRPr="004E3F4A">
              <w:rPr>
                <w:rFonts w:ascii="Times New Roman" w:eastAsia="Times New Roman" w:hAnsi="Times New Roman" w:cs="Times New Roman"/>
                <w:sz w:val="24"/>
                <w:szCs w:val="24"/>
                <w:lang w:eastAsia="lv-LV"/>
              </w:rPr>
              <w:t>,</w:t>
            </w:r>
            <w:r w:rsidR="00141B3C" w:rsidRPr="004E3F4A">
              <w:rPr>
                <w:rStyle w:val="cf01"/>
                <w:rFonts w:ascii="Times New Roman" w:hAnsi="Times New Roman" w:cs="Times New Roman"/>
                <w:sz w:val="24"/>
                <w:szCs w:val="24"/>
              </w:rPr>
              <w:t xml:space="preserve"> par </w:t>
            </w:r>
            <w:r w:rsidR="00141B3C" w:rsidRPr="004E3F4A">
              <w:rPr>
                <w:rFonts w:ascii="Times New Roman" w:eastAsia="Times New Roman" w:hAnsi="Times New Roman" w:cs="Times New Roman"/>
                <w:bCs/>
                <w:sz w:val="24"/>
                <w:szCs w:val="24"/>
                <w:lang w:eastAsia="lv-LV"/>
              </w:rPr>
              <w:t>juridiskās adreses maiņu</w:t>
            </w:r>
            <w:r w:rsidR="00290656" w:rsidRPr="004E3F4A">
              <w:rPr>
                <w:rFonts w:ascii="Times New Roman" w:eastAsia="Times New Roman" w:hAnsi="Times New Roman" w:cs="Times New Roman"/>
                <w:bCs/>
                <w:sz w:val="24"/>
                <w:szCs w:val="24"/>
                <w:lang w:eastAsia="lv-LV"/>
              </w:rPr>
              <w:t>, kā arī informēt par Latvijā reģistrētu filiāļu skaitu</w:t>
            </w:r>
            <w:r w:rsidR="00141B3C" w:rsidRPr="004E3F4A">
              <w:rPr>
                <w:rFonts w:ascii="Times New Roman" w:eastAsia="Times New Roman" w:hAnsi="Times New Roman" w:cs="Times New Roman"/>
                <w:bCs/>
                <w:sz w:val="24"/>
                <w:szCs w:val="24"/>
                <w:lang w:eastAsia="lv-LV"/>
              </w:rPr>
              <w:t>.</w:t>
            </w:r>
            <w:r w:rsidR="00555B21">
              <w:rPr>
                <w:rFonts w:ascii="Times New Roman" w:eastAsia="Times New Roman" w:hAnsi="Times New Roman" w:cs="Times New Roman"/>
                <w:bCs/>
                <w:sz w:val="24"/>
                <w:szCs w:val="24"/>
                <w:lang w:eastAsia="lv-LV"/>
              </w:rPr>
              <w:t xml:space="preserve"> Papildus kredītiestādes vairs nesniegs informāciju par pamatkapitāla sadalījumu, kas pieejama Latvijas Republikas Uzņēmumu reģistrā.</w:t>
            </w:r>
          </w:p>
          <w:p w14:paraId="108432DD" w14:textId="72E7EA63" w:rsidR="00A42788" w:rsidRPr="004E3F4A" w:rsidRDefault="00141B3C" w:rsidP="00C92CBE">
            <w:pPr>
              <w:spacing w:after="120" w:line="240" w:lineRule="auto"/>
              <w:jc w:val="both"/>
              <w:rPr>
                <w:rFonts w:ascii="Times New Roman" w:eastAsia="Times New Roman" w:hAnsi="Times New Roman" w:cs="Times New Roman"/>
                <w:sz w:val="24"/>
                <w:szCs w:val="24"/>
                <w:lang w:eastAsia="lv-LV"/>
              </w:rPr>
            </w:pPr>
            <w:r w:rsidRPr="004E3F4A">
              <w:rPr>
                <w:rFonts w:ascii="Times New Roman" w:eastAsia="Times New Roman" w:hAnsi="Times New Roman" w:cs="Times New Roman"/>
                <w:bCs/>
                <w:sz w:val="24"/>
                <w:szCs w:val="24"/>
                <w:lang w:eastAsia="lv-LV"/>
              </w:rPr>
              <w:t>Savukārt būtiskākās izmaiņas attiecībā uz Latvijā dibināmu kredīt</w:t>
            </w:r>
            <w:r w:rsidR="00867B2F" w:rsidRPr="004E3F4A">
              <w:rPr>
                <w:rFonts w:ascii="Times New Roman" w:eastAsia="Times New Roman" w:hAnsi="Times New Roman" w:cs="Times New Roman"/>
                <w:bCs/>
                <w:sz w:val="24"/>
                <w:szCs w:val="24"/>
                <w:lang w:eastAsia="lv-LV"/>
              </w:rPr>
              <w:t>i</w:t>
            </w:r>
            <w:r w:rsidRPr="004E3F4A">
              <w:rPr>
                <w:rFonts w:ascii="Times New Roman" w:eastAsia="Times New Roman" w:hAnsi="Times New Roman" w:cs="Times New Roman"/>
                <w:bCs/>
                <w:sz w:val="24"/>
                <w:szCs w:val="24"/>
                <w:lang w:eastAsia="lv-LV"/>
              </w:rPr>
              <w:t>estādi vai ārvalst</w:t>
            </w:r>
            <w:r w:rsidR="00F11CFF" w:rsidRPr="004E3F4A">
              <w:rPr>
                <w:rFonts w:ascii="Times New Roman" w:eastAsia="Times New Roman" w:hAnsi="Times New Roman" w:cs="Times New Roman"/>
                <w:bCs/>
                <w:sz w:val="24"/>
                <w:szCs w:val="24"/>
                <w:lang w:eastAsia="lv-LV"/>
              </w:rPr>
              <w:t>s</w:t>
            </w:r>
            <w:r w:rsidRPr="004E3F4A">
              <w:rPr>
                <w:rFonts w:ascii="Times New Roman" w:eastAsia="Times New Roman" w:hAnsi="Times New Roman" w:cs="Times New Roman"/>
                <w:bCs/>
                <w:sz w:val="24"/>
                <w:szCs w:val="24"/>
                <w:lang w:eastAsia="lv-LV"/>
              </w:rPr>
              <w:t xml:space="preserve"> kredīt</w:t>
            </w:r>
            <w:r w:rsidR="00867B2F" w:rsidRPr="004E3F4A">
              <w:rPr>
                <w:rFonts w:ascii="Times New Roman" w:eastAsia="Times New Roman" w:hAnsi="Times New Roman" w:cs="Times New Roman"/>
                <w:bCs/>
                <w:sz w:val="24"/>
                <w:szCs w:val="24"/>
                <w:lang w:eastAsia="lv-LV"/>
              </w:rPr>
              <w:t>i</w:t>
            </w:r>
            <w:r w:rsidRPr="004E3F4A">
              <w:rPr>
                <w:rFonts w:ascii="Times New Roman" w:eastAsia="Times New Roman" w:hAnsi="Times New Roman" w:cs="Times New Roman"/>
                <w:bCs/>
                <w:sz w:val="24"/>
                <w:szCs w:val="24"/>
                <w:lang w:eastAsia="lv-LV"/>
              </w:rPr>
              <w:t xml:space="preserve">estādes filiāles </w:t>
            </w:r>
            <w:r w:rsidR="00867B2F" w:rsidRPr="004E3F4A">
              <w:rPr>
                <w:rFonts w:ascii="Times New Roman" w:eastAsia="Times New Roman" w:hAnsi="Times New Roman" w:cs="Times New Roman"/>
                <w:bCs/>
                <w:sz w:val="24"/>
                <w:szCs w:val="24"/>
                <w:lang w:eastAsia="lv-LV"/>
              </w:rPr>
              <w:t>licencēšanu</w:t>
            </w:r>
            <w:r w:rsidRPr="004E3F4A">
              <w:rPr>
                <w:rFonts w:ascii="Times New Roman" w:eastAsia="Times New Roman" w:hAnsi="Times New Roman" w:cs="Times New Roman"/>
                <w:bCs/>
                <w:sz w:val="24"/>
                <w:szCs w:val="24"/>
                <w:lang w:eastAsia="lv-LV"/>
              </w:rPr>
              <w:t xml:space="preserve"> neietekmē esošās kredīt</w:t>
            </w:r>
            <w:r w:rsidR="00867B2F" w:rsidRPr="004E3F4A">
              <w:rPr>
                <w:rFonts w:ascii="Times New Roman" w:eastAsia="Times New Roman" w:hAnsi="Times New Roman" w:cs="Times New Roman"/>
                <w:bCs/>
                <w:sz w:val="24"/>
                <w:szCs w:val="24"/>
                <w:lang w:eastAsia="lv-LV"/>
              </w:rPr>
              <w:t>i</w:t>
            </w:r>
            <w:r w:rsidRPr="004E3F4A">
              <w:rPr>
                <w:rFonts w:ascii="Times New Roman" w:eastAsia="Times New Roman" w:hAnsi="Times New Roman" w:cs="Times New Roman"/>
                <w:bCs/>
                <w:sz w:val="24"/>
                <w:szCs w:val="24"/>
                <w:lang w:eastAsia="lv-LV"/>
              </w:rPr>
              <w:t>estādes, bet gan būs attiecināmas uz tām personām, kas nākotnē vēlēsies saņemt licenci (atļauju) kredītiestādes darbībai.</w:t>
            </w:r>
          </w:p>
        </w:tc>
      </w:tr>
      <w:tr w:rsidR="00F62DE2" w:rsidRPr="004E3F4A" w14:paraId="3F88AC9B" w14:textId="77777777" w:rsidTr="00ED184E">
        <w:trPr>
          <w:trHeight w:val="567"/>
        </w:trPr>
        <w:tc>
          <w:tcPr>
            <w:tcW w:w="1248" w:type="pct"/>
            <w:shd w:val="clear" w:color="auto" w:fill="auto"/>
            <w:hideMark/>
          </w:tcPr>
          <w:p w14:paraId="2A1F3042"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Saistītie dokumenti</w:t>
            </w:r>
          </w:p>
          <w:p w14:paraId="098B231B"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65BCFE57" w14:textId="10FE4D4E" w:rsidR="00674B05" w:rsidRPr="004E3F4A" w:rsidRDefault="00BF1839" w:rsidP="00555B21">
            <w:pPr>
              <w:pStyle w:val="NApunkts2"/>
              <w:numPr>
                <w:ilvl w:val="0"/>
                <w:numId w:val="23"/>
              </w:numPr>
              <w:tabs>
                <w:tab w:val="left" w:pos="487"/>
              </w:tabs>
              <w:spacing w:after="120"/>
              <w:ind w:left="0" w:firstLine="0"/>
            </w:pPr>
            <w:r w:rsidRPr="004E3F4A">
              <w:t>Kredītiestāžu likums;</w:t>
            </w:r>
          </w:p>
          <w:p w14:paraId="050FB705" w14:textId="0D6CAA12" w:rsidR="00E53DE9" w:rsidRPr="004E3F4A" w:rsidRDefault="00C762C2" w:rsidP="008A1BE8">
            <w:pPr>
              <w:pStyle w:val="NApunkts2"/>
              <w:numPr>
                <w:ilvl w:val="0"/>
                <w:numId w:val="23"/>
              </w:numPr>
              <w:tabs>
                <w:tab w:val="left" w:pos="487"/>
              </w:tabs>
              <w:spacing w:after="120"/>
              <w:ind w:left="0" w:firstLine="0"/>
            </w:pPr>
            <w:r w:rsidRPr="004E3F4A">
              <w:t>Noteikumi Nr. 200</w:t>
            </w:r>
            <w:r w:rsidR="00BF1839" w:rsidRPr="004E3F4A">
              <w:t>;</w:t>
            </w:r>
          </w:p>
          <w:p w14:paraId="6DFC29A9" w14:textId="1CC51F40" w:rsidR="007F48B8" w:rsidRPr="004E3F4A" w:rsidRDefault="00F94C41" w:rsidP="008A1BE8">
            <w:pPr>
              <w:pStyle w:val="NApunkts2"/>
              <w:numPr>
                <w:ilvl w:val="0"/>
                <w:numId w:val="23"/>
              </w:numPr>
              <w:tabs>
                <w:tab w:val="left" w:pos="487"/>
              </w:tabs>
              <w:spacing w:after="120"/>
              <w:ind w:left="0" w:firstLine="0"/>
            </w:pPr>
            <w:r w:rsidRPr="004E3F4A">
              <w:t>Noteikumi Nr. 129</w:t>
            </w:r>
            <w:r w:rsidR="007F48B8" w:rsidRPr="004E3F4A">
              <w:t>;</w:t>
            </w:r>
          </w:p>
          <w:p w14:paraId="56E2AEAD" w14:textId="46AC4E88" w:rsidR="00337C41" w:rsidRPr="004E3F4A" w:rsidRDefault="00337C41" w:rsidP="008A1BE8">
            <w:pPr>
              <w:pStyle w:val="NApunkts2"/>
              <w:numPr>
                <w:ilvl w:val="0"/>
                <w:numId w:val="23"/>
              </w:numPr>
              <w:tabs>
                <w:tab w:val="left" w:pos="487"/>
              </w:tabs>
              <w:spacing w:after="120"/>
              <w:ind w:left="0" w:firstLine="0"/>
            </w:pPr>
            <w:r w:rsidRPr="004E3F4A">
              <w:t>Eiropas Parlamenta un Padomes 2013.</w:t>
            </w:r>
            <w:r w:rsidR="009F3E0C" w:rsidRPr="004E3F4A">
              <w:t> </w:t>
            </w:r>
            <w:r w:rsidRPr="004E3F4A">
              <w:t>gada 26.</w:t>
            </w:r>
            <w:r w:rsidR="009F3E0C" w:rsidRPr="004E3F4A">
              <w:t> </w:t>
            </w:r>
            <w:r w:rsidRPr="004E3F4A">
              <w:t>jūnija direktīva 2013/36/ES par piekļuvi kredītiestāžu darbībai un kredītiestāžu prudenciālo uzraudzību, ar ko groza direktīvu 2002/87/EK un atceļ direktīvas 2006/48/EK un 2006/49/EK</w:t>
            </w:r>
            <w:r w:rsidR="00C92CBE" w:rsidRPr="004E3F4A">
              <w:t>;</w:t>
            </w:r>
          </w:p>
          <w:p w14:paraId="15FE00A4" w14:textId="7F6F7D0B" w:rsidR="00BF1839" w:rsidRPr="004E3F4A" w:rsidRDefault="00F94C41" w:rsidP="008A1BE8">
            <w:pPr>
              <w:pStyle w:val="NApunkts2"/>
              <w:numPr>
                <w:ilvl w:val="0"/>
                <w:numId w:val="23"/>
              </w:numPr>
              <w:tabs>
                <w:tab w:val="left" w:pos="487"/>
              </w:tabs>
              <w:spacing w:after="120"/>
              <w:ind w:left="0" w:firstLine="0"/>
            </w:pPr>
            <w:r w:rsidRPr="004E3F4A">
              <w:t>Regula Nr. 2022/2580</w:t>
            </w:r>
            <w:r w:rsidR="00BF1839" w:rsidRPr="004E3F4A">
              <w:t>;</w:t>
            </w:r>
          </w:p>
          <w:p w14:paraId="782957C4" w14:textId="731CFF16" w:rsidR="00AB423A" w:rsidRPr="004E3F4A" w:rsidRDefault="00F94C41" w:rsidP="008A1BE8">
            <w:pPr>
              <w:pStyle w:val="NApunkts2"/>
              <w:numPr>
                <w:ilvl w:val="0"/>
                <w:numId w:val="23"/>
              </w:numPr>
              <w:tabs>
                <w:tab w:val="left" w:pos="487"/>
              </w:tabs>
              <w:spacing w:after="120"/>
              <w:ind w:left="0" w:firstLine="0"/>
            </w:pPr>
            <w:r w:rsidRPr="004E3F4A">
              <w:t>Regula Nr. 2022/2581</w:t>
            </w:r>
            <w:r w:rsidR="00AB423A" w:rsidRPr="004E3F4A">
              <w:t>;</w:t>
            </w:r>
          </w:p>
          <w:p w14:paraId="27033BD3" w14:textId="1BA476E6" w:rsidR="00337C41" w:rsidRPr="004E3F4A" w:rsidRDefault="00337C41" w:rsidP="008A1BE8">
            <w:pPr>
              <w:pStyle w:val="NApunkts2"/>
              <w:numPr>
                <w:ilvl w:val="0"/>
                <w:numId w:val="23"/>
              </w:numPr>
              <w:tabs>
                <w:tab w:val="left" w:pos="487"/>
              </w:tabs>
              <w:spacing w:after="120"/>
              <w:ind w:left="0" w:firstLine="0"/>
            </w:pPr>
            <w:r w:rsidRPr="004E3F4A">
              <w:t>Komisijas 2014.</w:t>
            </w:r>
            <w:r w:rsidR="009F3E0C" w:rsidRPr="004E3F4A">
              <w:t> </w:t>
            </w:r>
            <w:r w:rsidRPr="004E3F4A">
              <w:t>gada 27.</w:t>
            </w:r>
            <w:r w:rsidR="009F3E0C" w:rsidRPr="004E3F4A">
              <w:t> </w:t>
            </w:r>
            <w:r w:rsidRPr="004E3F4A">
              <w:t>augusta īstenošanas regula (ES)</w:t>
            </w:r>
            <w:r w:rsidR="009F3E0C" w:rsidRPr="004E3F4A">
              <w:t> </w:t>
            </w:r>
            <w:r w:rsidRPr="004E3F4A">
              <w:t>Nr.</w:t>
            </w:r>
            <w:r w:rsidR="009F3E0C" w:rsidRPr="004E3F4A">
              <w:t> </w:t>
            </w:r>
            <w:r w:rsidRPr="004E3F4A">
              <w:t>926/2014, ar ko nosaka īstenošanas tehniskos standartus attiecībā uz standarta veidlapām, veidnēm un procedūrām paziņojumiem attiecībā uz tiesību veikt uzņēmējdarbību un pakalpojumu sniegšanas brīvības īstenošanu saskaņā ar Eiropas Parlamenta un Padomes direktīvu 2013/36/ES;</w:t>
            </w:r>
          </w:p>
          <w:p w14:paraId="48023FFB" w14:textId="335D8885" w:rsidR="00337C41" w:rsidRPr="004E3F4A" w:rsidRDefault="00337C41" w:rsidP="008A1BE8">
            <w:pPr>
              <w:pStyle w:val="NApunkts2"/>
              <w:numPr>
                <w:ilvl w:val="0"/>
                <w:numId w:val="23"/>
              </w:numPr>
              <w:tabs>
                <w:tab w:val="left" w:pos="487"/>
              </w:tabs>
              <w:spacing w:after="120"/>
              <w:ind w:left="0" w:firstLine="0"/>
            </w:pPr>
            <w:r w:rsidRPr="004E3F4A">
              <w:lastRenderedPageBreak/>
              <w:t>Komisijas 2014.</w:t>
            </w:r>
            <w:r w:rsidR="009F3E0C" w:rsidRPr="004E3F4A">
              <w:t> </w:t>
            </w:r>
            <w:r w:rsidRPr="004E3F4A">
              <w:t>gada 4.</w:t>
            </w:r>
            <w:r w:rsidR="009F3E0C" w:rsidRPr="004E3F4A">
              <w:t> </w:t>
            </w:r>
            <w:r w:rsidRPr="004E3F4A">
              <w:t>jūnija deleģētā regula (ES) Nr. 1151/2014, ar ko saistībā ar informāciju, kura jāsniedz, ja tiek izmantotas tiesības veikt uzņēmējdarbību un īstenota pakalpojumu sniegšanas brīvība, papildina Eiropas Parlamenta un Padomes direktīvu 2013/36/ES attiecībā uz regulatīvajiem tehniskajiem standartiem;</w:t>
            </w:r>
          </w:p>
          <w:p w14:paraId="23327BDB" w14:textId="2D49CFD2" w:rsidR="00C02E5E" w:rsidRPr="004E3F4A" w:rsidRDefault="00C02E5E" w:rsidP="008A1BE8">
            <w:pPr>
              <w:pStyle w:val="NApunkts2"/>
              <w:numPr>
                <w:ilvl w:val="0"/>
                <w:numId w:val="23"/>
              </w:numPr>
              <w:tabs>
                <w:tab w:val="left" w:pos="487"/>
              </w:tabs>
              <w:spacing w:after="120"/>
              <w:ind w:left="0" w:firstLine="0"/>
            </w:pPr>
            <w:r w:rsidRPr="004E3F4A">
              <w:t>Padomes 2013. gada 15. oktobra regula (ES) Nr. 1024/2013, ar ko Eiropas Centrālajai bankai uztic īpašus uzdevumus saistībā ar politikas nostādnēm, kas attiecas uz kredītiestāžu prudenciālo uzraudzību;</w:t>
            </w:r>
          </w:p>
          <w:p w14:paraId="18E790F7" w14:textId="065265DE" w:rsidR="00632880" w:rsidRPr="004E3F4A" w:rsidRDefault="00632880" w:rsidP="008A1BE8">
            <w:pPr>
              <w:pStyle w:val="NApunkts2"/>
              <w:numPr>
                <w:ilvl w:val="0"/>
                <w:numId w:val="23"/>
              </w:numPr>
              <w:tabs>
                <w:tab w:val="left" w:pos="487"/>
              </w:tabs>
              <w:spacing w:after="120"/>
              <w:ind w:left="0" w:firstLine="0"/>
            </w:pPr>
            <w:r w:rsidRPr="004E3F4A">
              <w:t>Eiropas Centrālās bankas 2014. gada 16. aprīļa regula (ES) Nr. 468/2014, ar ko izveido vienotā uzraudzības mehānisma pamatstruktūru Eiropas Centrālās bankas sadarbībai ar nacionālajām kompetentajām un norīkotajām iestādēm;</w:t>
            </w:r>
          </w:p>
          <w:p w14:paraId="12A82004" w14:textId="4617C6C9" w:rsidR="00844993" w:rsidRPr="004E3F4A" w:rsidRDefault="00844993" w:rsidP="008A1BE8">
            <w:pPr>
              <w:pStyle w:val="NApunkts2"/>
              <w:numPr>
                <w:ilvl w:val="0"/>
                <w:numId w:val="23"/>
              </w:numPr>
              <w:tabs>
                <w:tab w:val="left" w:pos="487"/>
              </w:tabs>
              <w:spacing w:after="120"/>
              <w:ind w:left="0" w:firstLine="0"/>
            </w:pPr>
            <w:r w:rsidRPr="004E3F4A">
              <w:t>Finanšu un kapitāla tirgus komisijas 2020.</w:t>
            </w:r>
            <w:r w:rsidR="007A5AF4" w:rsidRPr="004E3F4A">
              <w:t> </w:t>
            </w:r>
            <w:r w:rsidRPr="004E3F4A">
              <w:t>gada 4.</w:t>
            </w:r>
            <w:r w:rsidR="007A5AF4" w:rsidRPr="004E3F4A">
              <w:t> </w:t>
            </w:r>
            <w:r w:rsidRPr="004E3F4A">
              <w:t>augusta normatīvie noteikumi Nr.</w:t>
            </w:r>
            <w:r w:rsidR="007A5AF4" w:rsidRPr="004E3F4A">
              <w:t> </w:t>
            </w:r>
            <w:r w:rsidRPr="004E3F4A">
              <w:t>113 ''Kredītiestāžu, ieguldījumu brokeru sabiedrību un ieguldījumu pārvaldes sabiedrību gada pārskata un konsolidētā gada pārskata sagatavošanas normatīv</w:t>
            </w:r>
            <w:r w:rsidR="00F11CFF" w:rsidRPr="004E3F4A">
              <w:t>ie</w:t>
            </w:r>
            <w:r w:rsidRPr="004E3F4A">
              <w:t xml:space="preserve"> noteikumi''</w:t>
            </w:r>
            <w:r w:rsidR="007A5AF4" w:rsidRPr="004E3F4A">
              <w:t>;</w:t>
            </w:r>
          </w:p>
          <w:p w14:paraId="1F98D238" w14:textId="4AD17B68" w:rsidR="00CE0DD5" w:rsidRPr="004E3F4A" w:rsidRDefault="00844993" w:rsidP="008A1BE8">
            <w:pPr>
              <w:pStyle w:val="NApunkts2"/>
              <w:numPr>
                <w:ilvl w:val="0"/>
                <w:numId w:val="23"/>
              </w:numPr>
              <w:tabs>
                <w:tab w:val="left" w:pos="487"/>
              </w:tabs>
              <w:spacing w:after="120"/>
              <w:ind w:left="0" w:firstLine="0"/>
            </w:pPr>
            <w:r w:rsidRPr="004E3F4A">
              <w:t>34. Starptautiskais Grāmatvedības standarts, kas pieņemts ar</w:t>
            </w:r>
            <w:r w:rsidR="00EB417B" w:rsidRPr="004E3F4A">
              <w:t xml:space="preserve"> Komisijas 2008.</w:t>
            </w:r>
            <w:r w:rsidR="00674B05" w:rsidRPr="004E3F4A">
              <w:t> </w:t>
            </w:r>
            <w:r w:rsidR="00EB417B" w:rsidRPr="004E3F4A">
              <w:t>gada 3.</w:t>
            </w:r>
            <w:r w:rsidR="00674B05" w:rsidRPr="004E3F4A">
              <w:t> </w:t>
            </w:r>
            <w:r w:rsidR="00EB417B" w:rsidRPr="004E3F4A">
              <w:t>novembra regulu</w:t>
            </w:r>
            <w:r w:rsidRPr="004E3F4A">
              <w:t xml:space="preserve"> Nr.</w:t>
            </w:r>
            <w:r w:rsidR="006115DC" w:rsidRPr="004E3F4A">
              <w:t> </w:t>
            </w:r>
            <w:r w:rsidRPr="004E3F4A">
              <w:t>1126/2008</w:t>
            </w:r>
            <w:r w:rsidR="00EB417B" w:rsidRPr="004E3F4A">
              <w:t xml:space="preserve">, </w:t>
            </w:r>
            <w:r w:rsidRPr="004E3F4A">
              <w:t xml:space="preserve">ar ko pieņem vairākus starptautiskos grāmatvedības standartus saskaņā ar Eiropas Parlamenta un Padomes </w:t>
            </w:r>
            <w:r w:rsidR="006C26FB" w:rsidRPr="004E3F4A">
              <w:t>r</w:t>
            </w:r>
            <w:r w:rsidRPr="004E3F4A">
              <w:t>egulu (EK) Nr.</w:t>
            </w:r>
            <w:r w:rsidR="00674B05" w:rsidRPr="004E3F4A">
              <w:t> </w:t>
            </w:r>
            <w:r w:rsidRPr="004E3F4A">
              <w:t>1606/2002</w:t>
            </w:r>
            <w:r w:rsidR="00CE0DD5" w:rsidRPr="004E3F4A">
              <w:t>;</w:t>
            </w:r>
          </w:p>
          <w:p w14:paraId="6704BBA5" w14:textId="7A5728D5" w:rsidR="006E2CBC" w:rsidRDefault="0057790E" w:rsidP="005E047F">
            <w:pPr>
              <w:pStyle w:val="NApunkts2"/>
              <w:numPr>
                <w:ilvl w:val="0"/>
                <w:numId w:val="23"/>
              </w:numPr>
              <w:tabs>
                <w:tab w:val="left" w:pos="487"/>
              </w:tabs>
              <w:spacing w:after="120"/>
              <w:ind w:left="0" w:firstLine="0"/>
            </w:pPr>
            <w:r w:rsidRPr="004E3F4A">
              <w:t>Finanšu un kapitāla tirgus komisijas 2020.</w:t>
            </w:r>
            <w:r w:rsidR="00674B05" w:rsidRPr="004E3F4A">
              <w:t> </w:t>
            </w:r>
            <w:r w:rsidRPr="004E3F4A">
              <w:t>gada 27.</w:t>
            </w:r>
            <w:r w:rsidR="00674B05" w:rsidRPr="004E3F4A">
              <w:t> </w:t>
            </w:r>
            <w:r w:rsidRPr="004E3F4A">
              <w:t>oktobra</w:t>
            </w:r>
            <w:r w:rsidR="00674B05" w:rsidRPr="004E3F4A">
              <w:t xml:space="preserve"> </w:t>
            </w:r>
            <w:r w:rsidRPr="004E3F4A">
              <w:t>normatīvie</w:t>
            </w:r>
            <w:r w:rsidR="00674B05" w:rsidRPr="004E3F4A">
              <w:t xml:space="preserve"> </w:t>
            </w:r>
            <w:r w:rsidRPr="004E3F4A">
              <w:t>noteikumi</w:t>
            </w:r>
            <w:r w:rsidR="00674B05" w:rsidRPr="004E3F4A">
              <w:t xml:space="preserve"> </w:t>
            </w:r>
            <w:r w:rsidRPr="004E3F4A">
              <w:t>Nr.</w:t>
            </w:r>
            <w:r w:rsidR="00674B05" w:rsidRPr="004E3F4A">
              <w:t> </w:t>
            </w:r>
            <w:r w:rsidRPr="004E3F4A">
              <w:t>201 ''Kārtība, kādā iesniedzama informācija un dokumenti kredītiestāžu un ieguldījumu brokeru sabiedrību amatpersonu piemērotības novērtēšanai''</w:t>
            </w:r>
            <w:r w:rsidR="00555B21">
              <w:t>;</w:t>
            </w:r>
          </w:p>
          <w:p w14:paraId="39CE6F18" w14:textId="2E85F45E" w:rsidR="00555B21" w:rsidRPr="004E3F4A" w:rsidRDefault="00555B21" w:rsidP="005E047F">
            <w:pPr>
              <w:pStyle w:val="NApunkts2"/>
              <w:numPr>
                <w:ilvl w:val="0"/>
                <w:numId w:val="23"/>
              </w:numPr>
              <w:tabs>
                <w:tab w:val="left" w:pos="487"/>
              </w:tabs>
              <w:spacing w:after="120"/>
              <w:ind w:left="0" w:firstLine="0"/>
            </w:pPr>
            <w:r>
              <w:t>Latvijas Bankas 2022. gada 24. oktobra noteikumi Nr. 226 "</w:t>
            </w:r>
            <w:r w:rsidRPr="00555B21">
              <w:t>Noteikumi par elektronisko informācijas apmaiņu ar Latvijas Banku</w:t>
            </w:r>
            <w:r>
              <w:t>"</w:t>
            </w:r>
            <w:r w:rsidR="00A930E9">
              <w:t>.</w:t>
            </w:r>
          </w:p>
        </w:tc>
      </w:tr>
      <w:tr w:rsidR="00F62DE2" w:rsidRPr="004E3F4A" w14:paraId="48A1FBA5" w14:textId="77777777" w:rsidTr="00ED184E">
        <w:trPr>
          <w:trHeight w:val="567"/>
        </w:trPr>
        <w:tc>
          <w:tcPr>
            <w:tcW w:w="1248" w:type="pct"/>
            <w:shd w:val="clear" w:color="auto" w:fill="auto"/>
            <w:hideMark/>
          </w:tcPr>
          <w:p w14:paraId="79529BAF"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lastRenderedPageBreak/>
              <w:t>Saskaņošana ar Eiropas Centrālo banku</w:t>
            </w:r>
          </w:p>
          <w:p w14:paraId="712B7F8F"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2CC97BE0" w14:textId="1067EE96" w:rsidR="00A42788" w:rsidRPr="004E3F4A" w:rsidRDefault="0062751E" w:rsidP="00F62DE2">
            <w:pPr>
              <w:spacing w:after="0" w:line="240" w:lineRule="auto"/>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Nav nepieciešama</w:t>
            </w:r>
            <w:r w:rsidR="00F62DE2" w:rsidRPr="004E3F4A">
              <w:rPr>
                <w:rFonts w:ascii="Times New Roman" w:eastAsia="Times New Roman" w:hAnsi="Times New Roman" w:cs="Times New Roman"/>
                <w:sz w:val="24"/>
                <w:szCs w:val="24"/>
                <w:lang w:eastAsia="lv-LV"/>
              </w:rPr>
              <w:t>.</w:t>
            </w:r>
          </w:p>
        </w:tc>
      </w:tr>
      <w:tr w:rsidR="00F62DE2" w:rsidRPr="004E3F4A" w14:paraId="1F40980D" w14:textId="77777777" w:rsidTr="00ED184E">
        <w:trPr>
          <w:trHeight w:val="567"/>
        </w:trPr>
        <w:tc>
          <w:tcPr>
            <w:tcW w:w="1248" w:type="pct"/>
            <w:shd w:val="clear" w:color="auto" w:fill="auto"/>
            <w:hideMark/>
          </w:tcPr>
          <w:p w14:paraId="093FB66C"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Saskaņošana ar citām publiskām un privātām personām</w:t>
            </w:r>
          </w:p>
          <w:p w14:paraId="6C45F9AA"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36715AD6" w14:textId="7DF6F6A6" w:rsidR="009F2F3C" w:rsidRPr="004E3F4A" w:rsidRDefault="009F2F3C" w:rsidP="009F2F3C">
            <w:pPr>
              <w:jc w:val="both"/>
              <w:rPr>
                <w:rFonts w:ascii="Times New Roman" w:hAnsi="Times New Roman" w:cs="Times New Roman"/>
                <w:sz w:val="24"/>
                <w:szCs w:val="24"/>
                <w:lang w:eastAsia="lv-LV"/>
              </w:rPr>
            </w:pPr>
            <w:r w:rsidRPr="004E3F4A">
              <w:rPr>
                <w:rFonts w:ascii="Times New Roman" w:hAnsi="Times New Roman" w:cs="Times New Roman"/>
                <w:sz w:val="24"/>
                <w:szCs w:val="24"/>
                <w:lang w:eastAsia="lv-LV"/>
              </w:rPr>
              <w:t xml:space="preserve">Noteikumu projekts </w:t>
            </w:r>
            <w:r w:rsidR="00D947EA" w:rsidRPr="004E3F4A">
              <w:rPr>
                <w:rFonts w:ascii="Times New Roman" w:hAnsi="Times New Roman" w:cs="Times New Roman"/>
                <w:sz w:val="24"/>
                <w:szCs w:val="24"/>
                <w:lang w:eastAsia="lv-LV"/>
              </w:rPr>
              <w:t xml:space="preserve">2023. gada 27. septembrī </w:t>
            </w:r>
            <w:r w:rsidR="008D12B8" w:rsidRPr="004E3F4A">
              <w:rPr>
                <w:rFonts w:ascii="Times New Roman" w:hAnsi="Times New Roman" w:cs="Times New Roman"/>
                <w:sz w:val="24"/>
                <w:szCs w:val="24"/>
                <w:lang w:eastAsia="lv-LV"/>
              </w:rPr>
              <w:t>tika</w:t>
            </w:r>
            <w:r w:rsidRPr="004E3F4A">
              <w:rPr>
                <w:rFonts w:ascii="Times New Roman" w:hAnsi="Times New Roman" w:cs="Times New Roman"/>
                <w:sz w:val="24"/>
                <w:szCs w:val="24"/>
                <w:lang w:eastAsia="lv-LV"/>
              </w:rPr>
              <w:t xml:space="preserve"> publicēts Latvijas Bankas tīmekļvietnes </w:t>
            </w:r>
            <w:hyperlink r:id="rId11" w:history="1">
              <w:r w:rsidRPr="004E3F4A">
                <w:rPr>
                  <w:rStyle w:val="Hyperlink"/>
                  <w:rFonts w:ascii="Times New Roman" w:hAnsi="Times New Roman" w:cs="Times New Roman"/>
                  <w:sz w:val="24"/>
                  <w:szCs w:val="24"/>
                  <w:lang w:eastAsia="lv-LV"/>
                </w:rPr>
                <w:t>www.bank.lv</w:t>
              </w:r>
            </w:hyperlink>
            <w:r w:rsidRPr="004E3F4A">
              <w:rPr>
                <w:rFonts w:ascii="Times New Roman" w:hAnsi="Times New Roman" w:cs="Times New Roman"/>
                <w:sz w:val="24"/>
                <w:szCs w:val="24"/>
                <w:lang w:eastAsia="lv-LV"/>
              </w:rPr>
              <w:t xml:space="preserve"> sadaļā "Sabiedrības līdzdalība", un par to </w:t>
            </w:r>
            <w:r w:rsidR="008D12B8" w:rsidRPr="004E3F4A">
              <w:rPr>
                <w:rFonts w:ascii="Times New Roman" w:hAnsi="Times New Roman" w:cs="Times New Roman"/>
                <w:sz w:val="24"/>
                <w:szCs w:val="24"/>
                <w:lang w:eastAsia="lv-LV"/>
              </w:rPr>
              <w:t>bija</w:t>
            </w:r>
            <w:r w:rsidRPr="004E3F4A">
              <w:rPr>
                <w:rFonts w:ascii="Times New Roman" w:hAnsi="Times New Roman" w:cs="Times New Roman"/>
                <w:sz w:val="24"/>
                <w:szCs w:val="24"/>
                <w:lang w:eastAsia="lv-LV"/>
              </w:rPr>
              <w:t xml:space="preserve"> iespējama sabiedrības līdzdalība. </w:t>
            </w:r>
          </w:p>
          <w:p w14:paraId="04F6AC08" w14:textId="64B5C722" w:rsidR="008D12B8" w:rsidRPr="004E3F4A" w:rsidRDefault="009F2F3C" w:rsidP="00555B21">
            <w:pPr>
              <w:spacing w:after="120" w:line="240" w:lineRule="auto"/>
              <w:jc w:val="both"/>
              <w:rPr>
                <w:rFonts w:ascii="Times New Roman" w:hAnsi="Times New Roman" w:cs="Times New Roman"/>
                <w:sz w:val="24"/>
                <w:szCs w:val="24"/>
                <w:lang w:eastAsia="lv-LV"/>
              </w:rPr>
            </w:pPr>
            <w:r w:rsidRPr="004E3F4A">
              <w:rPr>
                <w:rFonts w:ascii="Times New Roman" w:hAnsi="Times New Roman" w:cs="Times New Roman"/>
                <w:sz w:val="24"/>
                <w:szCs w:val="24"/>
                <w:lang w:eastAsia="lv-LV"/>
              </w:rPr>
              <w:t>Vienlaikus par noteikumu projektu un notiekošo sabiedrības līdzdalību</w:t>
            </w:r>
            <w:r w:rsidR="009F70FC" w:rsidRPr="004E3F4A">
              <w:rPr>
                <w:rFonts w:ascii="Times New Roman" w:hAnsi="Times New Roman" w:cs="Times New Roman"/>
                <w:sz w:val="24"/>
                <w:szCs w:val="24"/>
                <w:lang w:eastAsia="lv-LV"/>
              </w:rPr>
              <w:t xml:space="preserve"> </w:t>
            </w:r>
            <w:r w:rsidR="005239D1">
              <w:rPr>
                <w:rFonts w:ascii="Times New Roman" w:hAnsi="Times New Roman" w:cs="Times New Roman"/>
                <w:sz w:val="24"/>
                <w:szCs w:val="24"/>
                <w:lang w:eastAsia="lv-LV"/>
              </w:rPr>
              <w:t xml:space="preserve">2023.gada 3.oktobrī </w:t>
            </w:r>
            <w:r w:rsidRPr="004E3F4A">
              <w:rPr>
                <w:rFonts w:ascii="Times New Roman" w:hAnsi="Times New Roman" w:cs="Times New Roman"/>
                <w:sz w:val="24"/>
                <w:szCs w:val="24"/>
                <w:lang w:eastAsia="lv-LV"/>
              </w:rPr>
              <w:t>individuāli tik</w:t>
            </w:r>
            <w:r w:rsidR="008D12B8" w:rsidRPr="004E3F4A">
              <w:rPr>
                <w:rFonts w:ascii="Times New Roman" w:hAnsi="Times New Roman" w:cs="Times New Roman"/>
                <w:sz w:val="24"/>
                <w:szCs w:val="24"/>
                <w:lang w:eastAsia="lv-LV"/>
              </w:rPr>
              <w:t>a</w:t>
            </w:r>
            <w:r w:rsidRPr="004E3F4A">
              <w:rPr>
                <w:rFonts w:ascii="Times New Roman" w:hAnsi="Times New Roman" w:cs="Times New Roman"/>
                <w:sz w:val="24"/>
                <w:szCs w:val="24"/>
                <w:lang w:eastAsia="lv-LV"/>
              </w:rPr>
              <w:t xml:space="preserve"> informēta Latvijas Finanšu nozares asociācija</w:t>
            </w:r>
            <w:r w:rsidR="00555B21">
              <w:rPr>
                <w:rFonts w:ascii="Times New Roman" w:hAnsi="Times New Roman" w:cs="Times New Roman"/>
                <w:sz w:val="24"/>
                <w:szCs w:val="24"/>
                <w:lang w:eastAsia="lv-LV"/>
              </w:rPr>
              <w:t xml:space="preserve">, kā arī </w:t>
            </w:r>
            <w:r w:rsidR="00555B21" w:rsidRPr="00555B21">
              <w:rPr>
                <w:rFonts w:ascii="Times New Roman" w:hAnsi="Times New Roman" w:cs="Times New Roman"/>
                <w:sz w:val="24"/>
                <w:szCs w:val="24"/>
                <w:lang w:eastAsia="lv-LV"/>
              </w:rPr>
              <w:t>ārpus asociācijām esošie finanšu tirgus dalībnieki, kuriem saistoša projektā ietverto prasību izpilde</w:t>
            </w:r>
            <w:r w:rsidRPr="004E3F4A">
              <w:rPr>
                <w:rFonts w:ascii="Times New Roman" w:hAnsi="Times New Roman" w:cs="Times New Roman"/>
                <w:sz w:val="24"/>
                <w:szCs w:val="24"/>
                <w:lang w:eastAsia="lv-LV"/>
              </w:rPr>
              <w:t>.</w:t>
            </w:r>
          </w:p>
          <w:p w14:paraId="5387E3F2" w14:textId="76AA7926" w:rsidR="00DB7F9B" w:rsidRPr="004E3F4A" w:rsidRDefault="009F2F3C" w:rsidP="009F2F3C">
            <w:pPr>
              <w:spacing w:after="0" w:line="240" w:lineRule="auto"/>
              <w:jc w:val="both"/>
              <w:rPr>
                <w:rFonts w:ascii="Times New Roman" w:eastAsia="Times New Roman" w:hAnsi="Times New Roman" w:cs="Times New Roman"/>
                <w:sz w:val="24"/>
                <w:szCs w:val="24"/>
                <w:lang w:eastAsia="lv-LV"/>
              </w:rPr>
            </w:pPr>
            <w:r w:rsidRPr="004E3F4A">
              <w:rPr>
                <w:rFonts w:ascii="Times New Roman" w:hAnsi="Times New Roman" w:cs="Times New Roman"/>
                <w:sz w:val="24"/>
                <w:szCs w:val="24"/>
                <w:lang w:eastAsia="lv-LV"/>
              </w:rPr>
              <w:t>Noteikumu projekts tiks iesniegts izskatīšanai Latvijas Bankas konsultatīvās finanšu tirgus padomes sēdē.</w:t>
            </w:r>
          </w:p>
        </w:tc>
      </w:tr>
      <w:tr w:rsidR="00F62DE2" w:rsidRPr="004E3F4A" w14:paraId="542C6B80" w14:textId="77777777" w:rsidTr="00ED184E">
        <w:trPr>
          <w:trHeight w:val="567"/>
        </w:trPr>
        <w:tc>
          <w:tcPr>
            <w:tcW w:w="1248" w:type="pct"/>
            <w:shd w:val="clear" w:color="auto" w:fill="auto"/>
            <w:hideMark/>
          </w:tcPr>
          <w:p w14:paraId="0C15FC19"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Saskaņošanas rezultāti</w:t>
            </w:r>
          </w:p>
          <w:p w14:paraId="42750899"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1ED7B44B" w14:textId="30C42952" w:rsidR="00E53DE9" w:rsidRPr="004E3F4A" w:rsidRDefault="00B964A5" w:rsidP="00CA05B8">
            <w:pPr>
              <w:spacing w:after="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lang w:eastAsia="lv-LV"/>
              </w:rPr>
              <w:t>Sabiedrības līdzdalības rezultātā par projektu saņemti priekšlikumi un iebildumi n</w:t>
            </w:r>
            <w:r w:rsidR="00FC3A16" w:rsidRPr="004E3F4A">
              <w:rPr>
                <w:rFonts w:ascii="Times New Roman" w:hAnsi="Times New Roman" w:cs="Times New Roman"/>
                <w:sz w:val="24"/>
                <w:szCs w:val="24"/>
                <w:lang w:eastAsia="lv-LV"/>
              </w:rPr>
              <w:t>o Latvijas Finanšu nozares asociācijas</w:t>
            </w:r>
            <w:r>
              <w:rPr>
                <w:rFonts w:ascii="Times New Roman" w:hAnsi="Times New Roman" w:cs="Times New Roman"/>
                <w:sz w:val="24"/>
                <w:szCs w:val="24"/>
                <w:lang w:eastAsia="lv-LV"/>
              </w:rPr>
              <w:t>. To</w:t>
            </w:r>
            <w:r w:rsidR="00FC3A16" w:rsidRPr="004E3F4A">
              <w:rPr>
                <w:rFonts w:ascii="Times New Roman" w:hAnsi="Times New Roman" w:cs="Times New Roman"/>
                <w:sz w:val="24"/>
                <w:szCs w:val="24"/>
                <w:lang w:eastAsia="lv-LV"/>
              </w:rPr>
              <w:t xml:space="preserve"> </w:t>
            </w:r>
            <w:r w:rsidR="009F2F3C" w:rsidRPr="004E3F4A">
              <w:rPr>
                <w:rFonts w:ascii="Times New Roman" w:hAnsi="Times New Roman" w:cs="Times New Roman"/>
                <w:sz w:val="24"/>
                <w:szCs w:val="24"/>
                <w:lang w:eastAsia="lv-LV"/>
              </w:rPr>
              <w:t xml:space="preserve">apkopojums </w:t>
            </w:r>
            <w:r w:rsidR="00FC3A16" w:rsidRPr="004E3F4A">
              <w:rPr>
                <w:rFonts w:ascii="Times New Roman" w:hAnsi="Times New Roman" w:cs="Times New Roman"/>
                <w:sz w:val="24"/>
                <w:szCs w:val="24"/>
                <w:lang w:eastAsia="lv-LV"/>
              </w:rPr>
              <w:t xml:space="preserve">ir pievienots </w:t>
            </w:r>
            <w:r w:rsidR="008D12B8" w:rsidRPr="004E3F4A">
              <w:rPr>
                <w:rFonts w:ascii="Times New Roman" w:hAnsi="Times New Roman" w:cs="Times New Roman"/>
                <w:sz w:val="24"/>
                <w:szCs w:val="24"/>
                <w:lang w:eastAsia="lv-LV"/>
              </w:rPr>
              <w:t>a</w:t>
            </w:r>
            <w:r w:rsidR="00FC3A16" w:rsidRPr="004E3F4A">
              <w:rPr>
                <w:rFonts w:ascii="Times New Roman" w:hAnsi="Times New Roman" w:cs="Times New Roman"/>
                <w:sz w:val="24"/>
                <w:szCs w:val="24"/>
                <w:lang w:eastAsia="lv-LV"/>
              </w:rPr>
              <w:t>notācijas 2.</w:t>
            </w:r>
            <w:r w:rsidR="008D12B8" w:rsidRPr="004E3F4A">
              <w:rPr>
                <w:rFonts w:ascii="Times New Roman" w:hAnsi="Times New Roman" w:cs="Times New Roman"/>
                <w:sz w:val="24"/>
                <w:szCs w:val="24"/>
                <w:lang w:eastAsia="lv-LV"/>
              </w:rPr>
              <w:t> </w:t>
            </w:r>
            <w:r w:rsidR="00FC3A16" w:rsidRPr="004E3F4A">
              <w:rPr>
                <w:rFonts w:ascii="Times New Roman" w:hAnsi="Times New Roman" w:cs="Times New Roman"/>
                <w:sz w:val="24"/>
                <w:szCs w:val="24"/>
                <w:lang w:eastAsia="lv-LV"/>
              </w:rPr>
              <w:t>pielikumā.</w:t>
            </w:r>
          </w:p>
        </w:tc>
      </w:tr>
    </w:tbl>
    <w:p w14:paraId="42D2C8D8" w14:textId="77777777" w:rsidR="00856918" w:rsidRPr="004E3F4A" w:rsidRDefault="00856918" w:rsidP="00213BA2">
      <w:pPr>
        <w:spacing w:after="0" w:line="240" w:lineRule="auto"/>
        <w:rPr>
          <w:rFonts w:ascii="Times New Roman" w:hAnsi="Times New Roman" w:cs="Times New Roman"/>
          <w:sz w:val="24"/>
          <w:szCs w:val="24"/>
        </w:rPr>
      </w:pPr>
    </w:p>
    <w:p w14:paraId="2FDFF23E" w14:textId="77777777" w:rsidR="00C87E33" w:rsidRPr="004E3F4A" w:rsidRDefault="00C87E33" w:rsidP="0011032F">
      <w:pPr>
        <w:jc w:val="right"/>
        <w:rPr>
          <w:rFonts w:ascii="Times New Roman" w:hAnsi="Times New Roman" w:cs="Times New Roman"/>
          <w:color w:val="000000" w:themeColor="text1"/>
          <w:sz w:val="24"/>
          <w:szCs w:val="24"/>
        </w:rPr>
        <w:sectPr w:rsidR="00C87E33" w:rsidRPr="004E3F4A" w:rsidSect="002924B7">
          <w:headerReference w:type="default" r:id="rId12"/>
          <w:pgSz w:w="11906" w:h="16838" w:code="9"/>
          <w:pgMar w:top="1134" w:right="1134" w:bottom="1418" w:left="1701" w:header="708" w:footer="708" w:gutter="0"/>
          <w:cols w:space="708"/>
          <w:titlePg/>
          <w:docGrid w:linePitch="360"/>
        </w:sectPr>
      </w:pPr>
    </w:p>
    <w:p w14:paraId="48319C16" w14:textId="02DC003D" w:rsidR="0011032F" w:rsidRPr="004E3F4A" w:rsidRDefault="00D00D6E" w:rsidP="00061F14">
      <w:pPr>
        <w:pStyle w:val="ListParagraph"/>
        <w:numPr>
          <w:ilvl w:val="0"/>
          <w:numId w:val="26"/>
        </w:numPr>
        <w:spacing w:after="0" w:line="240" w:lineRule="auto"/>
        <w:jc w:val="right"/>
        <w:rPr>
          <w:rFonts w:ascii="Times New Roman" w:hAnsi="Times New Roman" w:cs="Times New Roman"/>
          <w:color w:val="000000" w:themeColor="text1"/>
          <w:sz w:val="24"/>
          <w:szCs w:val="24"/>
        </w:rPr>
      </w:pPr>
      <w:r w:rsidRPr="004E3F4A">
        <w:rPr>
          <w:rFonts w:ascii="Times New Roman" w:hAnsi="Times New Roman" w:cs="Times New Roman"/>
          <w:color w:val="000000" w:themeColor="text1"/>
          <w:sz w:val="24"/>
          <w:szCs w:val="24"/>
        </w:rPr>
        <w:lastRenderedPageBreak/>
        <w:t>p</w:t>
      </w:r>
      <w:r w:rsidR="0011032F" w:rsidRPr="004E3F4A">
        <w:rPr>
          <w:rFonts w:ascii="Times New Roman" w:hAnsi="Times New Roman" w:cs="Times New Roman"/>
          <w:color w:val="000000" w:themeColor="text1"/>
          <w:sz w:val="24"/>
          <w:szCs w:val="24"/>
        </w:rPr>
        <w:t>ielikums</w:t>
      </w:r>
    </w:p>
    <w:p w14:paraId="08966AD5" w14:textId="56246F27" w:rsidR="0011032F" w:rsidRPr="004E3F4A" w:rsidRDefault="0011032F" w:rsidP="009F2F3C">
      <w:pPr>
        <w:spacing w:after="0" w:line="240" w:lineRule="auto"/>
        <w:jc w:val="right"/>
        <w:rPr>
          <w:rFonts w:ascii="Times New Roman" w:hAnsi="Times New Roman" w:cs="Times New Roman"/>
          <w:color w:val="000000" w:themeColor="text1"/>
          <w:sz w:val="24"/>
          <w:szCs w:val="24"/>
        </w:rPr>
      </w:pPr>
      <w:r w:rsidRPr="004E3F4A">
        <w:rPr>
          <w:rFonts w:ascii="Times New Roman" w:hAnsi="Times New Roman" w:cs="Times New Roman"/>
          <w:color w:val="000000" w:themeColor="text1"/>
          <w:sz w:val="24"/>
          <w:szCs w:val="24"/>
        </w:rPr>
        <w:t>Latvijas Bankas</w:t>
      </w:r>
      <w:r w:rsidR="00366618" w:rsidRPr="004E3F4A">
        <w:rPr>
          <w:rFonts w:ascii="Times New Roman" w:hAnsi="Times New Roman" w:cs="Times New Roman"/>
          <w:color w:val="000000" w:themeColor="text1"/>
          <w:sz w:val="24"/>
          <w:szCs w:val="24"/>
        </w:rPr>
        <w:t xml:space="preserve"> </w:t>
      </w:r>
      <w:r w:rsidRPr="004E3F4A">
        <w:rPr>
          <w:rFonts w:ascii="Times New Roman" w:hAnsi="Times New Roman" w:cs="Times New Roman"/>
          <w:color w:val="000000" w:themeColor="text1"/>
          <w:sz w:val="24"/>
          <w:szCs w:val="24"/>
        </w:rPr>
        <w:t>noteikumu projekta anotācijai</w:t>
      </w:r>
    </w:p>
    <w:p w14:paraId="506EBD29" w14:textId="77777777" w:rsidR="00366618" w:rsidRPr="004E3F4A" w:rsidRDefault="00366618" w:rsidP="00A30F3E">
      <w:pPr>
        <w:spacing w:before="240" w:after="400"/>
        <w:jc w:val="center"/>
        <w:rPr>
          <w:rFonts w:ascii="Times New Roman" w:hAnsi="Times New Roman" w:cs="Times New Roman"/>
          <w:b/>
          <w:color w:val="000000" w:themeColor="text1"/>
          <w:sz w:val="24"/>
          <w:szCs w:val="24"/>
        </w:rPr>
      </w:pPr>
      <w:r w:rsidRPr="004E3F4A">
        <w:rPr>
          <w:rFonts w:ascii="Times New Roman" w:hAnsi="Times New Roman" w:cs="Times New Roman"/>
          <w:b/>
          <w:color w:val="000000" w:themeColor="text1"/>
          <w:sz w:val="24"/>
          <w:szCs w:val="24"/>
        </w:rPr>
        <w:t>Eiropas Savienības tiesību aktu pārņemšanas/ieviešanas tabula</w:t>
      </w:r>
    </w:p>
    <w:p w14:paraId="5775840C" w14:textId="5B5AFCCE" w:rsidR="000234B0" w:rsidRPr="004E3F4A" w:rsidRDefault="000234B0" w:rsidP="00856918">
      <w:pPr>
        <w:jc w:val="both"/>
        <w:rPr>
          <w:rFonts w:ascii="Times New Roman" w:hAnsi="Times New Roman" w:cs="Times New Roman"/>
          <w:bCs/>
          <w:color w:val="000000" w:themeColor="text1"/>
          <w:sz w:val="24"/>
          <w:szCs w:val="24"/>
        </w:rPr>
      </w:pPr>
      <w:r w:rsidRPr="004E3F4A">
        <w:rPr>
          <w:rFonts w:ascii="Times New Roman" w:hAnsi="Times New Roman" w:cs="Times New Roman"/>
          <w:b/>
          <w:color w:val="000000" w:themeColor="text1"/>
          <w:sz w:val="24"/>
          <w:szCs w:val="24"/>
        </w:rPr>
        <w:t>Latvijas Bankas noteikumu projekta nosaukums</w:t>
      </w:r>
      <w:r w:rsidR="001366B1" w:rsidRPr="004E3F4A">
        <w:rPr>
          <w:rFonts w:ascii="Times New Roman" w:hAnsi="Times New Roman" w:cs="Times New Roman"/>
          <w:b/>
          <w:color w:val="000000" w:themeColor="text1"/>
          <w:sz w:val="24"/>
          <w:szCs w:val="24"/>
        </w:rPr>
        <w:t xml:space="preserve">: </w:t>
      </w:r>
      <w:r w:rsidR="00EA52D1" w:rsidRPr="004E3F4A">
        <w:rPr>
          <w:rFonts w:ascii="Times New Roman" w:hAnsi="Times New Roman" w:cs="Times New Roman"/>
          <w:bCs/>
          <w:color w:val="000000" w:themeColor="text1"/>
          <w:sz w:val="24"/>
          <w:szCs w:val="24"/>
        </w:rPr>
        <w:t>"</w:t>
      </w:r>
      <w:r w:rsidR="001366B1" w:rsidRPr="004E3F4A">
        <w:rPr>
          <w:rFonts w:ascii="Times New Roman" w:eastAsia="Times New Roman" w:hAnsi="Times New Roman" w:cs="Times New Roman"/>
          <w:sz w:val="24"/>
          <w:szCs w:val="24"/>
          <w:lang w:eastAsia="lv-LV"/>
        </w:rPr>
        <w:t>Kredītiestāžu licencēšanas, atsevišķu atļauju izsniegšanas un informācijas sniegšanas noteikumi</w:t>
      </w:r>
      <w:r w:rsidR="00EA52D1" w:rsidRPr="004E3F4A">
        <w:rPr>
          <w:rFonts w:ascii="Times New Roman" w:eastAsia="Times New Roman" w:hAnsi="Times New Roman" w:cs="Times New Roman"/>
          <w:sz w:val="24"/>
          <w:szCs w:val="24"/>
          <w:lang w:eastAsia="lv-LV"/>
        </w:rPr>
        <w:t>"</w:t>
      </w:r>
      <w:r w:rsidR="001366B1" w:rsidRPr="004E3F4A">
        <w:rPr>
          <w:rFonts w:ascii="Times New Roman" w:eastAsia="Times New Roman" w:hAnsi="Times New Roman" w:cs="Times New Roman"/>
          <w:sz w:val="24"/>
          <w:szCs w:val="24"/>
          <w:lang w:eastAsia="lv-LV"/>
        </w:rPr>
        <w:t xml:space="preserve"> (turpmāk</w:t>
      </w:r>
      <w:r w:rsidR="00A30F3E">
        <w:rPr>
          <w:rFonts w:ascii="Times New Roman" w:eastAsia="Times New Roman" w:hAnsi="Times New Roman" w:cs="Times New Roman"/>
          <w:sz w:val="24"/>
          <w:szCs w:val="24"/>
          <w:lang w:eastAsia="lv-LV"/>
        </w:rPr>
        <w:t> </w:t>
      </w:r>
      <w:r w:rsidR="001366B1" w:rsidRPr="004E3F4A">
        <w:rPr>
          <w:rFonts w:ascii="Times New Roman" w:eastAsia="Times New Roman" w:hAnsi="Times New Roman" w:cs="Times New Roman"/>
          <w:sz w:val="24"/>
          <w:szCs w:val="24"/>
          <w:lang w:eastAsia="lv-LV"/>
        </w:rPr>
        <w:t>– projekts)</w:t>
      </w:r>
    </w:p>
    <w:p w14:paraId="4D69CAB0" w14:textId="62446514" w:rsidR="0011032F" w:rsidRPr="004E3F4A" w:rsidRDefault="000234B0" w:rsidP="009F2F3C">
      <w:pPr>
        <w:jc w:val="both"/>
        <w:rPr>
          <w:rFonts w:ascii="Times New Roman" w:hAnsi="Times New Roman" w:cs="Times New Roman"/>
          <w:b/>
          <w:color w:val="000000" w:themeColor="text1"/>
          <w:sz w:val="24"/>
          <w:szCs w:val="24"/>
        </w:rPr>
      </w:pPr>
      <w:r w:rsidRPr="004E3F4A">
        <w:rPr>
          <w:rFonts w:ascii="Times New Roman" w:hAnsi="Times New Roman" w:cs="Times New Roman"/>
          <w:b/>
          <w:color w:val="000000" w:themeColor="text1"/>
          <w:sz w:val="24"/>
          <w:szCs w:val="24"/>
        </w:rPr>
        <w:t>Eiropas Savienības tiesību akta nosaukums:</w:t>
      </w:r>
      <w:r w:rsidRPr="004E3F4A">
        <w:rPr>
          <w:rFonts w:ascii="Times New Roman" w:hAnsi="Times New Roman" w:cs="Times New Roman"/>
          <w:sz w:val="24"/>
          <w:szCs w:val="24"/>
        </w:rPr>
        <w:t xml:space="preserve"> </w:t>
      </w:r>
      <w:r w:rsidR="00856918" w:rsidRPr="004E3F4A">
        <w:rPr>
          <w:rFonts w:ascii="Times New Roman" w:hAnsi="Times New Roman" w:cs="Times New Roman"/>
          <w:sz w:val="24"/>
          <w:szCs w:val="24"/>
        </w:rPr>
        <w:t>Eiropas Parlamenta un Padomes 2013. gada 26. jūnija direktīva 2013/36/ES par piekļuvi kredītiestāžu darbībai un kredītiestāžu prudenciālo uzraudzību, ar ko groza direktīvu 2002/87/EK un atceļ direktīvas 2006/48/EK un 2006/49/EK</w:t>
      </w:r>
      <w:r w:rsidR="009F3E0C" w:rsidRPr="004E3F4A">
        <w:rPr>
          <w:rFonts w:ascii="Times New Roman" w:hAnsi="Times New Roman" w:cs="Times New Roman"/>
          <w:sz w:val="24"/>
          <w:szCs w:val="24"/>
        </w:rPr>
        <w:t xml:space="preserve"> (turpmāk – Direktīva</w:t>
      </w:r>
      <w:r w:rsidR="00BF245F" w:rsidRPr="004E3F4A">
        <w:rPr>
          <w:rFonts w:ascii="Times New Roman" w:hAnsi="Times New Roman" w:cs="Times New Roman"/>
          <w:sz w:val="24"/>
          <w:szCs w:val="24"/>
        </w:rPr>
        <w:t> </w:t>
      </w:r>
      <w:r w:rsidR="009F3E0C" w:rsidRPr="004E3F4A">
        <w:rPr>
          <w:rFonts w:ascii="Times New Roman" w:hAnsi="Times New Roman" w:cs="Times New Roman"/>
          <w:sz w:val="24"/>
          <w:szCs w:val="24"/>
        </w:rPr>
        <w:t>2013/36)</w:t>
      </w:r>
      <w:r w:rsidR="0011032F" w:rsidRPr="004E3F4A">
        <w:rPr>
          <w:rFonts w:ascii="Times New Roman" w:hAnsi="Times New Roman" w:cs="Times New Roman"/>
          <w:bCs/>
          <w:color w:val="000000" w:themeColor="text1"/>
          <w:sz w:val="24"/>
          <w:szCs w:val="24"/>
        </w:rPr>
        <w:t>:</w:t>
      </w:r>
      <w:r w:rsidR="000C1E52" w:rsidRPr="004E3F4A">
        <w:rPr>
          <w:rFonts w:ascii="Times New Roman" w:hAnsi="Times New Roman" w:cs="Times New Roman"/>
          <w:b/>
          <w:color w:val="000000" w:themeColor="text1"/>
          <w:sz w:val="24"/>
          <w:szCs w:val="24"/>
        </w:rPr>
        <w:tab/>
      </w:r>
    </w:p>
    <w:tbl>
      <w:tblPr>
        <w:tblStyle w:val="TableGrid"/>
        <w:tblW w:w="14786" w:type="dxa"/>
        <w:tblLook w:val="04A0" w:firstRow="1" w:lastRow="0" w:firstColumn="1" w:lastColumn="0" w:noHBand="0" w:noVBand="1"/>
      </w:tblPr>
      <w:tblGrid>
        <w:gridCol w:w="2088"/>
        <w:gridCol w:w="2358"/>
        <w:gridCol w:w="2579"/>
        <w:gridCol w:w="2604"/>
        <w:gridCol w:w="2822"/>
        <w:gridCol w:w="2335"/>
      </w:tblGrid>
      <w:tr w:rsidR="009B705C" w:rsidRPr="004E3F4A" w14:paraId="1745AEFD" w14:textId="2BE10603" w:rsidTr="009B705C">
        <w:tc>
          <w:tcPr>
            <w:tcW w:w="2088" w:type="dxa"/>
          </w:tcPr>
          <w:p w14:paraId="6E919E66" w14:textId="77777777" w:rsidR="009B705C" w:rsidRPr="004E3F4A" w:rsidRDefault="009B705C" w:rsidP="00A7727A">
            <w:pPr>
              <w:rPr>
                <w:color w:val="000000" w:themeColor="text1"/>
                <w:sz w:val="24"/>
                <w:szCs w:val="24"/>
              </w:rPr>
            </w:pPr>
            <w:r w:rsidRPr="004E3F4A">
              <w:rPr>
                <w:b/>
                <w:bCs/>
                <w:color w:val="000000" w:themeColor="text1"/>
                <w:sz w:val="24"/>
                <w:szCs w:val="24"/>
              </w:rPr>
              <w:t xml:space="preserve">Eiropas Savienības tiesību akta pants, punkts vai apakšpunkts, kurā paredzētās prasības Latvijā jāizpilda </w:t>
            </w:r>
            <w:r w:rsidRPr="004E3F4A">
              <w:rPr>
                <w:i/>
                <w:iCs/>
                <w:color w:val="000000" w:themeColor="text1"/>
                <w:sz w:val="24"/>
                <w:szCs w:val="24"/>
              </w:rPr>
              <w:t>(norāda pēc iespējas konkrētāku teksta vienību)</w:t>
            </w:r>
          </w:p>
        </w:tc>
        <w:tc>
          <w:tcPr>
            <w:tcW w:w="2358" w:type="dxa"/>
          </w:tcPr>
          <w:p w14:paraId="63768E70" w14:textId="77777777" w:rsidR="009B705C" w:rsidRPr="004E3F4A" w:rsidRDefault="009B705C" w:rsidP="00A7727A">
            <w:pPr>
              <w:rPr>
                <w:b/>
                <w:bCs/>
                <w:color w:val="000000" w:themeColor="text1"/>
                <w:sz w:val="24"/>
                <w:szCs w:val="24"/>
              </w:rPr>
            </w:pPr>
            <w:r w:rsidRPr="004E3F4A">
              <w:rPr>
                <w:b/>
                <w:bCs/>
                <w:color w:val="000000" w:themeColor="text1"/>
                <w:sz w:val="24"/>
                <w:szCs w:val="24"/>
              </w:rPr>
              <w:t xml:space="preserve">Projekta punkts/apakšpunkts, kas izpilda A ailē minēto prasību </w:t>
            </w:r>
            <w:r w:rsidRPr="004E3F4A">
              <w:rPr>
                <w:i/>
                <w:iCs/>
                <w:color w:val="000000" w:themeColor="text1"/>
                <w:sz w:val="24"/>
                <w:szCs w:val="24"/>
              </w:rPr>
              <w:t>(norāda pēc iespējas konkrētāku teksta vienību)</w:t>
            </w:r>
          </w:p>
        </w:tc>
        <w:tc>
          <w:tcPr>
            <w:tcW w:w="2579" w:type="dxa"/>
          </w:tcPr>
          <w:p w14:paraId="5643415E" w14:textId="77777777" w:rsidR="009B705C" w:rsidRPr="004E3F4A" w:rsidRDefault="009B705C" w:rsidP="00A7727A">
            <w:pPr>
              <w:rPr>
                <w:b/>
                <w:bCs/>
                <w:color w:val="000000" w:themeColor="text1"/>
                <w:sz w:val="24"/>
                <w:szCs w:val="24"/>
              </w:rPr>
            </w:pPr>
            <w:r w:rsidRPr="004E3F4A">
              <w:rPr>
                <w:b/>
                <w:bCs/>
                <w:color w:val="000000" w:themeColor="text1"/>
                <w:sz w:val="24"/>
                <w:szCs w:val="24"/>
              </w:rPr>
              <w:t xml:space="preserve">Vai A ailē minētā prasība ar B ailē minēto projekta punktu/apakšpunktu tiek izpildīta pilnībā vai daļēji? </w:t>
            </w:r>
            <w:r w:rsidRPr="004E3F4A">
              <w:rPr>
                <w:i/>
                <w:iCs/>
                <w:color w:val="000000" w:themeColor="text1"/>
                <w:sz w:val="24"/>
                <w:szCs w:val="24"/>
              </w:rPr>
              <w:t>(ja daļēji, norāda, kur un kā ir vai tiks nodrošināta prasības pilnīga izpilde)</w:t>
            </w:r>
          </w:p>
        </w:tc>
        <w:tc>
          <w:tcPr>
            <w:tcW w:w="2604" w:type="dxa"/>
          </w:tcPr>
          <w:p w14:paraId="6D2F9574" w14:textId="77777777" w:rsidR="009B705C" w:rsidRPr="004E3F4A" w:rsidRDefault="009B705C" w:rsidP="00A7727A">
            <w:pPr>
              <w:rPr>
                <w:b/>
                <w:bCs/>
                <w:color w:val="000000" w:themeColor="text1"/>
                <w:sz w:val="24"/>
                <w:szCs w:val="24"/>
              </w:rPr>
            </w:pPr>
            <w:r w:rsidRPr="004E3F4A">
              <w:rPr>
                <w:b/>
                <w:bCs/>
                <w:color w:val="000000" w:themeColor="text1"/>
                <w:sz w:val="24"/>
                <w:szCs w:val="24"/>
              </w:rPr>
              <w:t xml:space="preserve">Vai B ailē norādītais projekta punkts/apakšpunkts paredz stingrākas prasības, nekā A ailē minētā prasība </w:t>
            </w:r>
            <w:r w:rsidRPr="004E3F4A">
              <w:rPr>
                <w:i/>
                <w:iCs/>
                <w:color w:val="000000" w:themeColor="text1"/>
                <w:sz w:val="24"/>
                <w:szCs w:val="24"/>
              </w:rPr>
              <w:t>(ja paredz stingrākas prasības, papildus norāda pamatojumu šādu stingrāku prasību nepieciešamībai)</w:t>
            </w:r>
          </w:p>
        </w:tc>
        <w:tc>
          <w:tcPr>
            <w:tcW w:w="2822" w:type="dxa"/>
          </w:tcPr>
          <w:p w14:paraId="558568F8" w14:textId="77777777" w:rsidR="009B705C" w:rsidRPr="004E3F4A" w:rsidRDefault="009B705C" w:rsidP="00A7727A">
            <w:pPr>
              <w:rPr>
                <w:i/>
                <w:iCs/>
                <w:color w:val="000000" w:themeColor="text1"/>
                <w:sz w:val="24"/>
                <w:szCs w:val="24"/>
              </w:rPr>
            </w:pPr>
            <w:r w:rsidRPr="004E3F4A">
              <w:rPr>
                <w:b/>
                <w:bCs/>
                <w:color w:val="000000" w:themeColor="text1"/>
                <w:sz w:val="24"/>
                <w:szCs w:val="24"/>
              </w:rPr>
              <w:t xml:space="preserve">Vai A ailē minētā prasība ir jāizpilda obligāti </w:t>
            </w:r>
            <w:r w:rsidRPr="004E3F4A">
              <w:rPr>
                <w:i/>
                <w:iCs/>
                <w:color w:val="000000" w:themeColor="text1"/>
                <w:sz w:val="24"/>
                <w:szCs w:val="24"/>
              </w:rPr>
              <w:t>(ja Eiropas Savienības tiesību akts paredz izvēles iespēju, papildus norāda, vai un kādēļ šī rīcības brīvība Latvijā ir vai nav jāizmanto)</w:t>
            </w:r>
          </w:p>
          <w:p w14:paraId="7A18C63C" w14:textId="77777777" w:rsidR="009B705C" w:rsidRPr="004E3F4A" w:rsidRDefault="009B705C" w:rsidP="00A7727A">
            <w:pPr>
              <w:rPr>
                <w:b/>
                <w:bCs/>
                <w:color w:val="000000" w:themeColor="text1"/>
                <w:sz w:val="24"/>
                <w:szCs w:val="24"/>
              </w:rPr>
            </w:pPr>
          </w:p>
          <w:p w14:paraId="2379EB54" w14:textId="77777777" w:rsidR="009B705C" w:rsidRPr="004E3F4A" w:rsidRDefault="009B705C" w:rsidP="00A7727A">
            <w:pPr>
              <w:rPr>
                <w:b/>
                <w:bCs/>
                <w:color w:val="000000" w:themeColor="text1"/>
                <w:sz w:val="24"/>
                <w:szCs w:val="24"/>
              </w:rPr>
            </w:pPr>
          </w:p>
        </w:tc>
        <w:tc>
          <w:tcPr>
            <w:tcW w:w="2335" w:type="dxa"/>
          </w:tcPr>
          <w:p w14:paraId="5380A9F1" w14:textId="77777777" w:rsidR="009B705C" w:rsidRPr="007F57D8" w:rsidRDefault="009B705C" w:rsidP="009B705C">
            <w:pPr>
              <w:jc w:val="left"/>
              <w:rPr>
                <w:rStyle w:val="cf01"/>
                <w:rFonts w:ascii="Times New Roman" w:hAnsi="Times New Roman" w:cs="Times New Roman"/>
                <w:b/>
                <w:bCs/>
                <w:color w:val="auto"/>
                <w:sz w:val="24"/>
                <w:szCs w:val="24"/>
              </w:rPr>
            </w:pPr>
            <w:r w:rsidRPr="00B964A5">
              <w:rPr>
                <w:rStyle w:val="cf01"/>
                <w:rFonts w:ascii="Times New Roman" w:hAnsi="Times New Roman" w:cs="Times New Roman"/>
                <w:b/>
                <w:bCs/>
                <w:sz w:val="24"/>
                <w:szCs w:val="24"/>
              </w:rPr>
              <w:t>Vai A ailē minētais Eiropas Savienības tiesību akts paredz dalībvalsts paziņošanas pienākumu Eiropas Savienības institūcijām?</w:t>
            </w:r>
          </w:p>
          <w:p w14:paraId="72B07874" w14:textId="0A046516" w:rsidR="009B705C" w:rsidRPr="007F57D8" w:rsidRDefault="009B705C" w:rsidP="009B705C">
            <w:pPr>
              <w:rPr>
                <w:b/>
                <w:bCs/>
                <w:color w:val="auto"/>
                <w:sz w:val="24"/>
                <w:szCs w:val="24"/>
              </w:rPr>
            </w:pPr>
            <w:r w:rsidRPr="00B964A5">
              <w:rPr>
                <w:rStyle w:val="cf01"/>
                <w:rFonts w:ascii="Times New Roman" w:hAnsi="Times New Roman" w:cs="Times New Roman"/>
                <w:i/>
                <w:iCs/>
                <w:sz w:val="24"/>
                <w:szCs w:val="24"/>
              </w:rPr>
              <w:t>(Ja paredz, norāda, kas un kādā termiņā šo paziņošanas pienākumu izpildīs)</w:t>
            </w:r>
          </w:p>
        </w:tc>
      </w:tr>
      <w:tr w:rsidR="009B705C" w:rsidRPr="004E3F4A" w14:paraId="3563D547" w14:textId="7709F266" w:rsidTr="009B705C">
        <w:tc>
          <w:tcPr>
            <w:tcW w:w="2088" w:type="dxa"/>
          </w:tcPr>
          <w:p w14:paraId="6756DF99" w14:textId="77777777" w:rsidR="009B705C" w:rsidRPr="004E3F4A" w:rsidRDefault="009B705C" w:rsidP="009B705C">
            <w:pPr>
              <w:jc w:val="center"/>
              <w:rPr>
                <w:color w:val="000000" w:themeColor="text1"/>
                <w:sz w:val="24"/>
                <w:szCs w:val="24"/>
              </w:rPr>
            </w:pPr>
            <w:r w:rsidRPr="004E3F4A">
              <w:rPr>
                <w:color w:val="000000" w:themeColor="text1"/>
                <w:sz w:val="24"/>
                <w:szCs w:val="24"/>
              </w:rPr>
              <w:t>A</w:t>
            </w:r>
          </w:p>
        </w:tc>
        <w:tc>
          <w:tcPr>
            <w:tcW w:w="2358" w:type="dxa"/>
          </w:tcPr>
          <w:p w14:paraId="0ACCD98F" w14:textId="77777777" w:rsidR="009B705C" w:rsidRPr="004E3F4A" w:rsidRDefault="009B705C" w:rsidP="009B705C">
            <w:pPr>
              <w:jc w:val="center"/>
              <w:rPr>
                <w:color w:val="000000" w:themeColor="text1"/>
                <w:sz w:val="24"/>
                <w:szCs w:val="24"/>
              </w:rPr>
            </w:pPr>
            <w:r w:rsidRPr="004E3F4A">
              <w:rPr>
                <w:color w:val="000000" w:themeColor="text1"/>
                <w:sz w:val="24"/>
                <w:szCs w:val="24"/>
              </w:rPr>
              <w:t>B</w:t>
            </w:r>
          </w:p>
        </w:tc>
        <w:tc>
          <w:tcPr>
            <w:tcW w:w="2579" w:type="dxa"/>
          </w:tcPr>
          <w:p w14:paraId="6FC308C8" w14:textId="77777777" w:rsidR="009B705C" w:rsidRPr="004E3F4A" w:rsidRDefault="009B705C" w:rsidP="009B705C">
            <w:pPr>
              <w:jc w:val="center"/>
              <w:rPr>
                <w:color w:val="000000" w:themeColor="text1"/>
                <w:sz w:val="24"/>
                <w:szCs w:val="24"/>
              </w:rPr>
            </w:pPr>
            <w:r w:rsidRPr="004E3F4A">
              <w:rPr>
                <w:color w:val="000000" w:themeColor="text1"/>
                <w:sz w:val="24"/>
                <w:szCs w:val="24"/>
              </w:rPr>
              <w:t>C</w:t>
            </w:r>
          </w:p>
        </w:tc>
        <w:tc>
          <w:tcPr>
            <w:tcW w:w="2604" w:type="dxa"/>
          </w:tcPr>
          <w:p w14:paraId="2834C596" w14:textId="77777777" w:rsidR="009B705C" w:rsidRPr="004E3F4A" w:rsidRDefault="009B705C" w:rsidP="009B705C">
            <w:pPr>
              <w:jc w:val="center"/>
              <w:rPr>
                <w:color w:val="000000" w:themeColor="text1"/>
                <w:sz w:val="24"/>
                <w:szCs w:val="24"/>
              </w:rPr>
            </w:pPr>
            <w:r w:rsidRPr="004E3F4A">
              <w:rPr>
                <w:color w:val="000000" w:themeColor="text1"/>
                <w:sz w:val="24"/>
                <w:szCs w:val="24"/>
              </w:rPr>
              <w:t>D</w:t>
            </w:r>
          </w:p>
        </w:tc>
        <w:tc>
          <w:tcPr>
            <w:tcW w:w="2822" w:type="dxa"/>
          </w:tcPr>
          <w:p w14:paraId="0B8CD8BF" w14:textId="77777777" w:rsidR="009B705C" w:rsidRPr="004E3F4A" w:rsidRDefault="009B705C" w:rsidP="009B705C">
            <w:pPr>
              <w:jc w:val="center"/>
              <w:rPr>
                <w:color w:val="000000" w:themeColor="text1"/>
                <w:sz w:val="24"/>
                <w:szCs w:val="24"/>
              </w:rPr>
            </w:pPr>
            <w:r w:rsidRPr="004E3F4A">
              <w:rPr>
                <w:color w:val="000000" w:themeColor="text1"/>
                <w:sz w:val="24"/>
                <w:szCs w:val="24"/>
              </w:rPr>
              <w:t>E</w:t>
            </w:r>
          </w:p>
        </w:tc>
        <w:tc>
          <w:tcPr>
            <w:tcW w:w="2335" w:type="dxa"/>
          </w:tcPr>
          <w:p w14:paraId="53A5216C" w14:textId="5718EF9B" w:rsidR="009B705C" w:rsidRPr="004E3F4A" w:rsidRDefault="009B705C" w:rsidP="009B705C">
            <w:pPr>
              <w:jc w:val="center"/>
              <w:rPr>
                <w:color w:val="000000" w:themeColor="text1"/>
                <w:sz w:val="24"/>
                <w:szCs w:val="24"/>
              </w:rPr>
            </w:pPr>
            <w:r w:rsidRPr="004E3F4A">
              <w:rPr>
                <w:color w:val="000000" w:themeColor="text1"/>
                <w:sz w:val="24"/>
                <w:szCs w:val="24"/>
              </w:rPr>
              <w:t>F</w:t>
            </w:r>
          </w:p>
        </w:tc>
      </w:tr>
      <w:tr w:rsidR="009B705C" w:rsidRPr="004E3F4A" w14:paraId="3AC12757" w14:textId="01001B82" w:rsidTr="009B705C">
        <w:tc>
          <w:tcPr>
            <w:tcW w:w="2088" w:type="dxa"/>
          </w:tcPr>
          <w:p w14:paraId="51F9DFFB" w14:textId="7FC832CE" w:rsidR="009B705C" w:rsidRPr="004E3F4A" w:rsidRDefault="009B705C" w:rsidP="00A7727A">
            <w:pPr>
              <w:rPr>
                <w:color w:val="000000" w:themeColor="text1"/>
                <w:sz w:val="24"/>
                <w:szCs w:val="24"/>
              </w:rPr>
            </w:pPr>
            <w:r w:rsidRPr="00B964A5">
              <w:rPr>
                <w:rStyle w:val="cf01"/>
                <w:rFonts w:ascii="Times New Roman" w:hAnsi="Times New Roman" w:cs="Times New Roman"/>
                <w:sz w:val="24"/>
                <w:szCs w:val="24"/>
              </w:rPr>
              <w:t xml:space="preserve">Direktīvas </w:t>
            </w:r>
            <w:r w:rsidRPr="007F57D8">
              <w:rPr>
                <w:rStyle w:val="cf11"/>
                <w:rFonts w:ascii="Times New Roman" w:hAnsi="Times New Roman" w:cs="Times New Roman"/>
                <w:color w:val="auto"/>
                <w:sz w:val="24"/>
                <w:szCs w:val="24"/>
              </w:rPr>
              <w:t xml:space="preserve">2013/36 </w:t>
            </w:r>
            <w:r w:rsidRPr="00B964A5">
              <w:rPr>
                <w:rStyle w:val="cf01"/>
                <w:rFonts w:ascii="Times New Roman" w:hAnsi="Times New Roman" w:cs="Times New Roman"/>
                <w:sz w:val="24"/>
                <w:szCs w:val="24"/>
              </w:rPr>
              <w:t>14. panta 3. punkts</w:t>
            </w:r>
          </w:p>
        </w:tc>
        <w:tc>
          <w:tcPr>
            <w:tcW w:w="2358" w:type="dxa"/>
          </w:tcPr>
          <w:p w14:paraId="7A127C31" w14:textId="2A9F89AE" w:rsidR="009B705C" w:rsidRPr="004E3F4A" w:rsidRDefault="000C1E52" w:rsidP="00A7727A">
            <w:pPr>
              <w:rPr>
                <w:color w:val="000000" w:themeColor="text1"/>
                <w:sz w:val="24"/>
                <w:szCs w:val="24"/>
              </w:rPr>
            </w:pPr>
            <w:r w:rsidRPr="004E3F4A">
              <w:rPr>
                <w:color w:val="000000" w:themeColor="text1"/>
                <w:sz w:val="24"/>
                <w:szCs w:val="24"/>
              </w:rPr>
              <w:t xml:space="preserve">Projekta </w:t>
            </w:r>
            <w:r w:rsidR="009B705C" w:rsidRPr="004E3F4A">
              <w:rPr>
                <w:color w:val="000000" w:themeColor="text1"/>
                <w:sz w:val="24"/>
                <w:szCs w:val="24"/>
              </w:rPr>
              <w:t>2</w:t>
            </w:r>
            <w:r w:rsidR="001228D2" w:rsidRPr="004E3F4A">
              <w:rPr>
                <w:color w:val="000000" w:themeColor="text1"/>
                <w:sz w:val="24"/>
                <w:szCs w:val="24"/>
              </w:rPr>
              <w:t>6</w:t>
            </w:r>
            <w:r w:rsidR="009B705C" w:rsidRPr="004E3F4A">
              <w:rPr>
                <w:color w:val="000000" w:themeColor="text1"/>
                <w:sz w:val="24"/>
                <w:szCs w:val="24"/>
              </w:rPr>
              <w:t>. punkts</w:t>
            </w:r>
          </w:p>
        </w:tc>
        <w:tc>
          <w:tcPr>
            <w:tcW w:w="2579" w:type="dxa"/>
          </w:tcPr>
          <w:p w14:paraId="3233661A" w14:textId="415D9DB7" w:rsidR="009B705C" w:rsidRPr="004E3F4A" w:rsidRDefault="000C1E52" w:rsidP="00A7727A">
            <w:pPr>
              <w:rPr>
                <w:color w:val="000000" w:themeColor="text1"/>
                <w:sz w:val="24"/>
                <w:szCs w:val="24"/>
              </w:rPr>
            </w:pPr>
            <w:r w:rsidRPr="004E3F4A">
              <w:rPr>
                <w:color w:val="000000" w:themeColor="text1"/>
                <w:sz w:val="24"/>
                <w:szCs w:val="24"/>
              </w:rPr>
              <w:t xml:space="preserve">Izpilda </w:t>
            </w:r>
            <w:r w:rsidR="009B705C" w:rsidRPr="004E3F4A">
              <w:rPr>
                <w:color w:val="000000" w:themeColor="text1"/>
                <w:sz w:val="24"/>
                <w:szCs w:val="24"/>
              </w:rPr>
              <w:t>pilnībā</w:t>
            </w:r>
          </w:p>
        </w:tc>
        <w:tc>
          <w:tcPr>
            <w:tcW w:w="2604" w:type="dxa"/>
          </w:tcPr>
          <w:p w14:paraId="78E0C87C" w14:textId="688DF441" w:rsidR="009B705C" w:rsidRPr="004E3F4A" w:rsidRDefault="000C1E52" w:rsidP="00A7727A">
            <w:pPr>
              <w:rPr>
                <w:color w:val="000000" w:themeColor="text1"/>
                <w:sz w:val="24"/>
                <w:szCs w:val="24"/>
              </w:rPr>
            </w:pPr>
            <w:r w:rsidRPr="004E3F4A">
              <w:rPr>
                <w:color w:val="000000" w:themeColor="text1"/>
                <w:sz w:val="24"/>
                <w:szCs w:val="24"/>
              </w:rPr>
              <w:t>Nē</w:t>
            </w:r>
          </w:p>
        </w:tc>
        <w:tc>
          <w:tcPr>
            <w:tcW w:w="2822" w:type="dxa"/>
          </w:tcPr>
          <w:p w14:paraId="62784377" w14:textId="3A213BC9" w:rsidR="009B705C" w:rsidRPr="007F57D8" w:rsidRDefault="000C1E52" w:rsidP="00A7727A">
            <w:pPr>
              <w:rPr>
                <w:color w:val="auto"/>
                <w:sz w:val="24"/>
                <w:szCs w:val="24"/>
              </w:rPr>
            </w:pPr>
            <w:r w:rsidRPr="00B964A5">
              <w:rPr>
                <w:rStyle w:val="cf01"/>
                <w:rFonts w:ascii="Times New Roman" w:hAnsi="Times New Roman" w:cs="Times New Roman"/>
                <w:sz w:val="24"/>
                <w:szCs w:val="24"/>
              </w:rPr>
              <w:t>Jā</w:t>
            </w:r>
          </w:p>
        </w:tc>
        <w:tc>
          <w:tcPr>
            <w:tcW w:w="2335" w:type="dxa"/>
          </w:tcPr>
          <w:p w14:paraId="7C2BF395" w14:textId="74E6A0A8" w:rsidR="009B705C" w:rsidRPr="007F57D8" w:rsidRDefault="002F6625" w:rsidP="00A7727A">
            <w:pPr>
              <w:rPr>
                <w:rStyle w:val="cf01"/>
                <w:rFonts w:ascii="Times New Roman" w:hAnsi="Times New Roman" w:cs="Times New Roman"/>
                <w:color w:val="auto"/>
                <w:sz w:val="24"/>
                <w:szCs w:val="24"/>
              </w:rPr>
            </w:pPr>
            <w:r w:rsidRPr="00B964A5">
              <w:rPr>
                <w:rStyle w:val="cf01"/>
                <w:rFonts w:ascii="Times New Roman" w:hAnsi="Times New Roman" w:cs="Times New Roman"/>
                <w:sz w:val="24"/>
                <w:szCs w:val="24"/>
              </w:rPr>
              <w:t xml:space="preserve">Latvijas Bankas Ģenerālsekretariāts informēs Finanšu ministriju par šā projekta apstiprināšanu Latvijas Bankas </w:t>
            </w:r>
            <w:r w:rsidRPr="00B964A5">
              <w:rPr>
                <w:rStyle w:val="cf01"/>
                <w:rFonts w:ascii="Times New Roman" w:hAnsi="Times New Roman" w:cs="Times New Roman"/>
                <w:sz w:val="24"/>
                <w:szCs w:val="24"/>
              </w:rPr>
              <w:lastRenderedPageBreak/>
              <w:t>padomē vienas darbdienas laikā pēc tā publicēšanas oficiālajā izdevumā "Latvijas Vēstnesis"</w:t>
            </w:r>
            <w:r w:rsidR="00BF245F" w:rsidRPr="00B964A5">
              <w:rPr>
                <w:rStyle w:val="cf01"/>
                <w:rFonts w:ascii="Times New Roman" w:hAnsi="Times New Roman" w:cs="Times New Roman"/>
                <w:sz w:val="24"/>
                <w:szCs w:val="24"/>
              </w:rPr>
              <w:t>.</w:t>
            </w:r>
          </w:p>
        </w:tc>
      </w:tr>
    </w:tbl>
    <w:p w14:paraId="1F0EF8CB" w14:textId="77777777" w:rsidR="0011032F" w:rsidRPr="004E3F4A" w:rsidRDefault="0011032F" w:rsidP="0011032F">
      <w:pPr>
        <w:rPr>
          <w:rFonts w:ascii="Times New Roman" w:hAnsi="Times New Roman" w:cs="Times New Roman"/>
          <w:color w:val="000000" w:themeColor="text1"/>
          <w:sz w:val="24"/>
          <w:szCs w:val="24"/>
        </w:rPr>
      </w:pPr>
    </w:p>
    <w:p w14:paraId="3258F7AD" w14:textId="4EAE388E" w:rsidR="00C87E33" w:rsidRPr="004E3F4A" w:rsidRDefault="000234B0" w:rsidP="00C87E33">
      <w:pPr>
        <w:pStyle w:val="NApunkts1"/>
        <w:numPr>
          <w:ilvl w:val="0"/>
          <w:numId w:val="0"/>
        </w:numPr>
        <w:tabs>
          <w:tab w:val="left" w:pos="284"/>
        </w:tabs>
      </w:pPr>
      <w:r w:rsidRPr="004E3F4A">
        <w:rPr>
          <w:b/>
          <w:color w:val="000000" w:themeColor="text1"/>
        </w:rPr>
        <w:t>Eiropas Savienības tiesību akta nosaukums:</w:t>
      </w:r>
      <w:r w:rsidRPr="004E3F4A">
        <w:rPr>
          <w:rStyle w:val="cf01"/>
          <w:rFonts w:ascii="Times New Roman" w:hAnsi="Times New Roman" w:cs="Times New Roman"/>
          <w:sz w:val="24"/>
          <w:szCs w:val="24"/>
        </w:rPr>
        <w:t xml:space="preserve"> </w:t>
      </w:r>
      <w:r w:rsidR="00C87E33" w:rsidRPr="004E3F4A">
        <w:rPr>
          <w:rStyle w:val="cf01"/>
          <w:rFonts w:ascii="Times New Roman" w:hAnsi="Times New Roman" w:cs="Times New Roman"/>
          <w:sz w:val="24"/>
          <w:szCs w:val="24"/>
        </w:rPr>
        <w:t>Eiropas Parlamenta un Padomes 2019. gada 20. maija direktīva 2019/878, ar ko direktīvu 2013/36/ES groza attiecībā uz atbrīvotajām sabiedrībām, finanšu pārvaldītājsabiedrībām, jauktām finanšu pārvaldītājsabiedrībām, atalgojumu, uzraudzības pasākumiem un pilnvarām, kā arī kapitāla saglabāšanas pasākumiem</w:t>
      </w:r>
      <w:r w:rsidR="009B705C" w:rsidRPr="004E3F4A">
        <w:rPr>
          <w:rStyle w:val="cf01"/>
          <w:rFonts w:ascii="Times New Roman" w:hAnsi="Times New Roman" w:cs="Times New Roman"/>
          <w:sz w:val="24"/>
          <w:szCs w:val="24"/>
        </w:rPr>
        <w:t xml:space="preserve"> (turpmāk – Direktīva </w:t>
      </w:r>
      <w:r w:rsidR="009B705C" w:rsidRPr="00A30F3E">
        <w:rPr>
          <w:rStyle w:val="cf11"/>
          <w:rFonts w:ascii="Times New Roman" w:hAnsi="Times New Roman" w:cs="Times New Roman"/>
          <w:color w:val="auto"/>
          <w:sz w:val="24"/>
          <w:szCs w:val="24"/>
        </w:rPr>
        <w:t>2019/878</w:t>
      </w:r>
      <w:r w:rsidR="009B705C" w:rsidRPr="004E3F4A">
        <w:rPr>
          <w:rStyle w:val="cf11"/>
          <w:rFonts w:ascii="Times New Roman" w:hAnsi="Times New Roman" w:cs="Times New Roman"/>
          <w:sz w:val="24"/>
          <w:szCs w:val="24"/>
        </w:rPr>
        <w:t>)</w:t>
      </w:r>
    </w:p>
    <w:p w14:paraId="1E29EE5B" w14:textId="77777777" w:rsidR="00C87E33" w:rsidRPr="004E3F4A" w:rsidRDefault="00C87E33" w:rsidP="00C87E33">
      <w:pPr>
        <w:jc w:val="center"/>
        <w:rPr>
          <w:rFonts w:ascii="Times New Roman" w:hAnsi="Times New Roman" w:cs="Times New Roman"/>
          <w:b/>
          <w:color w:val="000000" w:themeColor="text1"/>
          <w:sz w:val="24"/>
          <w:szCs w:val="24"/>
        </w:rPr>
      </w:pPr>
    </w:p>
    <w:tbl>
      <w:tblPr>
        <w:tblStyle w:val="TableGrid"/>
        <w:tblW w:w="14786" w:type="dxa"/>
        <w:tblLook w:val="04A0" w:firstRow="1" w:lastRow="0" w:firstColumn="1" w:lastColumn="0" w:noHBand="0" w:noVBand="1"/>
      </w:tblPr>
      <w:tblGrid>
        <w:gridCol w:w="2088"/>
        <w:gridCol w:w="2358"/>
        <w:gridCol w:w="2579"/>
        <w:gridCol w:w="2604"/>
        <w:gridCol w:w="2822"/>
        <w:gridCol w:w="2335"/>
      </w:tblGrid>
      <w:tr w:rsidR="00057AFF" w:rsidRPr="004E3F4A" w14:paraId="05C5F8D2" w14:textId="7C41DEC6" w:rsidTr="00794669">
        <w:tc>
          <w:tcPr>
            <w:tcW w:w="2088" w:type="dxa"/>
          </w:tcPr>
          <w:p w14:paraId="49A9D24E" w14:textId="77777777" w:rsidR="00057AFF" w:rsidRPr="004E3F4A" w:rsidRDefault="00057AFF" w:rsidP="00A7727A">
            <w:pPr>
              <w:rPr>
                <w:color w:val="000000" w:themeColor="text1"/>
                <w:sz w:val="24"/>
                <w:szCs w:val="24"/>
              </w:rPr>
            </w:pPr>
            <w:r w:rsidRPr="004E3F4A">
              <w:rPr>
                <w:b/>
                <w:bCs/>
                <w:color w:val="000000" w:themeColor="text1"/>
                <w:sz w:val="24"/>
                <w:szCs w:val="24"/>
              </w:rPr>
              <w:t xml:space="preserve">Eiropas Savienības tiesību akta pants, punkts vai apakšpunkts, kurā paredzētās prasības Latvijā jāizpilda </w:t>
            </w:r>
            <w:r w:rsidRPr="004E3F4A">
              <w:rPr>
                <w:i/>
                <w:iCs/>
                <w:color w:val="000000" w:themeColor="text1"/>
                <w:sz w:val="24"/>
                <w:szCs w:val="24"/>
              </w:rPr>
              <w:t>(norāda pēc iespējas konkrētāku teksta vienību)</w:t>
            </w:r>
          </w:p>
        </w:tc>
        <w:tc>
          <w:tcPr>
            <w:tcW w:w="2358" w:type="dxa"/>
          </w:tcPr>
          <w:p w14:paraId="12F5CB7D" w14:textId="77777777" w:rsidR="00057AFF" w:rsidRPr="004E3F4A" w:rsidRDefault="00057AFF" w:rsidP="00A7727A">
            <w:pPr>
              <w:rPr>
                <w:b/>
                <w:bCs/>
                <w:color w:val="000000" w:themeColor="text1"/>
                <w:sz w:val="24"/>
                <w:szCs w:val="24"/>
              </w:rPr>
            </w:pPr>
            <w:r w:rsidRPr="004E3F4A">
              <w:rPr>
                <w:b/>
                <w:bCs/>
                <w:color w:val="000000" w:themeColor="text1"/>
                <w:sz w:val="24"/>
                <w:szCs w:val="24"/>
              </w:rPr>
              <w:t xml:space="preserve">Projekta punkts/apakšpunkts, kas izpilda A ailē minēto prasību </w:t>
            </w:r>
            <w:r w:rsidRPr="004E3F4A">
              <w:rPr>
                <w:i/>
                <w:iCs/>
                <w:color w:val="000000" w:themeColor="text1"/>
                <w:sz w:val="24"/>
                <w:szCs w:val="24"/>
              </w:rPr>
              <w:t>(norāda pēc iespējas konkrētāku teksta vienību)</w:t>
            </w:r>
          </w:p>
        </w:tc>
        <w:tc>
          <w:tcPr>
            <w:tcW w:w="2579" w:type="dxa"/>
          </w:tcPr>
          <w:p w14:paraId="7A8C2305" w14:textId="77777777" w:rsidR="00057AFF" w:rsidRPr="004E3F4A" w:rsidRDefault="00057AFF" w:rsidP="00A7727A">
            <w:pPr>
              <w:rPr>
                <w:b/>
                <w:bCs/>
                <w:color w:val="000000" w:themeColor="text1"/>
                <w:sz w:val="24"/>
                <w:szCs w:val="24"/>
              </w:rPr>
            </w:pPr>
            <w:r w:rsidRPr="004E3F4A">
              <w:rPr>
                <w:b/>
                <w:bCs/>
                <w:color w:val="000000" w:themeColor="text1"/>
                <w:sz w:val="24"/>
                <w:szCs w:val="24"/>
              </w:rPr>
              <w:t xml:space="preserve">Vai A ailē minētā prasība ar B ailē minēto projekta punktu/apakšpunktu tiek izpildīta pilnībā vai daļēji? </w:t>
            </w:r>
            <w:r w:rsidRPr="004E3F4A">
              <w:rPr>
                <w:i/>
                <w:iCs/>
                <w:color w:val="000000" w:themeColor="text1"/>
                <w:sz w:val="24"/>
                <w:szCs w:val="24"/>
              </w:rPr>
              <w:t>(ja daļēji, norāda, kur un kā ir vai tiks nodrošināta prasības pilnīga izpilde)</w:t>
            </w:r>
          </w:p>
        </w:tc>
        <w:tc>
          <w:tcPr>
            <w:tcW w:w="2604" w:type="dxa"/>
          </w:tcPr>
          <w:p w14:paraId="6D2861E3" w14:textId="77777777" w:rsidR="00057AFF" w:rsidRPr="004E3F4A" w:rsidRDefault="00057AFF" w:rsidP="00A7727A">
            <w:pPr>
              <w:rPr>
                <w:b/>
                <w:bCs/>
                <w:color w:val="000000" w:themeColor="text1"/>
                <w:sz w:val="24"/>
                <w:szCs w:val="24"/>
              </w:rPr>
            </w:pPr>
            <w:r w:rsidRPr="004E3F4A">
              <w:rPr>
                <w:b/>
                <w:bCs/>
                <w:color w:val="000000" w:themeColor="text1"/>
                <w:sz w:val="24"/>
                <w:szCs w:val="24"/>
              </w:rPr>
              <w:t xml:space="preserve">Vai B ailē norādītais projekta punkts/apakšpunkts paredz stingrākas prasības, nekā A ailē minētā prasība </w:t>
            </w:r>
            <w:r w:rsidRPr="004E3F4A">
              <w:rPr>
                <w:i/>
                <w:iCs/>
                <w:color w:val="000000" w:themeColor="text1"/>
                <w:sz w:val="24"/>
                <w:szCs w:val="24"/>
              </w:rPr>
              <w:t>(ja paredz stingrākas prasības, papildus norāda pamatojumu šādu stingrāku prasību nepieciešamībai)</w:t>
            </w:r>
          </w:p>
        </w:tc>
        <w:tc>
          <w:tcPr>
            <w:tcW w:w="2822" w:type="dxa"/>
          </w:tcPr>
          <w:p w14:paraId="41403109" w14:textId="77777777" w:rsidR="00057AFF" w:rsidRPr="004E3F4A" w:rsidRDefault="00057AFF" w:rsidP="00A7727A">
            <w:pPr>
              <w:rPr>
                <w:i/>
                <w:iCs/>
                <w:color w:val="000000" w:themeColor="text1"/>
                <w:sz w:val="24"/>
                <w:szCs w:val="24"/>
              </w:rPr>
            </w:pPr>
            <w:r w:rsidRPr="004E3F4A">
              <w:rPr>
                <w:b/>
                <w:bCs/>
                <w:color w:val="000000" w:themeColor="text1"/>
                <w:sz w:val="24"/>
                <w:szCs w:val="24"/>
              </w:rPr>
              <w:t xml:space="preserve">Vai A ailē minētā prasība ir jāizpilda obligāti </w:t>
            </w:r>
            <w:r w:rsidRPr="004E3F4A">
              <w:rPr>
                <w:i/>
                <w:iCs/>
                <w:color w:val="000000" w:themeColor="text1"/>
                <w:sz w:val="24"/>
                <w:szCs w:val="24"/>
              </w:rPr>
              <w:t>(ja Eiropas Savienības tiesību akts paredz izvēles iespēju, papildus norāda, vai un kādēļ šī rīcības brīvība Latvijā ir vai nav jāizmanto)</w:t>
            </w:r>
          </w:p>
          <w:p w14:paraId="56A5EB94" w14:textId="77777777" w:rsidR="00057AFF" w:rsidRPr="004E3F4A" w:rsidRDefault="00057AFF" w:rsidP="00A7727A">
            <w:pPr>
              <w:rPr>
                <w:b/>
                <w:bCs/>
                <w:color w:val="000000" w:themeColor="text1"/>
                <w:sz w:val="24"/>
                <w:szCs w:val="24"/>
              </w:rPr>
            </w:pPr>
          </w:p>
          <w:p w14:paraId="364B6748" w14:textId="77777777" w:rsidR="00057AFF" w:rsidRPr="004E3F4A" w:rsidRDefault="00057AFF" w:rsidP="00A7727A">
            <w:pPr>
              <w:rPr>
                <w:b/>
                <w:bCs/>
                <w:color w:val="000000" w:themeColor="text1"/>
                <w:sz w:val="24"/>
                <w:szCs w:val="24"/>
              </w:rPr>
            </w:pPr>
          </w:p>
        </w:tc>
        <w:tc>
          <w:tcPr>
            <w:tcW w:w="2335" w:type="dxa"/>
          </w:tcPr>
          <w:p w14:paraId="4A033900" w14:textId="77777777" w:rsidR="00057AFF" w:rsidRPr="007F57D8" w:rsidRDefault="00057AFF" w:rsidP="00057AFF">
            <w:pPr>
              <w:jc w:val="left"/>
              <w:rPr>
                <w:rStyle w:val="cf01"/>
                <w:rFonts w:ascii="Times New Roman" w:hAnsi="Times New Roman" w:cs="Times New Roman"/>
                <w:b/>
                <w:bCs/>
                <w:color w:val="auto"/>
                <w:sz w:val="24"/>
                <w:szCs w:val="24"/>
              </w:rPr>
            </w:pPr>
            <w:r w:rsidRPr="00B964A5">
              <w:rPr>
                <w:rStyle w:val="cf01"/>
                <w:rFonts w:ascii="Times New Roman" w:hAnsi="Times New Roman" w:cs="Times New Roman"/>
                <w:b/>
                <w:bCs/>
                <w:sz w:val="24"/>
                <w:szCs w:val="24"/>
              </w:rPr>
              <w:t>Vai A ailē minētais Eiropas Savienības tiesību akts paredz dalībvalsts paziņošanas pienākumu Eiropas Savienības institūcijām?</w:t>
            </w:r>
          </w:p>
          <w:p w14:paraId="060C5DAD" w14:textId="78AE8ED6" w:rsidR="00057AFF" w:rsidRPr="007F57D8" w:rsidRDefault="00057AFF" w:rsidP="00057AFF">
            <w:pPr>
              <w:rPr>
                <w:b/>
                <w:bCs/>
                <w:color w:val="auto"/>
                <w:sz w:val="24"/>
                <w:szCs w:val="24"/>
              </w:rPr>
            </w:pPr>
            <w:r w:rsidRPr="00B964A5">
              <w:rPr>
                <w:rStyle w:val="cf01"/>
                <w:rFonts w:ascii="Times New Roman" w:hAnsi="Times New Roman" w:cs="Times New Roman"/>
                <w:i/>
                <w:iCs/>
                <w:sz w:val="24"/>
                <w:szCs w:val="24"/>
              </w:rPr>
              <w:t>(Ja paredz, norāda, kas un kādā termiņā šo paziņošanas pienākumu izpildīs)</w:t>
            </w:r>
          </w:p>
        </w:tc>
      </w:tr>
      <w:tr w:rsidR="00057AFF" w:rsidRPr="004E3F4A" w14:paraId="56D6816D" w14:textId="2372602F" w:rsidTr="00794669">
        <w:tc>
          <w:tcPr>
            <w:tcW w:w="2088" w:type="dxa"/>
          </w:tcPr>
          <w:p w14:paraId="16E74498" w14:textId="77777777" w:rsidR="00057AFF" w:rsidRPr="004E3F4A" w:rsidRDefault="00057AFF" w:rsidP="00057AFF">
            <w:pPr>
              <w:jc w:val="center"/>
              <w:rPr>
                <w:color w:val="000000" w:themeColor="text1"/>
                <w:sz w:val="24"/>
                <w:szCs w:val="24"/>
              </w:rPr>
            </w:pPr>
            <w:r w:rsidRPr="004E3F4A">
              <w:rPr>
                <w:color w:val="000000" w:themeColor="text1"/>
                <w:sz w:val="24"/>
                <w:szCs w:val="24"/>
              </w:rPr>
              <w:t>A</w:t>
            </w:r>
          </w:p>
        </w:tc>
        <w:tc>
          <w:tcPr>
            <w:tcW w:w="2358" w:type="dxa"/>
          </w:tcPr>
          <w:p w14:paraId="413F2674" w14:textId="77777777" w:rsidR="00057AFF" w:rsidRPr="004E3F4A" w:rsidRDefault="00057AFF" w:rsidP="00057AFF">
            <w:pPr>
              <w:jc w:val="center"/>
              <w:rPr>
                <w:color w:val="000000" w:themeColor="text1"/>
                <w:sz w:val="24"/>
                <w:szCs w:val="24"/>
              </w:rPr>
            </w:pPr>
            <w:r w:rsidRPr="004E3F4A">
              <w:rPr>
                <w:color w:val="000000" w:themeColor="text1"/>
                <w:sz w:val="24"/>
                <w:szCs w:val="24"/>
              </w:rPr>
              <w:t>B</w:t>
            </w:r>
          </w:p>
        </w:tc>
        <w:tc>
          <w:tcPr>
            <w:tcW w:w="2579" w:type="dxa"/>
          </w:tcPr>
          <w:p w14:paraId="2EB30290" w14:textId="77777777" w:rsidR="00057AFF" w:rsidRPr="004E3F4A" w:rsidRDefault="00057AFF" w:rsidP="00057AFF">
            <w:pPr>
              <w:jc w:val="center"/>
              <w:rPr>
                <w:color w:val="000000" w:themeColor="text1"/>
                <w:sz w:val="24"/>
                <w:szCs w:val="24"/>
              </w:rPr>
            </w:pPr>
            <w:r w:rsidRPr="004E3F4A">
              <w:rPr>
                <w:color w:val="000000" w:themeColor="text1"/>
                <w:sz w:val="24"/>
                <w:szCs w:val="24"/>
              </w:rPr>
              <w:t>C</w:t>
            </w:r>
          </w:p>
        </w:tc>
        <w:tc>
          <w:tcPr>
            <w:tcW w:w="2604" w:type="dxa"/>
          </w:tcPr>
          <w:p w14:paraId="247620A9" w14:textId="77777777" w:rsidR="00057AFF" w:rsidRPr="004E3F4A" w:rsidRDefault="00057AFF" w:rsidP="00057AFF">
            <w:pPr>
              <w:jc w:val="center"/>
              <w:rPr>
                <w:color w:val="000000" w:themeColor="text1"/>
                <w:sz w:val="24"/>
                <w:szCs w:val="24"/>
              </w:rPr>
            </w:pPr>
            <w:r w:rsidRPr="004E3F4A">
              <w:rPr>
                <w:color w:val="000000" w:themeColor="text1"/>
                <w:sz w:val="24"/>
                <w:szCs w:val="24"/>
              </w:rPr>
              <w:t>D</w:t>
            </w:r>
          </w:p>
        </w:tc>
        <w:tc>
          <w:tcPr>
            <w:tcW w:w="2822" w:type="dxa"/>
          </w:tcPr>
          <w:p w14:paraId="62CFBEC5" w14:textId="77777777" w:rsidR="00057AFF" w:rsidRPr="004E3F4A" w:rsidRDefault="00057AFF" w:rsidP="00057AFF">
            <w:pPr>
              <w:jc w:val="center"/>
              <w:rPr>
                <w:color w:val="000000" w:themeColor="text1"/>
                <w:sz w:val="24"/>
                <w:szCs w:val="24"/>
              </w:rPr>
            </w:pPr>
            <w:r w:rsidRPr="004E3F4A">
              <w:rPr>
                <w:color w:val="000000" w:themeColor="text1"/>
                <w:sz w:val="24"/>
                <w:szCs w:val="24"/>
              </w:rPr>
              <w:t>E</w:t>
            </w:r>
          </w:p>
        </w:tc>
        <w:tc>
          <w:tcPr>
            <w:tcW w:w="2335" w:type="dxa"/>
          </w:tcPr>
          <w:p w14:paraId="75E0B699" w14:textId="03CB456F" w:rsidR="00057AFF" w:rsidRPr="004E3F4A" w:rsidRDefault="00057AFF" w:rsidP="00057AFF">
            <w:pPr>
              <w:jc w:val="center"/>
              <w:rPr>
                <w:color w:val="000000" w:themeColor="text1"/>
                <w:sz w:val="24"/>
                <w:szCs w:val="24"/>
              </w:rPr>
            </w:pPr>
            <w:r w:rsidRPr="004E3F4A">
              <w:rPr>
                <w:color w:val="000000" w:themeColor="text1"/>
                <w:sz w:val="24"/>
                <w:szCs w:val="24"/>
              </w:rPr>
              <w:t>F</w:t>
            </w:r>
          </w:p>
        </w:tc>
      </w:tr>
      <w:tr w:rsidR="00057AFF" w:rsidRPr="004E3F4A" w14:paraId="3BCC795F" w14:textId="48CA0F61" w:rsidTr="005239D1">
        <w:trPr>
          <w:trHeight w:val="70"/>
        </w:trPr>
        <w:tc>
          <w:tcPr>
            <w:tcW w:w="2088" w:type="dxa"/>
          </w:tcPr>
          <w:p w14:paraId="7E302815" w14:textId="2AD483F9" w:rsidR="00057AFF" w:rsidRPr="004E3F4A" w:rsidRDefault="00057AFF" w:rsidP="00A7727A">
            <w:pPr>
              <w:rPr>
                <w:color w:val="000000" w:themeColor="text1"/>
                <w:sz w:val="24"/>
                <w:szCs w:val="24"/>
              </w:rPr>
            </w:pPr>
            <w:r w:rsidRPr="004E3F4A">
              <w:rPr>
                <w:rStyle w:val="cf01"/>
                <w:rFonts w:ascii="Times New Roman" w:hAnsi="Times New Roman" w:cs="Times New Roman"/>
                <w:sz w:val="24"/>
                <w:szCs w:val="24"/>
              </w:rPr>
              <w:t xml:space="preserve">Direktīvas </w:t>
            </w:r>
            <w:r w:rsidRPr="004E3F4A">
              <w:rPr>
                <w:rStyle w:val="cf11"/>
                <w:rFonts w:ascii="Times New Roman" w:hAnsi="Times New Roman" w:cs="Times New Roman"/>
                <w:sz w:val="24"/>
                <w:szCs w:val="24"/>
              </w:rPr>
              <w:t xml:space="preserve">2019/878 </w:t>
            </w:r>
            <w:r w:rsidRPr="004E3F4A">
              <w:rPr>
                <w:color w:val="000000"/>
                <w:sz w:val="24"/>
                <w:szCs w:val="24"/>
              </w:rPr>
              <w:t>1. panta 11. punkts</w:t>
            </w:r>
            <w:r w:rsidR="00616BDD" w:rsidRPr="004E3F4A">
              <w:rPr>
                <w:color w:val="000000"/>
                <w:sz w:val="24"/>
                <w:szCs w:val="24"/>
              </w:rPr>
              <w:t xml:space="preserve"> (</w:t>
            </w:r>
            <w:r w:rsidR="000C1E52" w:rsidRPr="004E3F4A">
              <w:rPr>
                <w:color w:val="000000"/>
                <w:sz w:val="24"/>
                <w:szCs w:val="24"/>
              </w:rPr>
              <w:t xml:space="preserve">Direktīvas </w:t>
            </w:r>
            <w:r w:rsidR="00616BDD" w:rsidRPr="004E3F4A">
              <w:rPr>
                <w:color w:val="000000"/>
                <w:sz w:val="24"/>
                <w:szCs w:val="24"/>
              </w:rPr>
              <w:t>2013/36 47. panta 1.a</w:t>
            </w:r>
            <w:r w:rsidR="007835C9" w:rsidRPr="004E3F4A">
              <w:rPr>
                <w:color w:val="000000"/>
                <w:sz w:val="24"/>
                <w:szCs w:val="24"/>
              </w:rPr>
              <w:t> punkts)</w:t>
            </w:r>
          </w:p>
        </w:tc>
        <w:tc>
          <w:tcPr>
            <w:tcW w:w="2358" w:type="dxa"/>
          </w:tcPr>
          <w:p w14:paraId="187EA6A4" w14:textId="7D69FADE" w:rsidR="00057AFF" w:rsidRPr="004E3F4A" w:rsidRDefault="000C1E52" w:rsidP="00A7727A">
            <w:pPr>
              <w:rPr>
                <w:color w:val="000000" w:themeColor="text1"/>
                <w:sz w:val="24"/>
                <w:szCs w:val="24"/>
              </w:rPr>
            </w:pPr>
            <w:r w:rsidRPr="004E3F4A">
              <w:rPr>
                <w:color w:val="000000" w:themeColor="text1"/>
                <w:sz w:val="24"/>
                <w:szCs w:val="24"/>
              </w:rPr>
              <w:t xml:space="preserve">Projekta </w:t>
            </w:r>
            <w:r w:rsidR="00721B83" w:rsidRPr="004E3F4A">
              <w:rPr>
                <w:color w:val="000000" w:themeColor="text1"/>
                <w:sz w:val="24"/>
                <w:szCs w:val="24"/>
              </w:rPr>
              <w:t>30.</w:t>
            </w:r>
            <w:r w:rsidR="00F108FF" w:rsidRPr="004E3F4A">
              <w:rPr>
                <w:color w:val="000000" w:themeColor="text1"/>
                <w:sz w:val="24"/>
                <w:szCs w:val="24"/>
              </w:rPr>
              <w:t>, 31., 32.</w:t>
            </w:r>
            <w:r w:rsidRPr="004E3F4A">
              <w:rPr>
                <w:color w:val="000000" w:themeColor="text1"/>
                <w:sz w:val="24"/>
                <w:szCs w:val="24"/>
              </w:rPr>
              <w:t> </w:t>
            </w:r>
            <w:r w:rsidR="00057AFF" w:rsidRPr="004E3F4A">
              <w:rPr>
                <w:color w:val="000000" w:themeColor="text1"/>
                <w:sz w:val="24"/>
                <w:szCs w:val="24"/>
              </w:rPr>
              <w:t>punkts</w:t>
            </w:r>
          </w:p>
        </w:tc>
        <w:tc>
          <w:tcPr>
            <w:tcW w:w="2579" w:type="dxa"/>
          </w:tcPr>
          <w:p w14:paraId="4DCBA28A" w14:textId="6C6A9562" w:rsidR="00057AFF" w:rsidRPr="004E3F4A" w:rsidRDefault="000C1E52" w:rsidP="00A7727A">
            <w:pPr>
              <w:rPr>
                <w:color w:val="000000" w:themeColor="text1"/>
                <w:sz w:val="24"/>
                <w:szCs w:val="24"/>
              </w:rPr>
            </w:pPr>
            <w:r w:rsidRPr="004E3F4A">
              <w:rPr>
                <w:color w:val="000000" w:themeColor="text1"/>
                <w:sz w:val="24"/>
                <w:szCs w:val="24"/>
              </w:rPr>
              <w:t xml:space="preserve">Izpilda </w:t>
            </w:r>
            <w:r w:rsidR="00057AFF" w:rsidRPr="004E3F4A">
              <w:rPr>
                <w:color w:val="000000" w:themeColor="text1"/>
                <w:sz w:val="24"/>
                <w:szCs w:val="24"/>
              </w:rPr>
              <w:t>pilnībā</w:t>
            </w:r>
          </w:p>
        </w:tc>
        <w:tc>
          <w:tcPr>
            <w:tcW w:w="2604" w:type="dxa"/>
          </w:tcPr>
          <w:p w14:paraId="1827747B" w14:textId="4DCA24DA" w:rsidR="00057AFF" w:rsidRPr="004E3F4A" w:rsidRDefault="000C1E52" w:rsidP="00A7727A">
            <w:pPr>
              <w:rPr>
                <w:color w:val="000000" w:themeColor="text1"/>
                <w:sz w:val="24"/>
                <w:szCs w:val="24"/>
              </w:rPr>
            </w:pPr>
            <w:r w:rsidRPr="004E3F4A">
              <w:rPr>
                <w:color w:val="000000" w:themeColor="text1"/>
                <w:sz w:val="24"/>
                <w:szCs w:val="24"/>
              </w:rPr>
              <w:t>Nē</w:t>
            </w:r>
          </w:p>
        </w:tc>
        <w:tc>
          <w:tcPr>
            <w:tcW w:w="2822" w:type="dxa"/>
          </w:tcPr>
          <w:p w14:paraId="3CAC5F30" w14:textId="56DDE997" w:rsidR="00057AFF" w:rsidRPr="007F57D8" w:rsidRDefault="000C1E52" w:rsidP="00A7727A">
            <w:pPr>
              <w:rPr>
                <w:color w:val="auto"/>
                <w:sz w:val="24"/>
                <w:szCs w:val="24"/>
              </w:rPr>
            </w:pPr>
            <w:r w:rsidRPr="00B964A5">
              <w:rPr>
                <w:rStyle w:val="cf01"/>
                <w:rFonts w:ascii="Times New Roman" w:hAnsi="Times New Roman" w:cs="Times New Roman"/>
                <w:sz w:val="24"/>
                <w:szCs w:val="24"/>
              </w:rPr>
              <w:t>Jā</w:t>
            </w:r>
          </w:p>
        </w:tc>
        <w:tc>
          <w:tcPr>
            <w:tcW w:w="2335" w:type="dxa"/>
          </w:tcPr>
          <w:p w14:paraId="0ABCE990" w14:textId="3D08BAB3" w:rsidR="00057AFF" w:rsidRPr="007F57D8" w:rsidRDefault="004D05D8" w:rsidP="00A7727A">
            <w:pPr>
              <w:rPr>
                <w:rStyle w:val="cf01"/>
                <w:rFonts w:ascii="Times New Roman" w:hAnsi="Times New Roman" w:cs="Times New Roman"/>
                <w:color w:val="auto"/>
                <w:sz w:val="24"/>
                <w:szCs w:val="24"/>
              </w:rPr>
            </w:pPr>
            <w:r w:rsidRPr="00B964A5">
              <w:rPr>
                <w:rStyle w:val="cf01"/>
                <w:rFonts w:ascii="Times New Roman" w:hAnsi="Times New Roman" w:cs="Times New Roman"/>
                <w:sz w:val="24"/>
                <w:szCs w:val="24"/>
              </w:rPr>
              <w:t xml:space="preserve">Saņemot Latvijas Bankas informāciju par šā projekta apstiprināšanu Latvijas Bankas padomē un publicēšanu oficiālajā izdevumā "Latvijas </w:t>
            </w:r>
            <w:r w:rsidRPr="00B964A5">
              <w:rPr>
                <w:rStyle w:val="cf01"/>
                <w:rFonts w:ascii="Times New Roman" w:hAnsi="Times New Roman" w:cs="Times New Roman"/>
                <w:sz w:val="24"/>
                <w:szCs w:val="24"/>
              </w:rPr>
              <w:lastRenderedPageBreak/>
              <w:t>Vēstnesis", paziņošanas pienākumu izpildīs Finanšu ministrija.</w:t>
            </w:r>
          </w:p>
        </w:tc>
      </w:tr>
    </w:tbl>
    <w:p w14:paraId="4273F7C4" w14:textId="438D5778" w:rsidR="00A30F3E" w:rsidRDefault="00A30F3E" w:rsidP="00F626A0">
      <w:pPr>
        <w:spacing w:after="0" w:line="240" w:lineRule="auto"/>
        <w:rPr>
          <w:rFonts w:ascii="Times New Roman" w:hAnsi="Times New Roman" w:cs="Times New Roman"/>
          <w:sz w:val="24"/>
          <w:szCs w:val="24"/>
        </w:rPr>
      </w:pPr>
    </w:p>
    <w:p w14:paraId="20616F89" w14:textId="77777777" w:rsidR="00A30F3E" w:rsidRDefault="00A30F3E">
      <w:pPr>
        <w:rPr>
          <w:rFonts w:ascii="Times New Roman" w:hAnsi="Times New Roman" w:cs="Times New Roman"/>
          <w:sz w:val="24"/>
          <w:szCs w:val="24"/>
        </w:rPr>
      </w:pPr>
      <w:r>
        <w:rPr>
          <w:rFonts w:ascii="Times New Roman" w:hAnsi="Times New Roman" w:cs="Times New Roman"/>
          <w:sz w:val="24"/>
          <w:szCs w:val="24"/>
        </w:rPr>
        <w:br w:type="page"/>
      </w:r>
    </w:p>
    <w:sdt>
      <w:sdtPr>
        <w:id w:val="1552194990"/>
        <w:placeholder>
          <w:docPart w:val="549E4954616D4354AD577CD9E3C0B173"/>
        </w:placeholder>
      </w:sdtPr>
      <w:sdtContent>
        <w:p w14:paraId="6F3334DD" w14:textId="4A16DB8C" w:rsidR="00061F14" w:rsidRPr="004E3F4A" w:rsidRDefault="00061F14" w:rsidP="00061F14">
          <w:pPr>
            <w:pStyle w:val="NApielikums"/>
          </w:pPr>
          <w:r w:rsidRPr="004E3F4A">
            <w:t>2.</w:t>
          </w:r>
          <w:r w:rsidR="00D00D6E" w:rsidRPr="004E3F4A">
            <w:t> </w:t>
          </w:r>
          <w:r w:rsidRPr="004E3F4A">
            <w:t>pielikums</w:t>
          </w:r>
        </w:p>
        <w:p w14:paraId="0CBC1090" w14:textId="77777777" w:rsidR="00061F14" w:rsidRPr="004E3F4A" w:rsidRDefault="00061F14" w:rsidP="00061F14">
          <w:pPr>
            <w:spacing w:after="0" w:line="240" w:lineRule="auto"/>
            <w:jc w:val="right"/>
            <w:rPr>
              <w:rFonts w:ascii="Times New Roman" w:hAnsi="Times New Roman" w:cs="Times New Roman"/>
              <w:color w:val="000000" w:themeColor="text1"/>
              <w:sz w:val="24"/>
              <w:szCs w:val="24"/>
            </w:rPr>
          </w:pPr>
          <w:r w:rsidRPr="004E3F4A">
            <w:rPr>
              <w:rFonts w:ascii="Times New Roman" w:hAnsi="Times New Roman" w:cs="Times New Roman"/>
              <w:color w:val="000000" w:themeColor="text1"/>
              <w:sz w:val="24"/>
              <w:szCs w:val="24"/>
            </w:rPr>
            <w:t>Latvijas Bankas noteikumu projekta anotācijai</w:t>
          </w:r>
        </w:p>
        <w:p w14:paraId="5EE58AD1" w14:textId="2267479E" w:rsidR="00061F14" w:rsidRPr="004E3F4A" w:rsidRDefault="00000000" w:rsidP="00061F14">
          <w:pPr>
            <w:pStyle w:val="NApielikums"/>
          </w:pPr>
        </w:p>
      </w:sdtContent>
    </w:sdt>
    <w:sdt>
      <w:sdtPr>
        <w:rPr>
          <w:rFonts w:ascii="Times New Roman" w:hAnsi="Times New Roman" w:cs="Times New Roman"/>
          <w:bCs/>
          <w:color w:val="000000" w:themeColor="text1"/>
          <w:sz w:val="24"/>
          <w:szCs w:val="24"/>
        </w:rPr>
        <w:id w:val="-1871525274"/>
        <w:placeholder>
          <w:docPart w:val="99D373AFDD2640ABA8BFD9694617F8EC"/>
        </w:placeholder>
      </w:sdtPr>
      <w:sdtContent>
        <w:sdt>
          <w:sdtPr>
            <w:rPr>
              <w:rFonts w:ascii="Times New Roman" w:hAnsi="Times New Roman" w:cs="Times New Roman"/>
              <w:bCs/>
              <w:color w:val="000000" w:themeColor="text1"/>
              <w:sz w:val="24"/>
              <w:szCs w:val="24"/>
            </w:rPr>
            <w:id w:val="293333744"/>
            <w:placeholder>
              <w:docPart w:val="B2144BAC3AA24770B72AEA21E1797EC4"/>
            </w:placeholder>
          </w:sdtPr>
          <w:sdtContent>
            <w:sdt>
              <w:sdtPr>
                <w:rPr>
                  <w:rFonts w:ascii="Times New Roman" w:hAnsi="Times New Roman" w:cs="Times New Roman"/>
                  <w:bCs/>
                  <w:color w:val="000000" w:themeColor="text1"/>
                  <w:sz w:val="24"/>
                  <w:szCs w:val="24"/>
                </w:rPr>
                <w:id w:val="1472949152"/>
                <w:placeholder>
                  <w:docPart w:val="727E0727CB40484F87CCFD813952F042"/>
                </w:placeholder>
              </w:sdtPr>
              <w:sdtContent>
                <w:p w14:paraId="270B5329" w14:textId="4E1A11EC" w:rsidR="00061F14" w:rsidRPr="004E3F4A" w:rsidRDefault="00061F14" w:rsidP="00061F14">
                  <w:pPr>
                    <w:spacing w:before="240"/>
                    <w:jc w:val="center"/>
                    <w:rPr>
                      <w:rFonts w:ascii="Times New Roman" w:hAnsi="Times New Roman" w:cs="Times New Roman"/>
                      <w:bCs/>
                      <w:color w:val="000000" w:themeColor="text1"/>
                      <w:sz w:val="24"/>
                      <w:szCs w:val="24"/>
                    </w:rPr>
                  </w:pPr>
                  <w:r w:rsidRPr="004E3F4A">
                    <w:rPr>
                      <w:rFonts w:ascii="Times New Roman" w:hAnsi="Times New Roman" w:cs="Times New Roman"/>
                      <w:bCs/>
                      <w:color w:val="000000" w:themeColor="text1"/>
                      <w:sz w:val="24"/>
                      <w:szCs w:val="24"/>
                    </w:rPr>
                    <w:t>Sabiedrības līdzdalības laikā saņemto priekšlikumu par Latvijas Bankas noteikumu projektu  apkopojums</w:t>
                  </w:r>
                </w:p>
              </w:sdtContent>
            </w:sdt>
          </w:sdtContent>
        </w:sdt>
      </w:sdtContent>
    </w:sdt>
    <w:p w14:paraId="7882208F" w14:textId="77777777" w:rsidR="00061F14" w:rsidRPr="004E3F4A" w:rsidRDefault="00061F14" w:rsidP="00061F14">
      <w:pPr>
        <w:pStyle w:val="NApunkts1"/>
        <w:numPr>
          <w:ilvl w:val="0"/>
          <w:numId w:val="0"/>
        </w:num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4212"/>
        <w:gridCol w:w="5103"/>
        <w:gridCol w:w="4111"/>
      </w:tblGrid>
      <w:tr w:rsidR="00061F14" w:rsidRPr="004E3F4A" w14:paraId="63133BB5" w14:textId="77777777" w:rsidTr="00E5049D">
        <w:tc>
          <w:tcPr>
            <w:tcW w:w="756" w:type="dxa"/>
            <w:tcBorders>
              <w:top w:val="single" w:sz="4" w:space="0" w:color="auto"/>
              <w:left w:val="single" w:sz="4" w:space="0" w:color="auto"/>
              <w:bottom w:val="single" w:sz="4" w:space="0" w:color="auto"/>
              <w:right w:val="single" w:sz="4" w:space="0" w:color="auto"/>
            </w:tcBorders>
          </w:tcPr>
          <w:p w14:paraId="332817E5" w14:textId="77777777" w:rsidR="00061F14" w:rsidRPr="004E3F4A" w:rsidRDefault="00061F14" w:rsidP="0006032A">
            <w:pPr>
              <w:jc w:val="center"/>
              <w:rPr>
                <w:rFonts w:ascii="Times New Roman" w:hAnsi="Times New Roman" w:cs="Times New Roman"/>
                <w:b/>
                <w:sz w:val="24"/>
                <w:szCs w:val="24"/>
              </w:rPr>
            </w:pPr>
            <w:r w:rsidRPr="004E3F4A">
              <w:rPr>
                <w:rFonts w:ascii="Times New Roman" w:hAnsi="Times New Roman" w:cs="Times New Roman"/>
                <w:b/>
                <w:sz w:val="24"/>
                <w:szCs w:val="24"/>
              </w:rPr>
              <w:t>Nr.</w:t>
            </w:r>
            <w:r w:rsidRPr="004E3F4A">
              <w:rPr>
                <w:rFonts w:ascii="Times New Roman" w:hAnsi="Times New Roman" w:cs="Times New Roman"/>
                <w:b/>
                <w:sz w:val="24"/>
                <w:szCs w:val="24"/>
              </w:rPr>
              <w:br/>
              <w:t>p.k.</w:t>
            </w:r>
          </w:p>
        </w:tc>
        <w:tc>
          <w:tcPr>
            <w:tcW w:w="4212" w:type="dxa"/>
            <w:tcBorders>
              <w:top w:val="single" w:sz="4" w:space="0" w:color="auto"/>
              <w:left w:val="single" w:sz="4" w:space="0" w:color="auto"/>
              <w:bottom w:val="single" w:sz="4" w:space="0" w:color="auto"/>
              <w:right w:val="single" w:sz="4" w:space="0" w:color="auto"/>
            </w:tcBorders>
            <w:shd w:val="clear" w:color="auto" w:fill="auto"/>
            <w:hideMark/>
          </w:tcPr>
          <w:p w14:paraId="24296F1B" w14:textId="77777777" w:rsidR="00061F14" w:rsidRPr="004E3F4A" w:rsidRDefault="00061F14" w:rsidP="0006032A">
            <w:pPr>
              <w:jc w:val="center"/>
              <w:rPr>
                <w:rFonts w:ascii="Times New Roman" w:hAnsi="Times New Roman" w:cs="Times New Roman"/>
                <w:b/>
                <w:sz w:val="24"/>
                <w:szCs w:val="24"/>
              </w:rPr>
            </w:pPr>
            <w:r w:rsidRPr="004E3F4A">
              <w:rPr>
                <w:rFonts w:ascii="Times New Roman" w:hAnsi="Times New Roman" w:cs="Times New Roman"/>
                <w:b/>
                <w:sz w:val="24"/>
                <w:szCs w:val="24"/>
              </w:rPr>
              <w:t xml:space="preserve">Sabiedrības līdzdalībai nodotā projekta redakcija </w:t>
            </w:r>
            <w:r w:rsidRPr="004E3F4A">
              <w:rPr>
                <w:rFonts w:ascii="Times New Roman" w:hAnsi="Times New Roman" w:cs="Times New Roman"/>
                <w:b/>
                <w:iCs/>
                <w:sz w:val="24"/>
                <w:szCs w:val="24"/>
              </w:rPr>
              <w:t>(konkrēta punkta redakcija)</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64981A26" w14:textId="77777777" w:rsidR="00061F14" w:rsidRPr="004E3F4A" w:rsidRDefault="00061F14" w:rsidP="0006032A">
            <w:pPr>
              <w:jc w:val="center"/>
              <w:rPr>
                <w:rFonts w:ascii="Times New Roman" w:hAnsi="Times New Roman" w:cs="Times New Roman"/>
                <w:b/>
                <w:sz w:val="24"/>
                <w:szCs w:val="24"/>
              </w:rPr>
            </w:pPr>
            <w:r w:rsidRPr="004E3F4A">
              <w:rPr>
                <w:rFonts w:ascii="Times New Roman" w:hAnsi="Times New Roman" w:cs="Times New Roman"/>
                <w:b/>
                <w:sz w:val="24"/>
                <w:szCs w:val="24"/>
              </w:rPr>
              <w:t>Izteiktais iebildums (priekšlikums)</w:t>
            </w:r>
            <w:r w:rsidRPr="004E3F4A">
              <w:rPr>
                <w:rFonts w:ascii="Times New Roman" w:hAnsi="Times New Roman" w:cs="Times New Roman"/>
                <w:b/>
                <w:iCs/>
                <w:sz w:val="24"/>
                <w:szCs w:val="24"/>
              </w:rPr>
              <w:t xml:space="preserve"> par projekta konkrēto punktu, norādot sabiedrības pārstāvi</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14:paraId="3A301E9D" w14:textId="77777777" w:rsidR="00061F14" w:rsidRPr="004E3F4A" w:rsidRDefault="00061F14" w:rsidP="0006032A">
            <w:pPr>
              <w:jc w:val="center"/>
              <w:rPr>
                <w:rFonts w:ascii="Times New Roman" w:hAnsi="Times New Roman" w:cs="Times New Roman"/>
                <w:b/>
                <w:sz w:val="24"/>
                <w:szCs w:val="24"/>
              </w:rPr>
            </w:pPr>
            <w:r w:rsidRPr="004E3F4A">
              <w:rPr>
                <w:rFonts w:ascii="Times New Roman" w:hAnsi="Times New Roman" w:cs="Times New Roman"/>
                <w:b/>
                <w:iCs/>
                <w:sz w:val="24"/>
                <w:szCs w:val="24"/>
              </w:rPr>
              <w:t xml:space="preserve">Latvijas Bankas </w:t>
            </w:r>
            <w:r w:rsidRPr="004E3F4A">
              <w:rPr>
                <w:rFonts w:ascii="Times New Roman" w:hAnsi="Times New Roman" w:cs="Times New Roman"/>
                <w:b/>
                <w:sz w:val="24"/>
                <w:szCs w:val="24"/>
              </w:rPr>
              <w:t xml:space="preserve">viedoklis par izteikto iebildumu (priekšlikumu) un </w:t>
            </w:r>
            <w:r w:rsidRPr="004E3F4A">
              <w:rPr>
                <w:rFonts w:ascii="Times New Roman" w:hAnsi="Times New Roman" w:cs="Times New Roman"/>
                <w:b/>
                <w:iCs/>
                <w:sz w:val="24"/>
                <w:szCs w:val="24"/>
              </w:rPr>
              <w:t>norāde, vai tas ņemts vērā</w:t>
            </w:r>
          </w:p>
        </w:tc>
      </w:tr>
      <w:tr w:rsidR="00061F14" w:rsidRPr="004E3F4A" w14:paraId="26FF0131" w14:textId="77777777" w:rsidTr="00E5049D">
        <w:tc>
          <w:tcPr>
            <w:tcW w:w="756" w:type="dxa"/>
            <w:tcBorders>
              <w:top w:val="single" w:sz="4" w:space="0" w:color="auto"/>
              <w:left w:val="single" w:sz="4" w:space="0" w:color="auto"/>
              <w:bottom w:val="single" w:sz="4" w:space="0" w:color="auto"/>
              <w:right w:val="single" w:sz="4" w:space="0" w:color="auto"/>
            </w:tcBorders>
          </w:tcPr>
          <w:p w14:paraId="73E68450" w14:textId="6BCB957D" w:rsidR="00061F14" w:rsidRPr="004E3F4A" w:rsidRDefault="00061F14" w:rsidP="0006032A">
            <w:pPr>
              <w:rPr>
                <w:rFonts w:ascii="Times New Roman" w:hAnsi="Times New Roman" w:cs="Times New Roman"/>
                <w:sz w:val="24"/>
                <w:szCs w:val="24"/>
              </w:rPr>
            </w:pPr>
            <w:r w:rsidRPr="004E3F4A">
              <w:rPr>
                <w:rFonts w:ascii="Times New Roman" w:hAnsi="Times New Roman" w:cs="Times New Roman"/>
                <w:sz w:val="24"/>
                <w:szCs w:val="24"/>
              </w:rPr>
              <w:t>1.</w:t>
            </w:r>
          </w:p>
        </w:tc>
        <w:tc>
          <w:tcPr>
            <w:tcW w:w="4212" w:type="dxa"/>
            <w:tcBorders>
              <w:top w:val="single" w:sz="4" w:space="0" w:color="auto"/>
              <w:left w:val="single" w:sz="4" w:space="0" w:color="auto"/>
              <w:bottom w:val="single" w:sz="4" w:space="0" w:color="auto"/>
              <w:right w:val="single" w:sz="4" w:space="0" w:color="auto"/>
            </w:tcBorders>
          </w:tcPr>
          <w:p w14:paraId="4E1FA90C" w14:textId="77777777" w:rsidR="00061F14" w:rsidRPr="004E3F4A" w:rsidRDefault="00061F14" w:rsidP="00061F14">
            <w:pPr>
              <w:pStyle w:val="NApunkts2"/>
              <w:numPr>
                <w:ilvl w:val="0"/>
                <w:numId w:val="0"/>
              </w:numPr>
            </w:pPr>
            <w:r w:rsidRPr="004E3F4A">
              <w:t>19.1. nodomu atvērt pārstāvniecību ārvalstī vai dalībvalstī ne vēlāk kā mēnesi pirms pārstāvniecības atvēršanas. Iesniegumā kredītiestāde norāda pārstāvniecības nosaukumu, juridisko adresi, kā arī pārstāvniecības vadītāja vārdu un uzvārdu;</w:t>
            </w:r>
          </w:p>
          <w:p w14:paraId="6D6EF10A" w14:textId="2FA50668" w:rsidR="00061F14" w:rsidRPr="004E3F4A" w:rsidRDefault="00061F14" w:rsidP="0006032A">
            <w:pPr>
              <w:rPr>
                <w:rFonts w:ascii="Times New Roman" w:hAnsi="Times New Roman" w:cs="Times New Roman"/>
                <w:sz w:val="24"/>
                <w:szCs w:val="24"/>
              </w:rPr>
            </w:pPr>
          </w:p>
        </w:tc>
        <w:tc>
          <w:tcPr>
            <w:tcW w:w="5103" w:type="dxa"/>
            <w:tcBorders>
              <w:top w:val="single" w:sz="4" w:space="0" w:color="auto"/>
              <w:left w:val="single" w:sz="4" w:space="0" w:color="auto"/>
              <w:bottom w:val="single" w:sz="4" w:space="0" w:color="auto"/>
              <w:right w:val="single" w:sz="4" w:space="0" w:color="auto"/>
            </w:tcBorders>
          </w:tcPr>
          <w:p w14:paraId="090A0118" w14:textId="774A5D79" w:rsidR="0037465F" w:rsidRPr="004E3F4A" w:rsidRDefault="0037465F" w:rsidP="0037465F">
            <w:pPr>
              <w:pStyle w:val="Default"/>
              <w:spacing w:after="120"/>
              <w:jc w:val="both"/>
              <w:rPr>
                <w:rFonts w:ascii="Times New Roman" w:hAnsi="Times New Roman" w:cs="Times New Roman"/>
              </w:rPr>
            </w:pPr>
            <w:r w:rsidRPr="004E3F4A">
              <w:rPr>
                <w:rFonts w:ascii="Times New Roman" w:hAnsi="Times New Roman" w:cs="Times New Roman"/>
              </w:rPr>
              <w:t>Latvijas Finanšu nozares asociācijas priekšlikums:</w:t>
            </w:r>
          </w:p>
          <w:p w14:paraId="30BDBA21" w14:textId="4889D866" w:rsidR="00061F14" w:rsidRPr="004E3F4A" w:rsidRDefault="00061F14" w:rsidP="00061F14">
            <w:pPr>
              <w:pStyle w:val="Default"/>
              <w:jc w:val="both"/>
              <w:rPr>
                <w:rFonts w:ascii="Times New Roman" w:hAnsi="Times New Roman" w:cs="Times New Roman"/>
              </w:rPr>
            </w:pPr>
            <w:r w:rsidRPr="004E3F4A">
              <w:rPr>
                <w:rFonts w:ascii="Times New Roman" w:hAnsi="Times New Roman" w:cs="Times New Roman"/>
              </w:rPr>
              <w:t xml:space="preserve">Noteikumu 19.1. punktā ir noteikts, ka paziņojums Latvijas Bankai ir jāiesniedz ne vēlāk kā </w:t>
            </w:r>
            <w:r w:rsidRPr="004E3F4A">
              <w:rPr>
                <w:rFonts w:ascii="Times New Roman" w:hAnsi="Times New Roman" w:cs="Times New Roman"/>
                <w:b/>
                <w:bCs/>
              </w:rPr>
              <w:t xml:space="preserve">mēnesi </w:t>
            </w:r>
            <w:r w:rsidRPr="004E3F4A">
              <w:rPr>
                <w:rFonts w:ascii="Times New Roman" w:hAnsi="Times New Roman" w:cs="Times New Roman"/>
              </w:rPr>
              <w:t xml:space="preserve">pirms pārstāvniecības atvēršanas. Pārējos Noteikumu punktos, piem. 24.. 28. punktā termiņš ir norādīts 30 dienas. Vai nav iespējams vienādot un arī 19.1. punktā termiņu noteikt 30 dienas? </w:t>
            </w:r>
          </w:p>
          <w:p w14:paraId="5421EFC3" w14:textId="1550979A" w:rsidR="00061F14" w:rsidRPr="004E3F4A" w:rsidRDefault="00061F14" w:rsidP="00061F14">
            <w:pPr>
              <w:jc w:val="both"/>
              <w:rPr>
                <w:rFonts w:ascii="Times New Roman" w:hAnsi="Times New Roman" w:cs="Times New Roman"/>
                <w:sz w:val="24"/>
                <w:szCs w:val="24"/>
              </w:rPr>
            </w:pPr>
            <w:r w:rsidRPr="004E3F4A">
              <w:rPr>
                <w:rFonts w:ascii="Times New Roman" w:hAnsi="Times New Roman" w:cs="Times New Roman"/>
                <w:sz w:val="24"/>
                <w:szCs w:val="24"/>
              </w:rPr>
              <w:t>Piedāvātā redakcija:</w:t>
            </w:r>
            <w:r w:rsidRPr="004E3F4A">
              <w:rPr>
                <w:rFonts w:ascii="Times New Roman" w:hAnsi="Times New Roman" w:cs="Times New Roman"/>
                <w:b/>
                <w:bCs/>
                <w:sz w:val="24"/>
                <w:szCs w:val="24"/>
              </w:rPr>
              <w:t xml:space="preserve"> </w:t>
            </w:r>
            <w:r w:rsidR="002431A0" w:rsidRPr="004E3F4A">
              <w:rPr>
                <w:rFonts w:ascii="Times New Roman" w:hAnsi="Times New Roman" w:cs="Times New Roman"/>
                <w:b/>
                <w:bCs/>
                <w:sz w:val="24"/>
                <w:szCs w:val="24"/>
              </w:rPr>
              <w:t>''</w:t>
            </w:r>
            <w:r w:rsidRPr="004E3F4A">
              <w:rPr>
                <w:rFonts w:ascii="Times New Roman" w:hAnsi="Times New Roman" w:cs="Times New Roman"/>
                <w:sz w:val="24"/>
                <w:szCs w:val="24"/>
              </w:rPr>
              <w:t>19.1. nodomu atvērt pārstāvniecību ārvalstī vai dalībvalstī ne vēlāk kā 30 dienas pirms pārstāvniecības atvēršanas. Iesniegumā kredītiestāde norāda pārstāvniecības nosaukumu, juridisko adresi, kā arī pārstāvniecības vadītāja vārdu un uzvārdu;</w:t>
            </w:r>
            <w:r w:rsidR="002431A0" w:rsidRPr="004E3F4A">
              <w:rPr>
                <w:rFonts w:ascii="Times New Roman" w:hAnsi="Times New Roman" w:cs="Times New Roman"/>
                <w:sz w:val="24"/>
                <w:szCs w:val="24"/>
              </w:rPr>
              <w:t>''</w:t>
            </w:r>
          </w:p>
        </w:tc>
        <w:tc>
          <w:tcPr>
            <w:tcW w:w="4111" w:type="dxa"/>
            <w:tcBorders>
              <w:top w:val="single" w:sz="4" w:space="0" w:color="auto"/>
              <w:left w:val="single" w:sz="4" w:space="0" w:color="auto"/>
              <w:bottom w:val="single" w:sz="4" w:space="0" w:color="auto"/>
              <w:right w:val="single" w:sz="4" w:space="0" w:color="auto"/>
            </w:tcBorders>
          </w:tcPr>
          <w:p w14:paraId="28102FA9" w14:textId="77777777" w:rsidR="00061F14" w:rsidRPr="004E3F4A" w:rsidRDefault="00061F14" w:rsidP="0006032A">
            <w:pPr>
              <w:rPr>
                <w:rFonts w:ascii="Times New Roman" w:hAnsi="Times New Roman" w:cs="Times New Roman"/>
                <w:iCs/>
                <w:sz w:val="24"/>
                <w:szCs w:val="24"/>
              </w:rPr>
            </w:pPr>
            <w:r w:rsidRPr="004E3F4A">
              <w:rPr>
                <w:rFonts w:ascii="Times New Roman" w:hAnsi="Times New Roman" w:cs="Times New Roman"/>
                <w:iCs/>
                <w:sz w:val="24"/>
                <w:szCs w:val="24"/>
              </w:rPr>
              <w:t>Ņemts vērā.</w:t>
            </w:r>
          </w:p>
          <w:p w14:paraId="10013FF0" w14:textId="79A3C51E" w:rsidR="00061F14" w:rsidRPr="004E3F4A" w:rsidRDefault="00061F14" w:rsidP="00061F14">
            <w:pPr>
              <w:pStyle w:val="NApunkts2"/>
              <w:numPr>
                <w:ilvl w:val="0"/>
                <w:numId w:val="0"/>
              </w:numPr>
            </w:pPr>
            <w:r w:rsidRPr="004E3F4A">
              <w:t>19.1. nodomu atvērt pārstāvniecību ārvalstī vai dalībvalstī ne vēlāk kā 30</w:t>
            </w:r>
            <w:r w:rsidR="0037465F" w:rsidRPr="004E3F4A">
              <w:t> </w:t>
            </w:r>
            <w:r w:rsidRPr="004E3F4A">
              <w:t>dienas pirms pārstāvniecības atvēršanas. Iesniegumā kredītiestāde norāda pārstāvniecības nosaukumu, juridisko adresi, kā arī pārstāvniecības vadītāja vārdu un uzvārdu;</w:t>
            </w:r>
          </w:p>
          <w:p w14:paraId="34F7F1AB" w14:textId="519C92D2" w:rsidR="00061F14" w:rsidRPr="004E3F4A" w:rsidRDefault="00061F14" w:rsidP="0006032A">
            <w:pPr>
              <w:rPr>
                <w:rFonts w:ascii="Times New Roman" w:hAnsi="Times New Roman" w:cs="Times New Roman"/>
                <w:iCs/>
                <w:sz w:val="24"/>
                <w:szCs w:val="24"/>
              </w:rPr>
            </w:pPr>
          </w:p>
        </w:tc>
      </w:tr>
      <w:tr w:rsidR="00061F14" w:rsidRPr="004E3F4A" w14:paraId="2B03EEF4" w14:textId="77777777" w:rsidTr="00E5049D">
        <w:tc>
          <w:tcPr>
            <w:tcW w:w="756" w:type="dxa"/>
            <w:tcBorders>
              <w:top w:val="single" w:sz="4" w:space="0" w:color="auto"/>
              <w:left w:val="single" w:sz="4" w:space="0" w:color="auto"/>
              <w:bottom w:val="single" w:sz="4" w:space="0" w:color="auto"/>
              <w:right w:val="single" w:sz="4" w:space="0" w:color="auto"/>
            </w:tcBorders>
          </w:tcPr>
          <w:p w14:paraId="1FDD8700" w14:textId="517B1201" w:rsidR="00061F14" w:rsidRPr="004E3F4A" w:rsidRDefault="00061F14" w:rsidP="0006032A">
            <w:pPr>
              <w:rPr>
                <w:rFonts w:ascii="Times New Roman" w:hAnsi="Times New Roman" w:cs="Times New Roman"/>
                <w:sz w:val="24"/>
                <w:szCs w:val="24"/>
              </w:rPr>
            </w:pPr>
            <w:r w:rsidRPr="004E3F4A">
              <w:rPr>
                <w:rFonts w:ascii="Times New Roman" w:hAnsi="Times New Roman" w:cs="Times New Roman"/>
                <w:sz w:val="24"/>
                <w:szCs w:val="24"/>
              </w:rPr>
              <w:lastRenderedPageBreak/>
              <w:t>2.</w:t>
            </w:r>
          </w:p>
        </w:tc>
        <w:tc>
          <w:tcPr>
            <w:tcW w:w="4212" w:type="dxa"/>
            <w:tcBorders>
              <w:top w:val="single" w:sz="4" w:space="0" w:color="auto"/>
              <w:left w:val="single" w:sz="4" w:space="0" w:color="auto"/>
              <w:bottom w:val="single" w:sz="4" w:space="0" w:color="auto"/>
              <w:right w:val="single" w:sz="4" w:space="0" w:color="auto"/>
            </w:tcBorders>
          </w:tcPr>
          <w:p w14:paraId="5842EA5D" w14:textId="4CAD3517" w:rsidR="003A0FEE" w:rsidRPr="004E3F4A" w:rsidRDefault="003A0FEE" w:rsidP="003A0FEE">
            <w:pPr>
              <w:pStyle w:val="NApunkts1"/>
              <w:numPr>
                <w:ilvl w:val="0"/>
                <w:numId w:val="0"/>
              </w:numPr>
            </w:pPr>
            <w:r w:rsidRPr="004E3F4A">
              <w:t>27. Kredītiestāde katru gadu līdz 1. februārim rakstveidā, sagatavojot grafisku pārskatu vai sarakstu, informē Latvijas Banku par personām, ar kurām tai ir ciešas attiecības, par stāvokli iepriekšējā gada 31. decembrī.</w:t>
            </w:r>
          </w:p>
          <w:p w14:paraId="36808D38" w14:textId="77777777" w:rsidR="003A0FEE" w:rsidRPr="004E3F4A" w:rsidRDefault="003A0FEE" w:rsidP="003A0FEE">
            <w:pPr>
              <w:pStyle w:val="NApunkts1"/>
              <w:numPr>
                <w:ilvl w:val="0"/>
                <w:numId w:val="0"/>
              </w:numPr>
            </w:pPr>
            <w:r w:rsidRPr="004E3F4A">
              <w:t>30. Ārvalsts kredītiestādes filiāle reizi gadā līdz nākamā gada 31. janvārim rakstveidā iesniedz Latvijas Bankai šo noteikumu 29. punktā minēto informāciju par stāvokli iepriekšējā gada 31. decembrī.</w:t>
            </w:r>
          </w:p>
          <w:p w14:paraId="13D37B60" w14:textId="7CB6730F" w:rsidR="003A0FEE" w:rsidRPr="004E3F4A" w:rsidRDefault="003A0FEE" w:rsidP="003A0FEE">
            <w:pPr>
              <w:pStyle w:val="NApunkts1"/>
              <w:numPr>
                <w:ilvl w:val="0"/>
                <w:numId w:val="0"/>
              </w:numPr>
            </w:pPr>
          </w:p>
          <w:p w14:paraId="1090C872" w14:textId="1A25D152" w:rsidR="00061F14" w:rsidRPr="004E3F4A" w:rsidRDefault="00061F14" w:rsidP="0006032A">
            <w:pPr>
              <w:rPr>
                <w:rFonts w:ascii="Times New Roman" w:hAnsi="Times New Roman" w:cs="Times New Roman"/>
                <w:sz w:val="24"/>
                <w:szCs w:val="24"/>
              </w:rPr>
            </w:pPr>
          </w:p>
        </w:tc>
        <w:tc>
          <w:tcPr>
            <w:tcW w:w="5103" w:type="dxa"/>
            <w:tcBorders>
              <w:top w:val="single" w:sz="4" w:space="0" w:color="auto"/>
              <w:left w:val="single" w:sz="4" w:space="0" w:color="auto"/>
              <w:bottom w:val="single" w:sz="4" w:space="0" w:color="auto"/>
              <w:right w:val="single" w:sz="4" w:space="0" w:color="auto"/>
            </w:tcBorders>
          </w:tcPr>
          <w:p w14:paraId="2A9C0E40" w14:textId="77777777" w:rsidR="0037465F" w:rsidRPr="004E3F4A" w:rsidRDefault="0037465F" w:rsidP="0037465F">
            <w:pPr>
              <w:pStyle w:val="Default"/>
              <w:spacing w:after="120"/>
              <w:jc w:val="both"/>
              <w:rPr>
                <w:rFonts w:ascii="Times New Roman" w:hAnsi="Times New Roman" w:cs="Times New Roman"/>
              </w:rPr>
            </w:pPr>
            <w:r w:rsidRPr="004E3F4A">
              <w:rPr>
                <w:rFonts w:ascii="Times New Roman" w:hAnsi="Times New Roman" w:cs="Times New Roman"/>
              </w:rPr>
              <w:t>Latvijas Finanšu nozares asociācijas priekšlikums:</w:t>
            </w:r>
          </w:p>
          <w:p w14:paraId="5EFB21F0" w14:textId="778A8BB8" w:rsidR="00061F14" w:rsidRPr="004E3F4A" w:rsidRDefault="00061F14" w:rsidP="00F86B39">
            <w:pPr>
              <w:pStyle w:val="Default"/>
              <w:jc w:val="both"/>
              <w:rPr>
                <w:rFonts w:ascii="Times New Roman" w:hAnsi="Times New Roman" w:cs="Times New Roman"/>
              </w:rPr>
            </w:pPr>
            <w:r w:rsidRPr="004E3F4A">
              <w:rPr>
                <w:rFonts w:ascii="Times New Roman" w:hAnsi="Times New Roman" w:cs="Times New Roman"/>
              </w:rPr>
              <w:t>Lūgums novienādot Noteikumu 27., 30., 32. un 33.</w:t>
            </w:r>
            <w:r w:rsidR="0037465F" w:rsidRPr="004E3F4A">
              <w:rPr>
                <w:rFonts w:ascii="Times New Roman" w:hAnsi="Times New Roman" w:cs="Times New Roman"/>
              </w:rPr>
              <w:t> </w:t>
            </w:r>
            <w:r w:rsidRPr="004E3F4A">
              <w:rPr>
                <w:rFonts w:ascii="Times New Roman" w:hAnsi="Times New Roman" w:cs="Times New Roman"/>
              </w:rPr>
              <w:t xml:space="preserve">punktā norādīto informācijas sniegšanas termiņu (šobrīd ir 31. janvāris un 1. februāris). </w:t>
            </w:r>
          </w:p>
          <w:p w14:paraId="6351DC90" w14:textId="77777777" w:rsidR="00061F14" w:rsidRPr="004E3F4A" w:rsidRDefault="00061F14" w:rsidP="00061F14">
            <w:pPr>
              <w:pStyle w:val="Default"/>
              <w:rPr>
                <w:rFonts w:ascii="Times New Roman" w:hAnsi="Times New Roman" w:cs="Times New Roman"/>
              </w:rPr>
            </w:pPr>
          </w:p>
          <w:p w14:paraId="56875B20" w14:textId="77777777" w:rsidR="00061F14" w:rsidRPr="004E3F4A" w:rsidRDefault="00061F14" w:rsidP="003A0FEE">
            <w:pPr>
              <w:pStyle w:val="Default"/>
              <w:jc w:val="both"/>
              <w:rPr>
                <w:rFonts w:ascii="Times New Roman" w:hAnsi="Times New Roman" w:cs="Times New Roman"/>
              </w:rPr>
            </w:pPr>
            <w:r w:rsidRPr="004E3F4A">
              <w:rPr>
                <w:rFonts w:ascii="Times New Roman" w:hAnsi="Times New Roman" w:cs="Times New Roman"/>
              </w:rPr>
              <w:t xml:space="preserve">Piedāvātā redakcija 27., 30. un 32. punktiem: </w:t>
            </w:r>
          </w:p>
          <w:p w14:paraId="21BFBA29" w14:textId="3C7E0158" w:rsidR="00061F14" w:rsidRPr="004E3F4A" w:rsidRDefault="00061F14" w:rsidP="003A0FEE">
            <w:pPr>
              <w:pStyle w:val="Default"/>
              <w:jc w:val="both"/>
              <w:rPr>
                <w:rFonts w:ascii="Times New Roman" w:hAnsi="Times New Roman" w:cs="Times New Roman"/>
              </w:rPr>
            </w:pPr>
            <w:r w:rsidRPr="004E3F4A">
              <w:rPr>
                <w:rFonts w:ascii="Times New Roman" w:hAnsi="Times New Roman" w:cs="Times New Roman"/>
              </w:rPr>
              <w:t>“27. Kredītiestāde katru gadu reizi gadā līdz 31.</w:t>
            </w:r>
            <w:r w:rsidR="0037465F" w:rsidRPr="004E3F4A">
              <w:rPr>
                <w:rFonts w:ascii="Times New Roman" w:hAnsi="Times New Roman" w:cs="Times New Roman"/>
              </w:rPr>
              <w:t> </w:t>
            </w:r>
            <w:r w:rsidRPr="004E3F4A">
              <w:rPr>
                <w:rFonts w:ascii="Times New Roman" w:hAnsi="Times New Roman" w:cs="Times New Roman"/>
              </w:rPr>
              <w:t>janvārim 1. februārim rakstveidā, sagatavojot grafisku pārskatu vai sarakstu, informē iesniedz Latvijas Bankai šo noteikumu 25. punktā minēto informāciju par personām, ar kurām tai ir ciešas attiecības, par stāvokli iepriekšējā gada 31.</w:t>
            </w:r>
            <w:r w:rsidR="0037465F" w:rsidRPr="004E3F4A">
              <w:rPr>
                <w:rFonts w:ascii="Times New Roman" w:hAnsi="Times New Roman" w:cs="Times New Roman"/>
              </w:rPr>
              <w:t> </w:t>
            </w:r>
            <w:r w:rsidRPr="004E3F4A">
              <w:rPr>
                <w:rFonts w:ascii="Times New Roman" w:hAnsi="Times New Roman" w:cs="Times New Roman"/>
              </w:rPr>
              <w:t xml:space="preserve">decembrī.” </w:t>
            </w:r>
          </w:p>
          <w:p w14:paraId="53558113" w14:textId="037D4B59" w:rsidR="00061F14" w:rsidRPr="004E3F4A" w:rsidRDefault="00B41939" w:rsidP="003A0FEE">
            <w:pPr>
              <w:pStyle w:val="Default"/>
              <w:jc w:val="both"/>
              <w:rPr>
                <w:rFonts w:ascii="Times New Roman" w:hAnsi="Times New Roman" w:cs="Times New Roman"/>
              </w:rPr>
            </w:pPr>
            <w:r w:rsidRPr="004E3F4A">
              <w:rPr>
                <w:rFonts w:ascii="Times New Roman" w:hAnsi="Times New Roman" w:cs="Times New Roman"/>
              </w:rPr>
              <w:t>''</w:t>
            </w:r>
            <w:r w:rsidR="00061F14" w:rsidRPr="004E3F4A">
              <w:rPr>
                <w:rFonts w:ascii="Times New Roman" w:hAnsi="Times New Roman" w:cs="Times New Roman"/>
              </w:rPr>
              <w:t>30. Ārvalsts kredītiestādes filiāle reizi gadā līdz nākamā gada 31. janvārim rakstveidā iesniedz Latvijas Bankai šo noteikumu 29. punktā minēto informāciju par stāvokli iepriekšējā gada 31.</w:t>
            </w:r>
            <w:r w:rsidR="0037465F" w:rsidRPr="004E3F4A">
              <w:rPr>
                <w:rFonts w:ascii="Times New Roman" w:hAnsi="Times New Roman" w:cs="Times New Roman"/>
              </w:rPr>
              <w:t> </w:t>
            </w:r>
            <w:r w:rsidR="00061F14" w:rsidRPr="004E3F4A">
              <w:rPr>
                <w:rFonts w:ascii="Times New Roman" w:hAnsi="Times New Roman" w:cs="Times New Roman"/>
              </w:rPr>
              <w:t>decembr</w:t>
            </w:r>
            <w:r w:rsidR="00290656" w:rsidRPr="004E3F4A">
              <w:rPr>
                <w:rFonts w:ascii="Times New Roman" w:hAnsi="Times New Roman" w:cs="Times New Roman"/>
              </w:rPr>
              <w:t>i</w:t>
            </w:r>
            <w:r w:rsidR="00061F14" w:rsidRPr="004E3F4A">
              <w:rPr>
                <w:rFonts w:ascii="Times New Roman" w:hAnsi="Times New Roman" w:cs="Times New Roman"/>
              </w:rPr>
              <w:t>.</w:t>
            </w:r>
            <w:r w:rsidRPr="004E3F4A">
              <w:rPr>
                <w:rFonts w:ascii="Times New Roman" w:hAnsi="Times New Roman" w:cs="Times New Roman"/>
              </w:rPr>
              <w:t>''</w:t>
            </w:r>
          </w:p>
          <w:p w14:paraId="1D666ECB" w14:textId="701CA02E" w:rsidR="00061F14" w:rsidRPr="004E3F4A" w:rsidRDefault="00B41939" w:rsidP="003A0FEE">
            <w:pPr>
              <w:jc w:val="both"/>
              <w:rPr>
                <w:rFonts w:ascii="Times New Roman" w:hAnsi="Times New Roman" w:cs="Times New Roman"/>
                <w:sz w:val="24"/>
                <w:szCs w:val="24"/>
              </w:rPr>
            </w:pPr>
            <w:r w:rsidRPr="004E3F4A">
              <w:rPr>
                <w:rFonts w:ascii="Times New Roman" w:hAnsi="Times New Roman" w:cs="Times New Roman"/>
                <w:sz w:val="24"/>
                <w:szCs w:val="24"/>
              </w:rPr>
              <w:t>''</w:t>
            </w:r>
            <w:r w:rsidR="00061F14" w:rsidRPr="004E3F4A">
              <w:rPr>
                <w:rFonts w:ascii="Times New Roman" w:hAnsi="Times New Roman" w:cs="Times New Roman"/>
                <w:sz w:val="24"/>
                <w:szCs w:val="24"/>
              </w:rPr>
              <w:t>32. Kredītiestāde reizi gadā līdz 31. janvārim 1.</w:t>
            </w:r>
            <w:r w:rsidR="0037465F" w:rsidRPr="004E3F4A">
              <w:rPr>
                <w:rFonts w:ascii="Times New Roman" w:hAnsi="Times New Roman" w:cs="Times New Roman"/>
                <w:sz w:val="24"/>
                <w:szCs w:val="24"/>
              </w:rPr>
              <w:t> </w:t>
            </w:r>
            <w:r w:rsidR="00061F14" w:rsidRPr="004E3F4A">
              <w:rPr>
                <w:rFonts w:ascii="Times New Roman" w:hAnsi="Times New Roman" w:cs="Times New Roman"/>
                <w:sz w:val="24"/>
                <w:szCs w:val="24"/>
              </w:rPr>
              <w:t>februārim rakstveidā iesniedz Latvijas Bankai informāciju par kredītiestādes pamatkapitāla sadalījumu akcionāru, valstu un ieguldījumu apmēra griezumā saskaņā ar šo noteikumu 5.</w:t>
            </w:r>
            <w:r w:rsidR="0037465F" w:rsidRPr="004E3F4A">
              <w:rPr>
                <w:rFonts w:ascii="Times New Roman" w:hAnsi="Times New Roman" w:cs="Times New Roman"/>
                <w:sz w:val="24"/>
                <w:szCs w:val="24"/>
              </w:rPr>
              <w:t> </w:t>
            </w:r>
            <w:r w:rsidR="00061F14" w:rsidRPr="004E3F4A">
              <w:rPr>
                <w:rFonts w:ascii="Times New Roman" w:hAnsi="Times New Roman" w:cs="Times New Roman"/>
                <w:sz w:val="24"/>
                <w:szCs w:val="24"/>
              </w:rPr>
              <w:t>pielikumu par stāvokli iepriekšējā gada 31.</w:t>
            </w:r>
            <w:r w:rsidR="0037465F" w:rsidRPr="004E3F4A">
              <w:rPr>
                <w:rFonts w:ascii="Times New Roman" w:hAnsi="Times New Roman" w:cs="Times New Roman"/>
                <w:sz w:val="24"/>
                <w:szCs w:val="24"/>
              </w:rPr>
              <w:t> </w:t>
            </w:r>
            <w:r w:rsidR="00061F14" w:rsidRPr="004E3F4A">
              <w:rPr>
                <w:rFonts w:ascii="Times New Roman" w:hAnsi="Times New Roman" w:cs="Times New Roman"/>
                <w:sz w:val="24"/>
                <w:szCs w:val="24"/>
              </w:rPr>
              <w:t>decembrī.</w:t>
            </w:r>
            <w:r w:rsidRPr="004E3F4A">
              <w:rPr>
                <w:rFonts w:ascii="Times New Roman" w:hAnsi="Times New Roman" w:cs="Times New Roman"/>
                <w:sz w:val="24"/>
                <w:szCs w:val="24"/>
              </w:rPr>
              <w:t>''</w:t>
            </w:r>
          </w:p>
        </w:tc>
        <w:tc>
          <w:tcPr>
            <w:tcW w:w="4111" w:type="dxa"/>
            <w:tcBorders>
              <w:top w:val="single" w:sz="4" w:space="0" w:color="auto"/>
              <w:left w:val="single" w:sz="4" w:space="0" w:color="auto"/>
              <w:bottom w:val="single" w:sz="4" w:space="0" w:color="auto"/>
              <w:right w:val="single" w:sz="4" w:space="0" w:color="auto"/>
            </w:tcBorders>
          </w:tcPr>
          <w:p w14:paraId="7B688405" w14:textId="2FD91ACC" w:rsidR="00290656" w:rsidRPr="004E3F4A" w:rsidRDefault="00F86B39" w:rsidP="00290656">
            <w:pPr>
              <w:pStyle w:val="NApunkts2"/>
              <w:numPr>
                <w:ilvl w:val="0"/>
                <w:numId w:val="0"/>
              </w:numPr>
              <w:spacing w:after="120"/>
            </w:pPr>
            <w:r w:rsidRPr="004E3F4A">
              <w:rPr>
                <w:iCs/>
              </w:rPr>
              <w:t>Ņemts vērā</w:t>
            </w:r>
            <w:r w:rsidR="00290656" w:rsidRPr="004E3F4A">
              <w:rPr>
                <w:iCs/>
              </w:rPr>
              <w:t xml:space="preserve"> attiecībā par iesniegšanas datumu. Papildus projektā </w:t>
            </w:r>
            <w:r w:rsidR="00290656" w:rsidRPr="004E3F4A">
              <w:t>ieviesta standarta veidlapa par ikgadējo informācijas sniegšanu, lai nodrošinātu vienādu pieeju informācijas sniegšanā elektroniskā veidā, izmantojot paaugstinātās drošības sistēmu. Ieviešot veidlapu, nepalielinās sniedzamās informācijas apjoms, bet gan tā tiek standartizēta, turklāt paredzēts, ka informācijas sniegšana caur vienotu kanālu stājas spēkā tikai par periodu,</w:t>
            </w:r>
            <w:r w:rsidR="00D00D6E" w:rsidRPr="004E3F4A">
              <w:t xml:space="preserve"> sākot no 2024. gada,</w:t>
            </w:r>
            <w:r w:rsidR="00290656" w:rsidRPr="004E3F4A">
              <w:t xml:space="preserve"> tādējādi dodot pietiekamu laiku kredītiestādēm sagatavoties</w:t>
            </w:r>
            <w:r w:rsidR="00B65921" w:rsidRPr="004E3F4A">
              <w:t>.</w:t>
            </w:r>
            <w:r w:rsidR="00643813" w:rsidRPr="004E3F4A">
              <w:t xml:space="preserve"> Izstrādātā standarta veidlapa ir </w:t>
            </w:r>
            <w:r w:rsidR="00D00D6E" w:rsidRPr="004E3F4A">
              <w:t>p</w:t>
            </w:r>
            <w:r w:rsidR="00643813" w:rsidRPr="004E3F4A">
              <w:t>rojekta 5.</w:t>
            </w:r>
            <w:r w:rsidR="00D00D6E" w:rsidRPr="004E3F4A">
              <w:t> </w:t>
            </w:r>
            <w:r w:rsidR="00643813" w:rsidRPr="004E3F4A">
              <w:t>pielikumā.</w:t>
            </w:r>
          </w:p>
          <w:p w14:paraId="5BF835E1" w14:textId="6A52769E" w:rsidR="00B65921" w:rsidRPr="004E3F4A" w:rsidRDefault="00B65921" w:rsidP="00B65921">
            <w:pPr>
              <w:pStyle w:val="NApunkts1"/>
              <w:numPr>
                <w:ilvl w:val="0"/>
                <w:numId w:val="0"/>
              </w:numPr>
            </w:pPr>
            <w:r w:rsidRPr="004E3F4A">
              <w:t>28.</w:t>
            </w:r>
            <w:r w:rsidR="00D00D6E" w:rsidRPr="004E3F4A">
              <w:t xml:space="preserve"> </w:t>
            </w:r>
            <w:r w:rsidRPr="004E3F4A">
              <w:t xml:space="preserve">Informāciju par ciešām attiecībām kredītiestāde sagatavo atbilstoši šo noteikumu 5. pielikumam par stāvokli iepriekšējā gada 31. decembrī un iesniedz Latvijas Bankai līdz 31. janvārim elektroniskā veidā, izmantojot paaugstinātās drošības sistēmu, saskaņā ar Latvijas Bankas noteikumiem, kuri regulē elektronisko informācijas apmaiņu ar Latvijas Banku. </w:t>
            </w:r>
          </w:p>
          <w:p w14:paraId="21A81D1D" w14:textId="77777777" w:rsidR="00631E63" w:rsidRDefault="00B65921" w:rsidP="00631E63">
            <w:pPr>
              <w:pStyle w:val="NApunkts1"/>
              <w:numPr>
                <w:ilvl w:val="0"/>
                <w:numId w:val="0"/>
              </w:numPr>
            </w:pPr>
            <w:r w:rsidRPr="004E3F4A">
              <w:t>29.</w:t>
            </w:r>
            <w:r w:rsidR="00D00D6E" w:rsidRPr="004E3F4A">
              <w:t xml:space="preserve"> </w:t>
            </w:r>
            <w:r w:rsidR="00631E63">
              <w:t>Sniedzot š</w:t>
            </w:r>
            <w:r w:rsidR="00631E63" w:rsidRPr="005C2F6B">
              <w:t>o noteikumu 5.</w:t>
            </w:r>
            <w:r w:rsidR="00631E63">
              <w:t> </w:t>
            </w:r>
            <w:r w:rsidR="00631E63" w:rsidRPr="005C2F6B">
              <w:t>pielikum</w:t>
            </w:r>
            <w:r w:rsidR="00631E63">
              <w:t>ā</w:t>
            </w:r>
            <w:r w:rsidR="00631E63" w:rsidRPr="005C2F6B">
              <w:t xml:space="preserve"> </w:t>
            </w:r>
            <w:r w:rsidR="00631E63">
              <w:t>minēto informāciju, kredītiestāde par visām personām, ar kurām kredītiestādei ir ciešas attiecības:</w:t>
            </w:r>
          </w:p>
          <w:p w14:paraId="4971A139" w14:textId="23C151B8" w:rsidR="00631E63" w:rsidRDefault="00631E63" w:rsidP="00631E63">
            <w:pPr>
              <w:pStyle w:val="NApunkts2"/>
              <w:numPr>
                <w:ilvl w:val="0"/>
                <w:numId w:val="0"/>
              </w:numPr>
            </w:pPr>
            <w:r>
              <w:lastRenderedPageBreak/>
              <w:t>29.1.</w:t>
            </w:r>
            <w:r w:rsidR="00A30F3E">
              <w:t xml:space="preserve"> </w:t>
            </w:r>
            <w:r>
              <w:t>ailē "Personas identifikators" norāda:</w:t>
            </w:r>
          </w:p>
          <w:p w14:paraId="2742F0AF" w14:textId="2650E37C" w:rsidR="00631E63" w:rsidRDefault="00631E63" w:rsidP="00631E63">
            <w:pPr>
              <w:pStyle w:val="NApunkts3"/>
              <w:numPr>
                <w:ilvl w:val="0"/>
                <w:numId w:val="0"/>
              </w:numPr>
            </w:pPr>
            <w:r>
              <w:t>29.1.1.</w:t>
            </w:r>
            <w:r w:rsidR="00A30F3E">
              <w:t xml:space="preserve"> </w:t>
            </w:r>
            <w:r>
              <w:t xml:space="preserve">fiziskajām personām – personas kodu </w:t>
            </w:r>
            <w:r w:rsidRPr="004E15E7">
              <w:t>(ja tāda nav – dzimšanas gadu)</w:t>
            </w:r>
            <w:r>
              <w:t>;</w:t>
            </w:r>
          </w:p>
          <w:p w14:paraId="4E182F68" w14:textId="7EC01E35" w:rsidR="00631E63" w:rsidRDefault="00631E63" w:rsidP="007F57D8">
            <w:pPr>
              <w:pStyle w:val="NApunkts3"/>
              <w:numPr>
                <w:ilvl w:val="0"/>
                <w:numId w:val="0"/>
              </w:numPr>
              <w:jc w:val="left"/>
            </w:pPr>
            <w:r>
              <w:t>29.1.2.</w:t>
            </w:r>
            <w:r w:rsidR="00A30F3E">
              <w:t xml:space="preserve"> </w:t>
            </w:r>
            <w:r>
              <w:t>komercsabiedrībām – reģistrācijas numuru;</w:t>
            </w:r>
          </w:p>
          <w:p w14:paraId="10DF8DB6" w14:textId="220A0351" w:rsidR="00631E63" w:rsidRDefault="00631E63" w:rsidP="00631E63">
            <w:pPr>
              <w:pStyle w:val="NApunkts2"/>
              <w:numPr>
                <w:ilvl w:val="0"/>
                <w:numId w:val="0"/>
              </w:numPr>
            </w:pPr>
            <w:r>
              <w:t>29.2.</w:t>
            </w:r>
            <w:r w:rsidR="00A30F3E">
              <w:t xml:space="preserve"> </w:t>
            </w:r>
            <w:r>
              <w:t>ailē "Personas nosaukums" norāda:</w:t>
            </w:r>
          </w:p>
          <w:p w14:paraId="6B4C4C4A" w14:textId="5C22A407" w:rsidR="00631E63" w:rsidRDefault="00631E63" w:rsidP="00631E63">
            <w:pPr>
              <w:pStyle w:val="NApunkts3"/>
              <w:numPr>
                <w:ilvl w:val="0"/>
                <w:numId w:val="0"/>
              </w:numPr>
            </w:pPr>
            <w:r>
              <w:t>29.2.1.</w:t>
            </w:r>
            <w:r w:rsidR="00A30F3E">
              <w:t xml:space="preserve"> </w:t>
            </w:r>
            <w:r>
              <w:t xml:space="preserve">fiziskajām personām – </w:t>
            </w:r>
            <w:r w:rsidRPr="004E15E7">
              <w:t>vārdu</w:t>
            </w:r>
            <w:r>
              <w:t xml:space="preserve"> un</w:t>
            </w:r>
            <w:r w:rsidRPr="004E15E7">
              <w:t xml:space="preserve"> uzvārdu</w:t>
            </w:r>
            <w:r>
              <w:t>;</w:t>
            </w:r>
          </w:p>
          <w:p w14:paraId="6917B688" w14:textId="48BE9458" w:rsidR="00631E63" w:rsidRDefault="00631E63" w:rsidP="007F57D8">
            <w:pPr>
              <w:pStyle w:val="NApunkts3"/>
              <w:numPr>
                <w:ilvl w:val="0"/>
                <w:numId w:val="0"/>
              </w:numPr>
              <w:jc w:val="left"/>
            </w:pPr>
            <w:r>
              <w:t>29.2.2.</w:t>
            </w:r>
            <w:r w:rsidR="00A30F3E">
              <w:t xml:space="preserve"> </w:t>
            </w:r>
            <w:r>
              <w:t>komercsabiedrībām – komercsabiedrības nosaukumu (firmu);</w:t>
            </w:r>
          </w:p>
          <w:p w14:paraId="4DC25ECA" w14:textId="2D2E02D0" w:rsidR="00631E63" w:rsidRDefault="00631E63" w:rsidP="00631E63">
            <w:pPr>
              <w:pStyle w:val="NApunkts2"/>
              <w:numPr>
                <w:ilvl w:val="0"/>
                <w:numId w:val="0"/>
              </w:numPr>
            </w:pPr>
            <w:r>
              <w:t>29.3.</w:t>
            </w:r>
            <w:r w:rsidR="00A30F3E">
              <w:t xml:space="preserve"> </w:t>
            </w:r>
            <w:r>
              <w:t xml:space="preserve">ailē "Valsts kods" saskaņā </w:t>
            </w:r>
            <w:r w:rsidR="00A30F3E">
              <w:t xml:space="preserve">ar </w:t>
            </w:r>
            <w:r w:rsidRPr="00587842">
              <w:t xml:space="preserve">standartu </w:t>
            </w:r>
            <w:r>
              <w:t>LVS </w:t>
            </w:r>
            <w:r w:rsidRPr="00CC44C1">
              <w:t>ISO</w:t>
            </w:r>
            <w:r>
              <w:t> </w:t>
            </w:r>
            <w:r w:rsidRPr="00CC44C1">
              <w:t>3166-1</w:t>
            </w:r>
            <w:r>
              <w:t xml:space="preserve"> </w:t>
            </w:r>
            <w:r w:rsidRPr="00587842">
              <w:t>"</w:t>
            </w:r>
            <w:r w:rsidRPr="00CC44C1">
              <w:t>Valstu un to administratīvi teritoriālā iedalījuma vienību nosaukumu kodi. 1.</w:t>
            </w:r>
            <w:r>
              <w:t> </w:t>
            </w:r>
            <w:r w:rsidRPr="00CC44C1">
              <w:t>daļa: Valstu kodi</w:t>
            </w:r>
            <w:r w:rsidRPr="00587842">
              <w:t>"</w:t>
            </w:r>
            <w:r>
              <w:t xml:space="preserve"> norāda:</w:t>
            </w:r>
          </w:p>
          <w:p w14:paraId="34BB4DFD" w14:textId="7FA587E7" w:rsidR="00631E63" w:rsidRDefault="00631E63" w:rsidP="00631E63">
            <w:pPr>
              <w:pStyle w:val="NApunkts3"/>
              <w:numPr>
                <w:ilvl w:val="0"/>
                <w:numId w:val="0"/>
              </w:numPr>
            </w:pPr>
            <w:r>
              <w:t>29.3.1</w:t>
            </w:r>
            <w:r w:rsidR="00A30F3E">
              <w:t xml:space="preserve">. </w:t>
            </w:r>
            <w:r>
              <w:t>fiziskajām personām – pilsonības valsts kodu (ja tādas nav – dzimšanas vietas valsts kodu);</w:t>
            </w:r>
          </w:p>
          <w:p w14:paraId="10ABBE40" w14:textId="3AA0409D" w:rsidR="00631E63" w:rsidRDefault="00631E63" w:rsidP="007F57D8">
            <w:pPr>
              <w:pStyle w:val="NApunkts3"/>
              <w:numPr>
                <w:ilvl w:val="0"/>
                <w:numId w:val="0"/>
              </w:numPr>
              <w:jc w:val="left"/>
            </w:pPr>
            <w:r>
              <w:t>29.3.2.</w:t>
            </w:r>
            <w:r w:rsidR="00A30F3E">
              <w:t xml:space="preserve"> </w:t>
            </w:r>
            <w:r>
              <w:t>komercsabiedrībām – reģistrācijas vietas valsts kodu;</w:t>
            </w:r>
          </w:p>
          <w:p w14:paraId="27AE60D6" w14:textId="4063E075" w:rsidR="00631E63" w:rsidRDefault="00631E63" w:rsidP="00631E63">
            <w:pPr>
              <w:pStyle w:val="NApunkts2"/>
              <w:numPr>
                <w:ilvl w:val="0"/>
                <w:numId w:val="0"/>
              </w:numPr>
            </w:pPr>
            <w:r>
              <w:t>29.4.</w:t>
            </w:r>
            <w:r w:rsidR="00A30F3E">
              <w:t xml:space="preserve"> </w:t>
            </w:r>
            <w:r>
              <w:t>ailē "Ciešu attiecību veids"</w:t>
            </w:r>
            <w:r w:rsidRPr="004E15E7">
              <w:t xml:space="preserve"> </w:t>
            </w:r>
            <w:r>
              <w:t xml:space="preserve">norāda </w:t>
            </w:r>
            <w:r w:rsidRPr="004E15E7">
              <w:t>ciešu attiecību veid</w:t>
            </w:r>
            <w:r>
              <w:t>a vērtību "38a", "38b"</w:t>
            </w:r>
            <w:r w:rsidRPr="004E15E7">
              <w:t xml:space="preserve"> </w:t>
            </w:r>
            <w:r>
              <w:t xml:space="preserve">vai "38c" </w:t>
            </w:r>
            <w:r w:rsidRPr="00587842">
              <w:t>saskaņā ar Eiropas Parlamenta un Padomes 2013.</w:t>
            </w:r>
            <w:r>
              <w:t> </w:t>
            </w:r>
            <w:r w:rsidRPr="00587842">
              <w:t>gada 26.</w:t>
            </w:r>
            <w:r>
              <w:t> </w:t>
            </w:r>
            <w:r w:rsidRPr="00587842">
              <w:t xml:space="preserve">jūnija </w:t>
            </w:r>
            <w:r>
              <w:t>r</w:t>
            </w:r>
            <w:r w:rsidRPr="00587842">
              <w:t>egulas (ES) Nr.</w:t>
            </w:r>
            <w:r>
              <w:t> </w:t>
            </w:r>
            <w:r w:rsidRPr="00587842">
              <w:t xml:space="preserve">575/2013 par prudenciālajām prasībām attiecībā uz kredītiestādēm, un ar ko groza </w:t>
            </w:r>
            <w:r>
              <w:t>r</w:t>
            </w:r>
            <w:r w:rsidRPr="00587842">
              <w:t>egulu (ES) Nr.</w:t>
            </w:r>
            <w:r>
              <w:t> </w:t>
            </w:r>
            <w:r w:rsidRPr="00587842">
              <w:t>648/2012</w:t>
            </w:r>
            <w:r>
              <w:t>,</w:t>
            </w:r>
            <w:r w:rsidRPr="00587842">
              <w:t xml:space="preserve"> 4.</w:t>
            </w:r>
            <w:r>
              <w:t> </w:t>
            </w:r>
            <w:r w:rsidRPr="00587842">
              <w:t>panta 1.</w:t>
            </w:r>
            <w:r>
              <w:t> </w:t>
            </w:r>
            <w:r w:rsidRPr="00587842">
              <w:t>punkta 38.</w:t>
            </w:r>
            <w:r>
              <w:t> </w:t>
            </w:r>
            <w:r w:rsidRPr="00587842">
              <w:t>apakšpunkt</w:t>
            </w:r>
            <w:r>
              <w:t>u;</w:t>
            </w:r>
          </w:p>
          <w:p w14:paraId="67C5C56F" w14:textId="5E3A129A" w:rsidR="00631E63" w:rsidRDefault="00631E63" w:rsidP="00631E63">
            <w:pPr>
              <w:pStyle w:val="NApunkts2"/>
              <w:numPr>
                <w:ilvl w:val="0"/>
                <w:numId w:val="0"/>
              </w:numPr>
            </w:pPr>
            <w:r>
              <w:lastRenderedPageBreak/>
              <w:t>29.5.</w:t>
            </w:r>
            <w:r w:rsidR="00A30F3E">
              <w:t xml:space="preserve"> </w:t>
            </w:r>
            <w:r>
              <w:t>ailē "Ciešu attiecību apmērs" norāda ciešu attiecību apmēru, kas izteikts veselos procentos;</w:t>
            </w:r>
          </w:p>
          <w:p w14:paraId="29342F68" w14:textId="17803E0E" w:rsidR="00631E63" w:rsidRPr="004E15E7" w:rsidRDefault="00631E63" w:rsidP="00631E63">
            <w:pPr>
              <w:pStyle w:val="NApunkts2"/>
              <w:numPr>
                <w:ilvl w:val="0"/>
                <w:numId w:val="0"/>
              </w:numPr>
            </w:pPr>
            <w:r>
              <w:t>29.6.</w:t>
            </w:r>
            <w:r w:rsidR="00A30F3E">
              <w:t xml:space="preserve"> </w:t>
            </w:r>
            <w:r>
              <w:t>ailē "Pazīme" norāda vērtību "KRR", ja komercsabiedrība sniedz ar kredītrisku saistītus finanšu pakalpojumus.</w:t>
            </w:r>
          </w:p>
          <w:p w14:paraId="31675168" w14:textId="520B7AD4" w:rsidR="00B65921" w:rsidRPr="004E3F4A" w:rsidRDefault="00B65921" w:rsidP="00B65921">
            <w:pPr>
              <w:pStyle w:val="NApunkts2"/>
              <w:numPr>
                <w:ilvl w:val="0"/>
                <w:numId w:val="0"/>
              </w:numPr>
            </w:pPr>
          </w:p>
          <w:p w14:paraId="567C9D3D" w14:textId="618EDAF8" w:rsidR="00B65921" w:rsidRPr="004E3F4A" w:rsidRDefault="00643813" w:rsidP="00F86B39">
            <w:pPr>
              <w:pStyle w:val="Default"/>
              <w:jc w:val="both"/>
              <w:rPr>
                <w:rFonts w:ascii="Times New Roman" w:hAnsi="Times New Roman" w:cs="Times New Roman"/>
              </w:rPr>
            </w:pPr>
            <w:r w:rsidRPr="004E3F4A">
              <w:rPr>
                <w:rFonts w:ascii="Times New Roman" w:hAnsi="Times New Roman" w:cs="Times New Roman"/>
              </w:rPr>
              <w:t>Projekta 30.</w:t>
            </w:r>
            <w:r w:rsidR="00D00D6E" w:rsidRPr="004E3F4A">
              <w:rPr>
                <w:rFonts w:ascii="Times New Roman" w:hAnsi="Times New Roman" w:cs="Times New Roman"/>
              </w:rPr>
              <w:t> </w:t>
            </w:r>
            <w:r w:rsidRPr="004E3F4A">
              <w:rPr>
                <w:rFonts w:ascii="Times New Roman" w:hAnsi="Times New Roman" w:cs="Times New Roman"/>
              </w:rPr>
              <w:t>punkta redakcijas ieteikums ņemts vērā.</w:t>
            </w:r>
          </w:p>
          <w:p w14:paraId="05A8B493" w14:textId="77777777" w:rsidR="00643813" w:rsidRPr="004E3F4A" w:rsidRDefault="00643813" w:rsidP="00F86B39">
            <w:pPr>
              <w:pStyle w:val="Default"/>
              <w:jc w:val="both"/>
              <w:rPr>
                <w:rFonts w:ascii="Times New Roman" w:hAnsi="Times New Roman" w:cs="Times New Roman"/>
              </w:rPr>
            </w:pPr>
          </w:p>
          <w:p w14:paraId="545A50B7" w14:textId="0B6C72E3" w:rsidR="00F86B39" w:rsidRPr="004E3F4A" w:rsidRDefault="00F86B39" w:rsidP="00F86B39">
            <w:pPr>
              <w:pStyle w:val="Default"/>
              <w:jc w:val="both"/>
              <w:rPr>
                <w:rFonts w:ascii="Times New Roman" w:hAnsi="Times New Roman" w:cs="Times New Roman"/>
              </w:rPr>
            </w:pPr>
            <w:r w:rsidRPr="004E3F4A">
              <w:rPr>
                <w:rFonts w:ascii="Times New Roman" w:hAnsi="Times New Roman" w:cs="Times New Roman"/>
              </w:rPr>
              <w:t>30. Ārvalsts kredītiestādes filiāle reizi gadā līdz nākamā gada 31.</w:t>
            </w:r>
            <w:r w:rsidR="00D00D6E" w:rsidRPr="004E3F4A">
              <w:rPr>
                <w:rFonts w:ascii="Times New Roman" w:hAnsi="Times New Roman" w:cs="Times New Roman"/>
              </w:rPr>
              <w:t> </w:t>
            </w:r>
            <w:r w:rsidRPr="004E3F4A">
              <w:rPr>
                <w:rFonts w:ascii="Times New Roman" w:hAnsi="Times New Roman" w:cs="Times New Roman"/>
              </w:rPr>
              <w:t>janvārim rakstveidā iesniedz Latvijas Bankai šo noteikumu 29.</w:t>
            </w:r>
            <w:r w:rsidR="00D00D6E" w:rsidRPr="004E3F4A">
              <w:rPr>
                <w:rFonts w:ascii="Times New Roman" w:hAnsi="Times New Roman" w:cs="Times New Roman"/>
              </w:rPr>
              <w:t> </w:t>
            </w:r>
            <w:r w:rsidRPr="004E3F4A">
              <w:rPr>
                <w:rFonts w:ascii="Times New Roman" w:hAnsi="Times New Roman" w:cs="Times New Roman"/>
              </w:rPr>
              <w:t>punktā minēto informāciju par stāvokli iepriekšējā gada 31.</w:t>
            </w:r>
            <w:r w:rsidR="00D00D6E" w:rsidRPr="004E3F4A">
              <w:rPr>
                <w:rFonts w:ascii="Times New Roman" w:hAnsi="Times New Roman" w:cs="Times New Roman"/>
              </w:rPr>
              <w:t> </w:t>
            </w:r>
            <w:r w:rsidRPr="004E3F4A">
              <w:rPr>
                <w:rFonts w:ascii="Times New Roman" w:hAnsi="Times New Roman" w:cs="Times New Roman"/>
              </w:rPr>
              <w:t>decembrī.</w:t>
            </w:r>
          </w:p>
          <w:p w14:paraId="7DB5301E" w14:textId="36E628B2" w:rsidR="00F86B39" w:rsidRPr="004E3F4A" w:rsidRDefault="00F86B39" w:rsidP="0006032A">
            <w:pPr>
              <w:rPr>
                <w:rFonts w:ascii="Times New Roman" w:hAnsi="Times New Roman" w:cs="Times New Roman"/>
                <w:iCs/>
                <w:sz w:val="24"/>
                <w:szCs w:val="24"/>
              </w:rPr>
            </w:pPr>
          </w:p>
        </w:tc>
      </w:tr>
      <w:tr w:rsidR="00AA61BB" w:rsidRPr="004E3F4A" w14:paraId="06257AC8" w14:textId="77777777" w:rsidTr="00E5049D">
        <w:tc>
          <w:tcPr>
            <w:tcW w:w="756" w:type="dxa"/>
            <w:tcBorders>
              <w:top w:val="single" w:sz="4" w:space="0" w:color="auto"/>
              <w:left w:val="single" w:sz="4" w:space="0" w:color="auto"/>
              <w:bottom w:val="single" w:sz="4" w:space="0" w:color="auto"/>
              <w:right w:val="single" w:sz="4" w:space="0" w:color="auto"/>
            </w:tcBorders>
          </w:tcPr>
          <w:p w14:paraId="081B66F3" w14:textId="24998756" w:rsidR="00AA61BB" w:rsidRPr="004E3F4A" w:rsidRDefault="00AA61BB" w:rsidP="00AA61BB">
            <w:pPr>
              <w:pStyle w:val="NApunkts1"/>
              <w:numPr>
                <w:ilvl w:val="0"/>
                <w:numId w:val="0"/>
              </w:numPr>
              <w:ind w:left="360"/>
            </w:pPr>
            <w:r w:rsidRPr="004E3F4A">
              <w:lastRenderedPageBreak/>
              <w:t>3.</w:t>
            </w:r>
          </w:p>
        </w:tc>
        <w:tc>
          <w:tcPr>
            <w:tcW w:w="4212" w:type="dxa"/>
            <w:tcBorders>
              <w:top w:val="single" w:sz="4" w:space="0" w:color="auto"/>
              <w:left w:val="single" w:sz="4" w:space="0" w:color="auto"/>
              <w:bottom w:val="single" w:sz="4" w:space="0" w:color="auto"/>
              <w:right w:val="single" w:sz="4" w:space="0" w:color="auto"/>
            </w:tcBorders>
          </w:tcPr>
          <w:p w14:paraId="01BE9059" w14:textId="0A6C7976" w:rsidR="00426AB9" w:rsidRPr="004E3F4A" w:rsidRDefault="00426AB9" w:rsidP="00426AB9">
            <w:pPr>
              <w:pStyle w:val="NApunkts1"/>
              <w:numPr>
                <w:ilvl w:val="0"/>
                <w:numId w:val="0"/>
              </w:numPr>
            </w:pPr>
            <w:r w:rsidRPr="004E3F4A">
              <w:t>32.</w:t>
            </w:r>
            <w:r w:rsidR="00B41939" w:rsidRPr="004E3F4A">
              <w:t> </w:t>
            </w:r>
            <w:r w:rsidRPr="004E3F4A">
              <w:t xml:space="preserve">Kredītiestāde reizi gadā līdz 1. februārim rakstveidā iesniedz Latvijas Bankai informāciju </w:t>
            </w:r>
            <w:r w:rsidRPr="004E3F4A">
              <w:rPr>
                <w:bCs/>
              </w:rPr>
              <w:t>par kredītiestādes pamatkapitāla sadalījumu</w:t>
            </w:r>
            <w:r w:rsidRPr="004E3F4A">
              <w:t xml:space="preserve"> akcionāru, valstu un ieguldījumu apmēra griezumā saskaņā ar šo noteikumu 5. pielikumu par stāvokli iepriekšējā gada 31. decembrī.</w:t>
            </w:r>
          </w:p>
          <w:p w14:paraId="1E493C2A" w14:textId="77777777" w:rsidR="00AA61BB" w:rsidRPr="004E3F4A" w:rsidRDefault="00AA61BB" w:rsidP="003A0FEE">
            <w:pPr>
              <w:pStyle w:val="NApunkts1"/>
              <w:numPr>
                <w:ilvl w:val="0"/>
                <w:numId w:val="0"/>
              </w:numPr>
            </w:pPr>
          </w:p>
        </w:tc>
        <w:tc>
          <w:tcPr>
            <w:tcW w:w="5103" w:type="dxa"/>
            <w:tcBorders>
              <w:top w:val="single" w:sz="4" w:space="0" w:color="auto"/>
              <w:left w:val="single" w:sz="4" w:space="0" w:color="auto"/>
              <w:bottom w:val="single" w:sz="4" w:space="0" w:color="auto"/>
              <w:right w:val="single" w:sz="4" w:space="0" w:color="auto"/>
            </w:tcBorders>
          </w:tcPr>
          <w:p w14:paraId="075D7D87" w14:textId="77777777" w:rsidR="0037465F" w:rsidRPr="004E3F4A" w:rsidRDefault="0037465F" w:rsidP="0037465F">
            <w:pPr>
              <w:pStyle w:val="Default"/>
              <w:spacing w:after="120"/>
              <w:jc w:val="both"/>
              <w:rPr>
                <w:rFonts w:ascii="Times New Roman" w:hAnsi="Times New Roman" w:cs="Times New Roman"/>
              </w:rPr>
            </w:pPr>
            <w:r w:rsidRPr="004E3F4A">
              <w:rPr>
                <w:rFonts w:ascii="Times New Roman" w:hAnsi="Times New Roman" w:cs="Times New Roman"/>
              </w:rPr>
              <w:t>Latvijas Finanšu nozares asociācijas priekšlikums:</w:t>
            </w:r>
          </w:p>
          <w:p w14:paraId="4F40F3FD" w14:textId="14CD8D02" w:rsidR="00AA61BB" w:rsidRPr="004E3F4A" w:rsidRDefault="00AA61BB" w:rsidP="00AA61BB">
            <w:pPr>
              <w:pStyle w:val="Default"/>
              <w:jc w:val="both"/>
              <w:rPr>
                <w:rFonts w:ascii="Times New Roman" w:hAnsi="Times New Roman" w:cs="Times New Roman"/>
              </w:rPr>
            </w:pPr>
            <w:r w:rsidRPr="004E3F4A">
              <w:rPr>
                <w:rFonts w:ascii="Times New Roman" w:hAnsi="Times New Roman" w:cs="Times New Roman"/>
              </w:rPr>
              <w:t xml:space="preserve">Par noteikumu 32. punktā minētās informācijas sniegšanu. Saskaņā ar Komerclikuma grozījumiem, Latvijas Bankai no 30.06.2024. būs pieejama informācija par kredītiestāžu akcionāriem (t.sk. sadalījumu akcionāru, valstu un ieguldījumu apmēra griezumā) komercreģistra iestādē (ja kredītiestādei ir reģistrētas akcijas) vai nu centrālajā vērtspapīru depozitārijā, ja kredītiestādei ir dematerializētas akcijas. Nav izprotams kādēļ kredītiestādēm būtu jāsniedz informācija, kas būs publiski pieejama. Šo pārskatu varētu atstāt uz 31.12.2023., bet turpmāk to sagatavot un iesniegt </w:t>
            </w:r>
            <w:r w:rsidRPr="004E3F4A">
              <w:rPr>
                <w:rFonts w:ascii="Times New Roman" w:hAnsi="Times New Roman" w:cs="Times New Roman"/>
              </w:rPr>
              <w:lastRenderedPageBreak/>
              <w:t xml:space="preserve">nebūtu lietderīgi un neatbilstu labas pārvaldības principam. </w:t>
            </w:r>
          </w:p>
          <w:p w14:paraId="7A95E076" w14:textId="09DD128C" w:rsidR="00AA61BB" w:rsidRPr="004E3F4A" w:rsidRDefault="00AA61BB" w:rsidP="00AA61BB">
            <w:pPr>
              <w:pStyle w:val="Default"/>
              <w:jc w:val="both"/>
              <w:rPr>
                <w:rFonts w:ascii="Times New Roman" w:hAnsi="Times New Roman" w:cs="Times New Roman"/>
              </w:rPr>
            </w:pPr>
            <w:r w:rsidRPr="004E3F4A">
              <w:rPr>
                <w:rFonts w:ascii="Times New Roman" w:hAnsi="Times New Roman" w:cs="Times New Roman"/>
              </w:rPr>
              <w:t>Anotācijā norādītais, ka kredītiestāde pastāvīgi uztur akcionāru reģistru un noteikumu 32. punktā norādītās informācijas sniegšana nerada administratīvo slogu neatbilst faktiskajai situācijai, jo akcionāru reģistra nodalījumā (saskaņā ar Komerclikumu) iekļautā informācija tieši nesakrīt ar noteikumu 5. pielikumā pieprasīto informāciju, pie tam publiski pieejamā informācija Latvijas Bankai ir pieejama un pārbaudāma jebkurā laikā, bet kredītiestādei ir pienākums to atsevišķi sagatavot.</w:t>
            </w:r>
          </w:p>
        </w:tc>
        <w:tc>
          <w:tcPr>
            <w:tcW w:w="4111" w:type="dxa"/>
            <w:tcBorders>
              <w:top w:val="single" w:sz="4" w:space="0" w:color="auto"/>
              <w:left w:val="single" w:sz="4" w:space="0" w:color="auto"/>
              <w:bottom w:val="single" w:sz="4" w:space="0" w:color="auto"/>
              <w:right w:val="single" w:sz="4" w:space="0" w:color="auto"/>
            </w:tcBorders>
          </w:tcPr>
          <w:p w14:paraId="62D0FA76" w14:textId="1DE41741" w:rsidR="00AA61BB" w:rsidRPr="004E3F4A" w:rsidRDefault="00AA61BB" w:rsidP="00F86B39">
            <w:pPr>
              <w:jc w:val="both"/>
              <w:rPr>
                <w:rFonts w:ascii="Times New Roman" w:hAnsi="Times New Roman" w:cs="Times New Roman"/>
                <w:iCs/>
                <w:sz w:val="24"/>
                <w:szCs w:val="24"/>
              </w:rPr>
            </w:pPr>
            <w:r w:rsidRPr="004E3F4A">
              <w:rPr>
                <w:rFonts w:ascii="Times New Roman" w:hAnsi="Times New Roman" w:cs="Times New Roman"/>
                <w:iCs/>
                <w:sz w:val="24"/>
                <w:szCs w:val="24"/>
              </w:rPr>
              <w:lastRenderedPageBreak/>
              <w:t xml:space="preserve">Ņemts vērā. Informācija netiks pieprasīta kredītiestādēm. </w:t>
            </w:r>
            <w:r w:rsidR="00426AB9" w:rsidRPr="004E3F4A">
              <w:rPr>
                <w:rFonts w:ascii="Times New Roman" w:hAnsi="Times New Roman" w:cs="Times New Roman"/>
                <w:iCs/>
                <w:sz w:val="24"/>
                <w:szCs w:val="24"/>
              </w:rPr>
              <w:t>Tai pat laikā, ja kredītiestādes akcijas tiks iekļautas regulētajā tirgū, komercreģistra iestādei nebūs pieejama pilnīga informācija par kredītiestādes akcionāriem. Ņemot vērā minēto</w:t>
            </w:r>
            <w:r w:rsidR="0037465F" w:rsidRPr="004E3F4A">
              <w:rPr>
                <w:rFonts w:ascii="Times New Roman" w:hAnsi="Times New Roman" w:cs="Times New Roman"/>
                <w:iCs/>
                <w:sz w:val="24"/>
                <w:szCs w:val="24"/>
              </w:rPr>
              <w:t>,</w:t>
            </w:r>
            <w:r w:rsidR="00426AB9" w:rsidRPr="004E3F4A">
              <w:rPr>
                <w:rFonts w:ascii="Times New Roman" w:hAnsi="Times New Roman" w:cs="Times New Roman"/>
                <w:iCs/>
                <w:sz w:val="24"/>
                <w:szCs w:val="24"/>
              </w:rPr>
              <w:t xml:space="preserve"> Latvijas Bankai atbilstoši Kredītiestāžu likuma 8.</w:t>
            </w:r>
            <w:r w:rsidR="00D00D6E" w:rsidRPr="004E3F4A">
              <w:rPr>
                <w:rFonts w:ascii="Times New Roman" w:hAnsi="Times New Roman" w:cs="Times New Roman"/>
                <w:iCs/>
                <w:sz w:val="24"/>
                <w:szCs w:val="24"/>
              </w:rPr>
              <w:t> </w:t>
            </w:r>
            <w:r w:rsidR="00426AB9" w:rsidRPr="004E3F4A">
              <w:rPr>
                <w:rFonts w:ascii="Times New Roman" w:hAnsi="Times New Roman" w:cs="Times New Roman"/>
                <w:iCs/>
                <w:sz w:val="24"/>
                <w:szCs w:val="24"/>
              </w:rPr>
              <w:t xml:space="preserve">pantā minētajam būs tiesības no šādām kredītiestādēm pieprasīt </w:t>
            </w:r>
            <w:r w:rsidR="005E0AD5" w:rsidRPr="004E3F4A">
              <w:rPr>
                <w:rFonts w:ascii="Times New Roman" w:hAnsi="Times New Roman" w:cs="Times New Roman"/>
                <w:iCs/>
                <w:sz w:val="24"/>
                <w:szCs w:val="24"/>
              </w:rPr>
              <w:t xml:space="preserve">uzraudzības vajadzībām </w:t>
            </w:r>
            <w:r w:rsidR="00016DEA" w:rsidRPr="004E3F4A">
              <w:rPr>
                <w:rFonts w:ascii="Times New Roman" w:hAnsi="Times New Roman" w:cs="Times New Roman"/>
                <w:iCs/>
                <w:sz w:val="24"/>
                <w:szCs w:val="24"/>
              </w:rPr>
              <w:t xml:space="preserve">to rīcībā esošo </w:t>
            </w:r>
            <w:r w:rsidR="00426AB9" w:rsidRPr="004E3F4A">
              <w:rPr>
                <w:rFonts w:ascii="Times New Roman" w:hAnsi="Times New Roman" w:cs="Times New Roman"/>
                <w:iCs/>
                <w:sz w:val="24"/>
                <w:szCs w:val="24"/>
              </w:rPr>
              <w:t xml:space="preserve">pēdējo aktuālo akcionāru </w:t>
            </w:r>
            <w:r w:rsidR="007F57D8">
              <w:rPr>
                <w:rFonts w:ascii="Times New Roman" w:hAnsi="Times New Roman" w:cs="Times New Roman"/>
                <w:iCs/>
                <w:sz w:val="24"/>
                <w:szCs w:val="24"/>
              </w:rPr>
              <w:t>sarakstu</w:t>
            </w:r>
            <w:r w:rsidR="00426AB9" w:rsidRPr="004E3F4A">
              <w:rPr>
                <w:rFonts w:ascii="Times New Roman" w:hAnsi="Times New Roman" w:cs="Times New Roman"/>
                <w:iCs/>
                <w:sz w:val="24"/>
                <w:szCs w:val="24"/>
              </w:rPr>
              <w:t>.</w:t>
            </w:r>
          </w:p>
        </w:tc>
      </w:tr>
      <w:tr w:rsidR="00426AB9" w:rsidRPr="004E3F4A" w14:paraId="28E1751C" w14:textId="77777777" w:rsidTr="00E5049D">
        <w:tc>
          <w:tcPr>
            <w:tcW w:w="756" w:type="dxa"/>
            <w:tcBorders>
              <w:top w:val="single" w:sz="4" w:space="0" w:color="auto"/>
              <w:left w:val="single" w:sz="4" w:space="0" w:color="auto"/>
              <w:bottom w:val="single" w:sz="4" w:space="0" w:color="auto"/>
              <w:right w:val="single" w:sz="4" w:space="0" w:color="auto"/>
            </w:tcBorders>
          </w:tcPr>
          <w:p w14:paraId="0812A366" w14:textId="592CF1F1" w:rsidR="00426AB9" w:rsidRPr="004E3F4A" w:rsidRDefault="00426AB9" w:rsidP="00AA61BB">
            <w:pPr>
              <w:pStyle w:val="NApunkts1"/>
              <w:numPr>
                <w:ilvl w:val="0"/>
                <w:numId w:val="0"/>
              </w:numPr>
              <w:ind w:left="360"/>
            </w:pPr>
            <w:r w:rsidRPr="004E3F4A">
              <w:t xml:space="preserve">4. </w:t>
            </w:r>
          </w:p>
        </w:tc>
        <w:tc>
          <w:tcPr>
            <w:tcW w:w="4212" w:type="dxa"/>
            <w:tcBorders>
              <w:top w:val="single" w:sz="4" w:space="0" w:color="auto"/>
              <w:left w:val="single" w:sz="4" w:space="0" w:color="auto"/>
              <w:bottom w:val="single" w:sz="4" w:space="0" w:color="auto"/>
              <w:right w:val="single" w:sz="4" w:space="0" w:color="auto"/>
            </w:tcBorders>
          </w:tcPr>
          <w:p w14:paraId="4E1324B2" w14:textId="46CEBB5A" w:rsidR="00426AB9" w:rsidRPr="004E3F4A" w:rsidRDefault="00426AB9" w:rsidP="003A0FEE">
            <w:pPr>
              <w:pStyle w:val="NApunkts1"/>
              <w:numPr>
                <w:ilvl w:val="0"/>
                <w:numId w:val="0"/>
              </w:numPr>
            </w:pPr>
            <w:r w:rsidRPr="004E3F4A">
              <w:t>5.pielikums.</w:t>
            </w:r>
          </w:p>
        </w:tc>
        <w:tc>
          <w:tcPr>
            <w:tcW w:w="5103" w:type="dxa"/>
            <w:tcBorders>
              <w:top w:val="single" w:sz="4" w:space="0" w:color="auto"/>
              <w:left w:val="single" w:sz="4" w:space="0" w:color="auto"/>
              <w:bottom w:val="single" w:sz="4" w:space="0" w:color="auto"/>
              <w:right w:val="single" w:sz="4" w:space="0" w:color="auto"/>
            </w:tcBorders>
          </w:tcPr>
          <w:p w14:paraId="52E34093" w14:textId="77777777" w:rsidR="0037465F" w:rsidRPr="004E3F4A" w:rsidRDefault="0037465F" w:rsidP="0037465F">
            <w:pPr>
              <w:pStyle w:val="Default"/>
              <w:spacing w:after="120"/>
              <w:jc w:val="both"/>
              <w:rPr>
                <w:rFonts w:ascii="Times New Roman" w:hAnsi="Times New Roman" w:cs="Times New Roman"/>
              </w:rPr>
            </w:pPr>
            <w:r w:rsidRPr="004E3F4A">
              <w:rPr>
                <w:rFonts w:ascii="Times New Roman" w:hAnsi="Times New Roman" w:cs="Times New Roman"/>
              </w:rPr>
              <w:t>Latvijas Finanšu nozares asociācijas priekšlikums:</w:t>
            </w:r>
          </w:p>
          <w:p w14:paraId="5C4955ED" w14:textId="47AC7850" w:rsidR="00426AB9" w:rsidRPr="004E3F4A" w:rsidRDefault="00426AB9" w:rsidP="00426AB9">
            <w:pPr>
              <w:pStyle w:val="Default"/>
              <w:jc w:val="both"/>
              <w:rPr>
                <w:rFonts w:ascii="Times New Roman" w:hAnsi="Times New Roman" w:cs="Times New Roman"/>
              </w:rPr>
            </w:pPr>
            <w:r w:rsidRPr="004E3F4A">
              <w:rPr>
                <w:rFonts w:ascii="Times New Roman" w:hAnsi="Times New Roman" w:cs="Times New Roman"/>
              </w:rPr>
              <w:t>Lūdzu sniegt skaidrojumu par noteikumu 5.</w:t>
            </w:r>
            <w:r w:rsidR="0037465F" w:rsidRPr="004E3F4A">
              <w:rPr>
                <w:rFonts w:ascii="Times New Roman" w:hAnsi="Times New Roman" w:cs="Times New Roman"/>
              </w:rPr>
              <w:t> </w:t>
            </w:r>
            <w:r w:rsidRPr="004E3F4A">
              <w:rPr>
                <w:rFonts w:ascii="Times New Roman" w:hAnsi="Times New Roman" w:cs="Times New Roman"/>
              </w:rPr>
              <w:t>pielikuma ailē - Akcionāra mītnes valsts (kods) norādāmo informāciju. Vai attiecībā uz fizisku personu ir jāvadās pēc Imigrācijas likuma termina</w:t>
            </w:r>
            <w:r w:rsidR="0037465F" w:rsidRPr="004E3F4A">
              <w:rPr>
                <w:rFonts w:ascii="Times New Roman" w:hAnsi="Times New Roman" w:cs="Times New Roman"/>
              </w:rPr>
              <w:t> </w:t>
            </w:r>
            <w:r w:rsidRPr="004E3F4A">
              <w:rPr>
                <w:rFonts w:ascii="Times New Roman" w:hAnsi="Times New Roman" w:cs="Times New Roman"/>
              </w:rPr>
              <w:t xml:space="preserve">– mītnes zeme – ārzemnieka pilsonības valsts, ārzemnieka iepriekšējā pastāvīgās dzīvesvietas valsts vai valsts, kas izsniegusi ārzemniekam uzturēšanās atļauju? Kā rīkoties situācijā, ja personai ir divas pilsonības un vēl trešajā valstī izsniegta uzturēšanās atļauja? Vai attiecībā uz juridisko personu jāsaprot tās reģistrācijas valsti? </w:t>
            </w:r>
          </w:p>
          <w:p w14:paraId="4F7393AF" w14:textId="77777777" w:rsidR="00426AB9" w:rsidRPr="004E3F4A" w:rsidRDefault="00426AB9" w:rsidP="00AA61BB">
            <w:pPr>
              <w:pStyle w:val="Default"/>
              <w:jc w:val="both"/>
              <w:rPr>
                <w:rFonts w:ascii="Times New Roman" w:hAnsi="Times New Roman" w:cs="Times New Roman"/>
              </w:rPr>
            </w:pPr>
          </w:p>
        </w:tc>
        <w:tc>
          <w:tcPr>
            <w:tcW w:w="4111" w:type="dxa"/>
            <w:tcBorders>
              <w:top w:val="single" w:sz="4" w:space="0" w:color="auto"/>
              <w:left w:val="single" w:sz="4" w:space="0" w:color="auto"/>
              <w:bottom w:val="single" w:sz="4" w:space="0" w:color="auto"/>
              <w:right w:val="single" w:sz="4" w:space="0" w:color="auto"/>
            </w:tcBorders>
          </w:tcPr>
          <w:p w14:paraId="1FF5844E" w14:textId="06D60BC8" w:rsidR="00426AB9" w:rsidRPr="004E3F4A" w:rsidRDefault="00426AB9" w:rsidP="00F86B39">
            <w:pPr>
              <w:jc w:val="both"/>
              <w:rPr>
                <w:rFonts w:ascii="Times New Roman" w:hAnsi="Times New Roman" w:cs="Times New Roman"/>
                <w:iCs/>
                <w:sz w:val="24"/>
                <w:szCs w:val="24"/>
              </w:rPr>
            </w:pPr>
            <w:r w:rsidRPr="004E3F4A">
              <w:rPr>
                <w:rFonts w:ascii="Times New Roman" w:hAnsi="Times New Roman" w:cs="Times New Roman"/>
                <w:iCs/>
                <w:sz w:val="24"/>
                <w:szCs w:val="24"/>
              </w:rPr>
              <w:t>Ņemot vērā, ka tiek svītrots noteikumu 32.</w:t>
            </w:r>
            <w:r w:rsidR="00D00D6E" w:rsidRPr="004E3F4A">
              <w:rPr>
                <w:rFonts w:ascii="Times New Roman" w:hAnsi="Times New Roman" w:cs="Times New Roman"/>
                <w:iCs/>
                <w:sz w:val="24"/>
                <w:szCs w:val="24"/>
              </w:rPr>
              <w:t> </w:t>
            </w:r>
            <w:r w:rsidRPr="004E3F4A">
              <w:rPr>
                <w:rFonts w:ascii="Times New Roman" w:hAnsi="Times New Roman" w:cs="Times New Roman"/>
                <w:iCs/>
                <w:sz w:val="24"/>
                <w:szCs w:val="24"/>
              </w:rPr>
              <w:t>punkts, no projekta tiek izslēgts arī 5.</w:t>
            </w:r>
            <w:r w:rsidR="00D00D6E" w:rsidRPr="004E3F4A">
              <w:rPr>
                <w:rFonts w:ascii="Times New Roman" w:hAnsi="Times New Roman" w:cs="Times New Roman"/>
                <w:iCs/>
                <w:sz w:val="24"/>
                <w:szCs w:val="24"/>
              </w:rPr>
              <w:t> </w:t>
            </w:r>
            <w:r w:rsidRPr="004E3F4A">
              <w:rPr>
                <w:rFonts w:ascii="Times New Roman" w:hAnsi="Times New Roman" w:cs="Times New Roman"/>
                <w:iCs/>
                <w:sz w:val="24"/>
                <w:szCs w:val="24"/>
              </w:rPr>
              <w:t>pielikums</w:t>
            </w:r>
            <w:r w:rsidR="00643813" w:rsidRPr="004E3F4A">
              <w:rPr>
                <w:rFonts w:ascii="Times New Roman" w:hAnsi="Times New Roman" w:cs="Times New Roman"/>
                <w:iCs/>
                <w:sz w:val="24"/>
                <w:szCs w:val="24"/>
              </w:rPr>
              <w:t xml:space="preserve"> (informācija par pamatkapitāla sadalījumu)</w:t>
            </w:r>
            <w:r w:rsidRPr="004E3F4A">
              <w:rPr>
                <w:rFonts w:ascii="Times New Roman" w:hAnsi="Times New Roman" w:cs="Times New Roman"/>
                <w:iCs/>
                <w:sz w:val="24"/>
                <w:szCs w:val="24"/>
              </w:rPr>
              <w:t>. Ja Latvijas Banka pieprasīs kredītiestādei sniegt informāciju, tad tā būs sagatavojama formā, kādā to sniedz komercreģistra iestādei.</w:t>
            </w:r>
          </w:p>
        </w:tc>
      </w:tr>
      <w:tr w:rsidR="00426AB9" w:rsidRPr="004E3F4A" w14:paraId="2B55B25C" w14:textId="77777777" w:rsidTr="00E5049D">
        <w:tc>
          <w:tcPr>
            <w:tcW w:w="756" w:type="dxa"/>
            <w:tcBorders>
              <w:top w:val="single" w:sz="4" w:space="0" w:color="auto"/>
              <w:left w:val="single" w:sz="4" w:space="0" w:color="auto"/>
              <w:bottom w:val="single" w:sz="4" w:space="0" w:color="auto"/>
              <w:right w:val="single" w:sz="4" w:space="0" w:color="auto"/>
            </w:tcBorders>
          </w:tcPr>
          <w:p w14:paraId="24C768BB" w14:textId="3B87815F" w:rsidR="00426AB9" w:rsidRPr="004E3F4A" w:rsidRDefault="00426AB9" w:rsidP="00AA61BB">
            <w:pPr>
              <w:pStyle w:val="NApunkts1"/>
              <w:numPr>
                <w:ilvl w:val="0"/>
                <w:numId w:val="0"/>
              </w:numPr>
              <w:ind w:left="360"/>
            </w:pPr>
            <w:r w:rsidRPr="004E3F4A">
              <w:t xml:space="preserve">5. </w:t>
            </w:r>
          </w:p>
        </w:tc>
        <w:tc>
          <w:tcPr>
            <w:tcW w:w="4212" w:type="dxa"/>
            <w:tcBorders>
              <w:top w:val="single" w:sz="4" w:space="0" w:color="auto"/>
              <w:left w:val="single" w:sz="4" w:space="0" w:color="auto"/>
              <w:bottom w:val="single" w:sz="4" w:space="0" w:color="auto"/>
              <w:right w:val="single" w:sz="4" w:space="0" w:color="auto"/>
            </w:tcBorders>
          </w:tcPr>
          <w:p w14:paraId="751F1CAD" w14:textId="39E17A0D" w:rsidR="006A2B6E" w:rsidRPr="004E3F4A" w:rsidRDefault="006A2B6E" w:rsidP="006A2B6E">
            <w:pPr>
              <w:pStyle w:val="NApunkts1"/>
              <w:numPr>
                <w:ilvl w:val="0"/>
                <w:numId w:val="0"/>
              </w:numPr>
            </w:pPr>
            <w:r w:rsidRPr="004E3F4A">
              <w:t xml:space="preserve">33. Kredītiestāde reizi gadā līdz 31. janvārim rakstveidā iesniedz Latvijas Bankai kredītiestādes filiāļu, pārstāvniecību un citu tās struktūrvienību </w:t>
            </w:r>
            <w:r w:rsidRPr="004E3F4A">
              <w:lastRenderedPageBreak/>
              <w:t>(norēķinu grupu, klientu apkalpošanas centru u. tml.) sarakstu saskaņā ar šo noteikumu 6. pielikumu par laikposmu no iepriekšējā gada 1. janvāra līdz 31. decembrim.</w:t>
            </w:r>
          </w:p>
          <w:p w14:paraId="11098443" w14:textId="77777777" w:rsidR="00426AB9" w:rsidRPr="004E3F4A" w:rsidRDefault="00426AB9" w:rsidP="003A0FEE">
            <w:pPr>
              <w:pStyle w:val="NApunkts1"/>
              <w:numPr>
                <w:ilvl w:val="0"/>
                <w:numId w:val="0"/>
              </w:numPr>
            </w:pPr>
          </w:p>
        </w:tc>
        <w:tc>
          <w:tcPr>
            <w:tcW w:w="5103" w:type="dxa"/>
            <w:tcBorders>
              <w:top w:val="single" w:sz="4" w:space="0" w:color="auto"/>
              <w:left w:val="single" w:sz="4" w:space="0" w:color="auto"/>
              <w:bottom w:val="single" w:sz="4" w:space="0" w:color="auto"/>
              <w:right w:val="single" w:sz="4" w:space="0" w:color="auto"/>
            </w:tcBorders>
          </w:tcPr>
          <w:p w14:paraId="2D13C863" w14:textId="77777777" w:rsidR="00CD1A54" w:rsidRPr="004E3F4A" w:rsidRDefault="00CD1A54" w:rsidP="00CD1A54">
            <w:pPr>
              <w:pStyle w:val="Default"/>
              <w:spacing w:after="120"/>
              <w:jc w:val="both"/>
              <w:rPr>
                <w:rFonts w:ascii="Times New Roman" w:hAnsi="Times New Roman" w:cs="Times New Roman"/>
              </w:rPr>
            </w:pPr>
            <w:r w:rsidRPr="004E3F4A">
              <w:rPr>
                <w:rFonts w:ascii="Times New Roman" w:hAnsi="Times New Roman" w:cs="Times New Roman"/>
              </w:rPr>
              <w:lastRenderedPageBreak/>
              <w:t>Latvijas Finanšu nozares asociācijas priekšlikums:</w:t>
            </w:r>
          </w:p>
          <w:p w14:paraId="38E68FE7" w14:textId="47B32065" w:rsidR="006A2B6E" w:rsidRPr="004E3F4A" w:rsidRDefault="006A2B6E" w:rsidP="006A2B6E">
            <w:pPr>
              <w:pStyle w:val="Default"/>
              <w:jc w:val="both"/>
              <w:rPr>
                <w:rFonts w:ascii="Times New Roman" w:hAnsi="Times New Roman" w:cs="Times New Roman"/>
              </w:rPr>
            </w:pPr>
            <w:r w:rsidRPr="004E3F4A">
              <w:rPr>
                <w:rFonts w:ascii="Times New Roman" w:hAnsi="Times New Roman" w:cs="Times New Roman"/>
              </w:rPr>
              <w:t xml:space="preserve">Par noteikumu 33. punktā minētās informācijas sniegšanu. Proti, 6. pielikuma nosaukums ir </w:t>
            </w:r>
            <w:r w:rsidR="00B51D1E" w:rsidRPr="004E3F4A">
              <w:rPr>
                <w:rFonts w:ascii="Times New Roman" w:hAnsi="Times New Roman" w:cs="Times New Roman"/>
              </w:rPr>
              <w:t>''</w:t>
            </w:r>
            <w:r w:rsidRPr="004E3F4A">
              <w:rPr>
                <w:rFonts w:ascii="Times New Roman" w:hAnsi="Times New Roman" w:cs="Times New Roman"/>
              </w:rPr>
              <w:t xml:space="preserve">Kredītiestādes filiāļu, pārstāvniecību un citu tās </w:t>
            </w:r>
            <w:r w:rsidRPr="004E3F4A">
              <w:rPr>
                <w:rFonts w:ascii="Times New Roman" w:hAnsi="Times New Roman" w:cs="Times New Roman"/>
              </w:rPr>
              <w:lastRenderedPageBreak/>
              <w:t>struktūrvienību saraksts”, kaut gan tajā tiek atspoguļots tikai struktūrvienību skaits un valstis, nevis to nosaukumi. Kā šajā pielikumā var atspoguļot struktūrvienību skaitu par laika posmu, ja 1. janvārī ir 1 filiāle, 1. februārī ir 3 filiāles, 31.</w:t>
            </w:r>
            <w:r w:rsidR="00CD1A54" w:rsidRPr="004E3F4A">
              <w:rPr>
                <w:rFonts w:ascii="Times New Roman" w:hAnsi="Times New Roman" w:cs="Times New Roman"/>
              </w:rPr>
              <w:t> </w:t>
            </w:r>
            <w:r w:rsidRPr="004E3F4A">
              <w:rPr>
                <w:rFonts w:ascii="Times New Roman" w:hAnsi="Times New Roman" w:cs="Times New Roman"/>
              </w:rPr>
              <w:t>decembrī ir 5 filiāles – kāds skaits ir jānorāda 6.</w:t>
            </w:r>
            <w:r w:rsidR="007430D0" w:rsidRPr="004E3F4A">
              <w:rPr>
                <w:rFonts w:ascii="Times New Roman" w:hAnsi="Times New Roman" w:cs="Times New Roman"/>
              </w:rPr>
              <w:t> </w:t>
            </w:r>
            <w:r w:rsidRPr="004E3F4A">
              <w:rPr>
                <w:rFonts w:ascii="Times New Roman" w:hAnsi="Times New Roman" w:cs="Times New Roman"/>
              </w:rPr>
              <w:t>pielikumā un kur jānorāda periods? Vai loģiskāk nebūtu noteikumu projektā paredzēt, ka skaits norādāms uz 31. decembri?</w:t>
            </w:r>
            <w:r w:rsidR="00B51D1E" w:rsidRPr="004E3F4A">
              <w:rPr>
                <w:rFonts w:ascii="Times New Roman" w:hAnsi="Times New Roman" w:cs="Times New Roman"/>
              </w:rPr>
              <w:t>''</w:t>
            </w:r>
            <w:r w:rsidRPr="004E3F4A">
              <w:rPr>
                <w:rFonts w:ascii="Times New Roman" w:hAnsi="Times New Roman" w:cs="Times New Roman"/>
              </w:rPr>
              <w:t xml:space="preserve"> </w:t>
            </w:r>
          </w:p>
          <w:p w14:paraId="3523A5E7" w14:textId="03FB5DE7" w:rsidR="00426AB9" w:rsidRPr="004E3F4A" w:rsidRDefault="006A2B6E" w:rsidP="006A2B6E">
            <w:pPr>
              <w:pStyle w:val="Default"/>
              <w:jc w:val="both"/>
              <w:rPr>
                <w:rFonts w:ascii="Times New Roman" w:hAnsi="Times New Roman" w:cs="Times New Roman"/>
              </w:rPr>
            </w:pPr>
            <w:r w:rsidRPr="004E3F4A">
              <w:rPr>
                <w:rFonts w:ascii="Times New Roman" w:hAnsi="Times New Roman" w:cs="Times New Roman"/>
              </w:rPr>
              <w:t>Piedāvātā redakcija:</w:t>
            </w:r>
            <w:r w:rsidRPr="004E3F4A">
              <w:rPr>
                <w:rFonts w:ascii="Times New Roman" w:hAnsi="Times New Roman" w:cs="Times New Roman"/>
                <w:b/>
                <w:bCs/>
              </w:rPr>
              <w:t xml:space="preserve"> </w:t>
            </w:r>
            <w:r w:rsidR="00B51D1E" w:rsidRPr="004E3F4A">
              <w:rPr>
                <w:rFonts w:ascii="Times New Roman" w:hAnsi="Times New Roman" w:cs="Times New Roman"/>
              </w:rPr>
              <w:t>''</w:t>
            </w:r>
            <w:r w:rsidRPr="004E3F4A">
              <w:rPr>
                <w:rFonts w:ascii="Times New Roman" w:hAnsi="Times New Roman" w:cs="Times New Roman"/>
              </w:rPr>
              <w:t>33. Kredītiestāde reizi gadā līdz 31. janvārim rakstveidā iesniedz Latvijas Bankai informāciju par kredītiestādes filiālēm, pārstāvniecībām un citām tās struktūrvienībām (norēķinu grupām, klientu apkalpošanas centriem u.tml.) sarakstu saskaņā ar šo noteikumu 6.</w:t>
            </w:r>
            <w:r w:rsidR="007430D0" w:rsidRPr="004E3F4A">
              <w:rPr>
                <w:rFonts w:ascii="Times New Roman" w:hAnsi="Times New Roman" w:cs="Times New Roman"/>
              </w:rPr>
              <w:t> </w:t>
            </w:r>
            <w:r w:rsidRPr="004E3F4A">
              <w:rPr>
                <w:rFonts w:ascii="Times New Roman" w:hAnsi="Times New Roman" w:cs="Times New Roman"/>
              </w:rPr>
              <w:t>pielikumu par stāvokli uz iepriekšējā gada 31.</w:t>
            </w:r>
            <w:r w:rsidR="007430D0" w:rsidRPr="004E3F4A">
              <w:rPr>
                <w:rFonts w:ascii="Times New Roman" w:hAnsi="Times New Roman" w:cs="Times New Roman"/>
              </w:rPr>
              <w:t> </w:t>
            </w:r>
            <w:r w:rsidRPr="004E3F4A">
              <w:rPr>
                <w:rFonts w:ascii="Times New Roman" w:hAnsi="Times New Roman" w:cs="Times New Roman"/>
              </w:rPr>
              <w:t>decembri.</w:t>
            </w:r>
            <w:r w:rsidR="00B51D1E" w:rsidRPr="004E3F4A">
              <w:rPr>
                <w:rFonts w:ascii="Times New Roman" w:hAnsi="Times New Roman" w:cs="Times New Roman"/>
              </w:rPr>
              <w:t>''</w:t>
            </w:r>
          </w:p>
        </w:tc>
        <w:tc>
          <w:tcPr>
            <w:tcW w:w="4111" w:type="dxa"/>
            <w:tcBorders>
              <w:top w:val="single" w:sz="4" w:space="0" w:color="auto"/>
              <w:left w:val="single" w:sz="4" w:space="0" w:color="auto"/>
              <w:bottom w:val="single" w:sz="4" w:space="0" w:color="auto"/>
              <w:right w:val="single" w:sz="4" w:space="0" w:color="auto"/>
            </w:tcBorders>
          </w:tcPr>
          <w:p w14:paraId="3CFA9B61" w14:textId="2462ECC3" w:rsidR="009579B0" w:rsidRPr="004E3F4A" w:rsidRDefault="006A2B6E" w:rsidP="00D00D6E">
            <w:pPr>
              <w:pStyle w:val="NApunkts1"/>
              <w:numPr>
                <w:ilvl w:val="0"/>
                <w:numId w:val="27"/>
              </w:numPr>
              <w:ind w:left="0" w:firstLine="0"/>
            </w:pPr>
            <w:r w:rsidRPr="004E3F4A">
              <w:rPr>
                <w:iCs/>
              </w:rPr>
              <w:lastRenderedPageBreak/>
              <w:t xml:space="preserve">Precizēts. </w:t>
            </w:r>
            <w:r w:rsidR="00B24472" w:rsidRPr="004E3F4A">
              <w:rPr>
                <w:iCs/>
              </w:rPr>
              <w:t>Papildus svītrota prasība sniegt informāciju par</w:t>
            </w:r>
            <w:r w:rsidR="00975D9D" w:rsidRPr="004E3F4A">
              <w:rPr>
                <w:iCs/>
              </w:rPr>
              <w:t xml:space="preserve"> Latvijā reģistrētām</w:t>
            </w:r>
            <w:r w:rsidR="00B24472" w:rsidRPr="004E3F4A">
              <w:rPr>
                <w:iCs/>
              </w:rPr>
              <w:t xml:space="preserve"> filiālēm, ko Latvijas Banka saņems no komercreģistra iestādes.</w:t>
            </w:r>
            <w:r w:rsidR="009579B0" w:rsidRPr="004E3F4A">
              <w:rPr>
                <w:iCs/>
              </w:rPr>
              <w:t xml:space="preserve"> Lai </w:t>
            </w:r>
            <w:r w:rsidR="009579B0" w:rsidRPr="004E3F4A">
              <w:rPr>
                <w:iCs/>
              </w:rPr>
              <w:lastRenderedPageBreak/>
              <w:t>automatizētu informācijas sniegšanu</w:t>
            </w:r>
            <w:r w:rsidR="00887C29" w:rsidRPr="004E3F4A">
              <w:rPr>
                <w:iCs/>
              </w:rPr>
              <w:t>,</w:t>
            </w:r>
            <w:r w:rsidR="009579B0" w:rsidRPr="004E3F4A">
              <w:rPr>
                <w:iCs/>
              </w:rPr>
              <w:t xml:space="preserve"> 33.</w:t>
            </w:r>
            <w:r w:rsidR="00D00D6E" w:rsidRPr="004E3F4A">
              <w:rPr>
                <w:iCs/>
              </w:rPr>
              <w:t> </w:t>
            </w:r>
            <w:r w:rsidR="009579B0" w:rsidRPr="004E3F4A">
              <w:rPr>
                <w:iCs/>
              </w:rPr>
              <w:t xml:space="preserve">punkts pilnveidots, </w:t>
            </w:r>
            <w:r w:rsidR="00F97D8F">
              <w:rPr>
                <w:iCs/>
              </w:rPr>
              <w:t>nosakot</w:t>
            </w:r>
            <w:r w:rsidR="00F97D8F" w:rsidRPr="004E3F4A">
              <w:rPr>
                <w:iCs/>
              </w:rPr>
              <w:t xml:space="preserve"> </w:t>
            </w:r>
            <w:r w:rsidR="009579B0" w:rsidRPr="004E3F4A">
              <w:rPr>
                <w:iCs/>
              </w:rPr>
              <w:t>iesniedzamās informācij</w:t>
            </w:r>
            <w:r w:rsidR="00F97D8F">
              <w:rPr>
                <w:iCs/>
              </w:rPr>
              <w:t>as veidlapu un precizējot</w:t>
            </w:r>
            <w:r w:rsidR="009579B0" w:rsidRPr="004E3F4A">
              <w:rPr>
                <w:iCs/>
              </w:rPr>
              <w:t xml:space="preserve"> </w:t>
            </w:r>
            <w:r w:rsidR="00F97D8F">
              <w:rPr>
                <w:iCs/>
              </w:rPr>
              <w:t xml:space="preserve">tās </w:t>
            </w:r>
            <w:r w:rsidR="009579B0" w:rsidRPr="004E3F4A">
              <w:rPr>
                <w:iCs/>
              </w:rPr>
              <w:t>iesniegšanas veidu</w:t>
            </w:r>
            <w:r w:rsidR="00D00D6E" w:rsidRPr="004E3F4A">
              <w:rPr>
                <w:iCs/>
              </w:rPr>
              <w:t> –</w:t>
            </w:r>
            <w:r w:rsidR="009579B0" w:rsidRPr="004E3F4A">
              <w:rPr>
                <w:iCs/>
              </w:rPr>
              <w:t xml:space="preserve"> </w:t>
            </w:r>
            <w:r w:rsidR="009579B0" w:rsidRPr="004E3F4A">
              <w:t>elektroniskā veidā</w:t>
            </w:r>
            <w:r w:rsidR="00887C29" w:rsidRPr="004E3F4A">
              <w:t>,</w:t>
            </w:r>
            <w:r w:rsidR="009579B0" w:rsidRPr="004E3F4A">
              <w:t xml:space="preserve"> </w:t>
            </w:r>
            <w:r w:rsidR="00887C29" w:rsidRPr="004E3F4A">
              <w:t xml:space="preserve">izmantojot paaugstinātās drošības sistēmu, </w:t>
            </w:r>
            <w:r w:rsidR="009579B0" w:rsidRPr="004E3F4A">
              <w:t>saskaņā ar Latvijas Bankas noteikumiem, kuri regulē elektronisko informācijas apmaiņu ar Latvijas Banku.</w:t>
            </w:r>
            <w:r w:rsidR="00643813" w:rsidRPr="004E3F4A">
              <w:t xml:space="preserve"> Savukārt 34.</w:t>
            </w:r>
            <w:r w:rsidR="007430D0" w:rsidRPr="004E3F4A">
              <w:t> </w:t>
            </w:r>
            <w:r w:rsidR="00643813" w:rsidRPr="004E3F4A">
              <w:t>punkts papildus izskaidro, kāda informācijas sniedzama saskaņā ar 6.</w:t>
            </w:r>
            <w:r w:rsidR="007430D0" w:rsidRPr="004E3F4A">
              <w:t> </w:t>
            </w:r>
            <w:r w:rsidR="00643813" w:rsidRPr="004E3F4A">
              <w:t>pielikumu.</w:t>
            </w:r>
          </w:p>
          <w:p w14:paraId="1EAC466A" w14:textId="752DF77D" w:rsidR="00643813" w:rsidRPr="004E3F4A" w:rsidRDefault="00643813" w:rsidP="00643813">
            <w:pPr>
              <w:pStyle w:val="NApunkts1"/>
              <w:numPr>
                <w:ilvl w:val="0"/>
                <w:numId w:val="0"/>
              </w:numPr>
            </w:pPr>
            <w:r w:rsidRPr="004E3F4A">
              <w:t xml:space="preserve">33. Kredītiestāde sagatavo informāciju par kredītiestādes filiālēm un pārstāvniecībām ārvalstīs un dalībvalstīs, </w:t>
            </w:r>
            <w:bookmarkStart w:id="3" w:name="_Hlk148295187"/>
            <w:r w:rsidRPr="004E3F4A">
              <w:t>par finanšu pakalpojumu sniegšanu dalībvalstī, neatverot filiāli</w:t>
            </w:r>
            <w:bookmarkEnd w:id="3"/>
            <w:r w:rsidRPr="004E3F4A">
              <w:t>, kā arī par tās struktūrvienībām (norēķinu grupa, klientu apkalpošanas centrs u.c.) Latvijas Republikā, izņemot Latvijā reģistrēt</w:t>
            </w:r>
            <w:r w:rsidR="003F07A5">
              <w:t>ās</w:t>
            </w:r>
            <w:r w:rsidRPr="004E3F4A">
              <w:t xml:space="preserve"> filiāl</w:t>
            </w:r>
            <w:r w:rsidR="003F07A5">
              <w:t>es</w:t>
            </w:r>
            <w:r w:rsidRPr="004E3F4A">
              <w:t>, atbilstoši šo noteikumu 6. pielikumam par stāvokli iepriekšējā gada 31.</w:t>
            </w:r>
            <w:r w:rsidR="007430D0" w:rsidRPr="004E3F4A">
              <w:t> </w:t>
            </w:r>
            <w:r w:rsidRPr="004E3F4A">
              <w:t>decembrī un iesniedz Latvijas Bankai līdz 31. janvārim elektroniskā veidā, izmantojot paaugstinātās drošības sistēmu, saskaņā ar Latvijas Bankas noteikumiem, kuri regulē elektronisko informācijas apmaiņu ar Latvijas Banku.</w:t>
            </w:r>
          </w:p>
          <w:p w14:paraId="52161511" w14:textId="568F0C05" w:rsidR="00643813" w:rsidRPr="004E3F4A" w:rsidRDefault="00643813" w:rsidP="00643813">
            <w:pPr>
              <w:pStyle w:val="NApunkts1"/>
              <w:numPr>
                <w:ilvl w:val="0"/>
                <w:numId w:val="0"/>
              </w:numPr>
            </w:pPr>
            <w:r w:rsidRPr="004E3F4A">
              <w:t>34.</w:t>
            </w:r>
            <w:r w:rsidR="00F97D8F">
              <w:t xml:space="preserve"> </w:t>
            </w:r>
            <w:r w:rsidRPr="004E3F4A">
              <w:t>Sniedzot šo noteikumu 6. pielikumā minēto informāciju, kredītiestāde:</w:t>
            </w:r>
          </w:p>
          <w:p w14:paraId="34330EBC" w14:textId="7F7C7808" w:rsidR="00643813" w:rsidRPr="004E3F4A" w:rsidRDefault="00643813" w:rsidP="00643813">
            <w:pPr>
              <w:pStyle w:val="NApunkts2"/>
              <w:numPr>
                <w:ilvl w:val="0"/>
                <w:numId w:val="0"/>
              </w:numPr>
            </w:pPr>
            <w:r w:rsidRPr="004E3F4A">
              <w:lastRenderedPageBreak/>
              <w:t>34.1.</w:t>
            </w:r>
            <w:r w:rsidR="00F97D8F">
              <w:t xml:space="preserve"> </w:t>
            </w:r>
            <w:r w:rsidRPr="004E3F4A">
              <w:t>ailē "Struktūrvienības veids" norāda:</w:t>
            </w:r>
          </w:p>
          <w:p w14:paraId="25C908CE" w14:textId="28B00EAD" w:rsidR="00643813" w:rsidRPr="004E3F4A" w:rsidRDefault="00643813" w:rsidP="00643813">
            <w:pPr>
              <w:pStyle w:val="NApunkts3"/>
              <w:numPr>
                <w:ilvl w:val="0"/>
                <w:numId w:val="0"/>
              </w:numPr>
            </w:pPr>
            <w:r w:rsidRPr="004E3F4A">
              <w:t>34.1.1.</w:t>
            </w:r>
            <w:r w:rsidR="007430D0" w:rsidRPr="004E3F4A">
              <w:t xml:space="preserve"> </w:t>
            </w:r>
            <w:r w:rsidRPr="004E3F4A">
              <w:t>vērtību "FIL" par kredītiestādes filiālēm ārvalstīs un dalībvalstīs;</w:t>
            </w:r>
          </w:p>
          <w:p w14:paraId="2C639DC1" w14:textId="18E5103C" w:rsidR="00643813" w:rsidRPr="004E3F4A" w:rsidRDefault="00643813" w:rsidP="00643813">
            <w:pPr>
              <w:pStyle w:val="NApunkts3"/>
              <w:numPr>
                <w:ilvl w:val="0"/>
                <w:numId w:val="0"/>
              </w:numPr>
            </w:pPr>
            <w:r w:rsidRPr="004E3F4A">
              <w:t>34.1.2.</w:t>
            </w:r>
            <w:r w:rsidR="007430D0" w:rsidRPr="004E3F4A">
              <w:t> </w:t>
            </w:r>
            <w:r w:rsidRPr="004E3F4A">
              <w:t>vērtību "PRST" par kredītiestādes pārstāvniecībām ārvalstīs un dalībvalstīs;</w:t>
            </w:r>
          </w:p>
          <w:p w14:paraId="04A7C391" w14:textId="0B9F6C1F" w:rsidR="00643813" w:rsidRPr="004E3F4A" w:rsidRDefault="00643813" w:rsidP="00643813">
            <w:pPr>
              <w:pStyle w:val="NApunkts3"/>
              <w:numPr>
                <w:ilvl w:val="0"/>
                <w:numId w:val="0"/>
              </w:numPr>
            </w:pPr>
            <w:r w:rsidRPr="004E3F4A">
              <w:t>34.1.3.</w:t>
            </w:r>
            <w:r w:rsidR="007430D0" w:rsidRPr="004E3F4A">
              <w:t xml:space="preserve"> </w:t>
            </w:r>
            <w:r w:rsidRPr="004E3F4A">
              <w:t>vērtību "FPS" par kredītiestādes finanšu pakalpojumu sniegšanu dalībvalstī, neatverot filiāli;</w:t>
            </w:r>
          </w:p>
          <w:p w14:paraId="33064BF9" w14:textId="6515D466" w:rsidR="00643813" w:rsidRPr="004E3F4A" w:rsidRDefault="00643813" w:rsidP="00643813">
            <w:pPr>
              <w:pStyle w:val="NApunkts3"/>
              <w:numPr>
                <w:ilvl w:val="0"/>
                <w:numId w:val="0"/>
              </w:numPr>
            </w:pPr>
            <w:r w:rsidRPr="004E3F4A">
              <w:t>34.1.4.</w:t>
            </w:r>
            <w:r w:rsidR="007430D0" w:rsidRPr="004E3F4A">
              <w:t xml:space="preserve"> </w:t>
            </w:r>
            <w:r w:rsidRPr="004E3F4A">
              <w:t>vērtību "STR" par kredītiestādes struktūrvienībām (norēķinu grupa, klientu apkalpošanas centrs u.c.) Latvijas Republikā.</w:t>
            </w:r>
          </w:p>
          <w:p w14:paraId="139D4F13" w14:textId="118232E3" w:rsidR="00643813" w:rsidRPr="004E3F4A" w:rsidRDefault="00643813" w:rsidP="00643813">
            <w:pPr>
              <w:pStyle w:val="NApunkts2"/>
              <w:numPr>
                <w:ilvl w:val="0"/>
                <w:numId w:val="0"/>
              </w:numPr>
            </w:pPr>
            <w:r w:rsidRPr="004E3F4A">
              <w:t>34.2.</w:t>
            </w:r>
            <w:r w:rsidR="007430D0" w:rsidRPr="004E3F4A">
              <w:t xml:space="preserve"> </w:t>
            </w:r>
            <w:r w:rsidRPr="004E3F4A">
              <w:t>ailē "Valsts kods" norāda valsts, kurā kredītiestādei ir filiāle vai pārstāvniecība, kā arī dalībvalsts, kurā kredītiestāde sniedz finanšu pakalpojumus, neatverot filiāli, kodu saskaņā ar standartu LVS ISO 3166-1 "Valstu un to administratīvi teritoriālā iedalījuma vienību nosaukumu kodi. 1. daļa: Valstu kodi".</w:t>
            </w:r>
          </w:p>
          <w:p w14:paraId="14EF478C" w14:textId="78BEC8C4" w:rsidR="00643813" w:rsidRPr="004E3F4A" w:rsidRDefault="00643813" w:rsidP="00643813">
            <w:pPr>
              <w:pStyle w:val="NApunkts2"/>
              <w:numPr>
                <w:ilvl w:val="0"/>
                <w:numId w:val="0"/>
              </w:numPr>
            </w:pPr>
            <w:r w:rsidRPr="004E3F4A">
              <w:t>34.3.</w:t>
            </w:r>
            <w:r w:rsidR="007430D0" w:rsidRPr="004E3F4A">
              <w:t xml:space="preserve"> </w:t>
            </w:r>
            <w:r w:rsidRPr="004E3F4A">
              <w:t>ailē "Skaits" norāda attiecīgo kredītiestādes struktūrvienību skaitu.</w:t>
            </w:r>
          </w:p>
          <w:p w14:paraId="33A06529" w14:textId="70E6D959" w:rsidR="006A2B6E" w:rsidRPr="004E3F4A" w:rsidRDefault="006A2B6E" w:rsidP="009579B0">
            <w:pPr>
              <w:jc w:val="both"/>
              <w:rPr>
                <w:rFonts w:ascii="Times New Roman" w:hAnsi="Times New Roman" w:cs="Times New Roman"/>
                <w:iCs/>
                <w:sz w:val="24"/>
                <w:szCs w:val="24"/>
              </w:rPr>
            </w:pPr>
          </w:p>
        </w:tc>
      </w:tr>
      <w:tr w:rsidR="00E5049D" w:rsidRPr="004E3F4A" w14:paraId="009BE362" w14:textId="77777777" w:rsidTr="00E5049D">
        <w:tc>
          <w:tcPr>
            <w:tcW w:w="756" w:type="dxa"/>
            <w:tcBorders>
              <w:top w:val="single" w:sz="4" w:space="0" w:color="auto"/>
              <w:left w:val="single" w:sz="4" w:space="0" w:color="auto"/>
              <w:bottom w:val="single" w:sz="4" w:space="0" w:color="auto"/>
              <w:right w:val="single" w:sz="4" w:space="0" w:color="auto"/>
            </w:tcBorders>
          </w:tcPr>
          <w:p w14:paraId="49A20540" w14:textId="0C470A8C" w:rsidR="00E5049D" w:rsidRPr="004E3F4A" w:rsidRDefault="00E5049D" w:rsidP="00E5049D">
            <w:pPr>
              <w:pStyle w:val="NApunkts1"/>
              <w:numPr>
                <w:ilvl w:val="0"/>
                <w:numId w:val="0"/>
              </w:numPr>
              <w:ind w:left="360"/>
            </w:pPr>
            <w:bookmarkStart w:id="4" w:name="_Hlk148102750"/>
            <w:r w:rsidRPr="004E3F4A">
              <w:lastRenderedPageBreak/>
              <w:t xml:space="preserve">6. </w:t>
            </w:r>
          </w:p>
        </w:tc>
        <w:tc>
          <w:tcPr>
            <w:tcW w:w="4212" w:type="dxa"/>
            <w:tcBorders>
              <w:top w:val="single" w:sz="4" w:space="0" w:color="auto"/>
              <w:left w:val="single" w:sz="4" w:space="0" w:color="auto"/>
              <w:bottom w:val="single" w:sz="4" w:space="0" w:color="auto"/>
              <w:right w:val="single" w:sz="4" w:space="0" w:color="auto"/>
            </w:tcBorders>
          </w:tcPr>
          <w:p w14:paraId="65E54B65" w14:textId="2CEE791C" w:rsidR="00E5049D" w:rsidRPr="004E3F4A" w:rsidRDefault="00E5049D" w:rsidP="00E5049D">
            <w:pPr>
              <w:pStyle w:val="NApunkts1"/>
              <w:numPr>
                <w:ilvl w:val="0"/>
                <w:numId w:val="0"/>
              </w:numPr>
            </w:pPr>
            <w:r w:rsidRPr="004E3F4A">
              <w:t xml:space="preserve">24. Kredītiestāde rakstveidā informē Latvijas Banku par nodomu nodibināt ciešas attiecības vai palielināt to apmēru ne vēlāk kā 30 dienas pirms ciešu attiecību nodibināšanas vai to apmēra </w:t>
            </w:r>
            <w:r w:rsidRPr="004E3F4A">
              <w:lastRenderedPageBreak/>
              <w:t xml:space="preserve">palielināšanas. Par ciešu attiecību izbeigšanos vai samazināšanos kredītiestāde informē Latvijas Banku ne vēlāk kā 30 dienas pēc šo attiecību izbeigšanās vai samazināšanās. </w:t>
            </w:r>
          </w:p>
          <w:p w14:paraId="288A5981" w14:textId="0FCC04DD" w:rsidR="00E5049D" w:rsidRPr="004E3F4A" w:rsidRDefault="00E5049D" w:rsidP="00E5049D">
            <w:pPr>
              <w:pStyle w:val="NApunkts1"/>
              <w:numPr>
                <w:ilvl w:val="0"/>
                <w:numId w:val="0"/>
              </w:numPr>
            </w:pPr>
            <w:r w:rsidRPr="004E3F4A">
              <w:t>25. Sniedzot informāciju par personām, ar kurām kredītiestādei ir ciešas attiecības, kredītiestāde norāda:</w:t>
            </w:r>
          </w:p>
          <w:p w14:paraId="5E986E59" w14:textId="514BFBED" w:rsidR="00E5049D" w:rsidRPr="004E3F4A" w:rsidRDefault="00E5049D" w:rsidP="00E5049D">
            <w:pPr>
              <w:pStyle w:val="NApunkts2"/>
              <w:numPr>
                <w:ilvl w:val="0"/>
                <w:numId w:val="0"/>
              </w:numPr>
            </w:pPr>
            <w:r w:rsidRPr="004E3F4A">
              <w:t>25.1.par fiziskajām personām – vārdu, uzvārdu, personas kodu (ja tāda nav – dzimšanas gadu un vietu), pilsonību, ciešu attiecību veidu un apmēru (procentos);</w:t>
            </w:r>
          </w:p>
          <w:p w14:paraId="18CE26EC" w14:textId="5AB0C41A" w:rsidR="00E5049D" w:rsidRPr="004E3F4A" w:rsidRDefault="00E5049D" w:rsidP="00E5049D">
            <w:pPr>
              <w:pStyle w:val="NApunkts2"/>
              <w:numPr>
                <w:ilvl w:val="0"/>
                <w:numId w:val="0"/>
              </w:numPr>
            </w:pPr>
            <w:r w:rsidRPr="004E3F4A">
              <w:t>25.2.par komercsabiedrībām – firmu (nosaukumu), reģistrācijas numuru un vietu, ciešu attiecību veidu un apmēru (procentos), kā arī to, vai komercsabiedrība sniedz ar kredītrisku saistītus finanšu pakalpojumus.</w:t>
            </w:r>
          </w:p>
          <w:p w14:paraId="37B7F65D" w14:textId="60B5D6AE" w:rsidR="00E5049D" w:rsidRPr="004E3F4A" w:rsidRDefault="00E5049D" w:rsidP="00E5049D">
            <w:pPr>
              <w:pStyle w:val="NApunkts1"/>
              <w:numPr>
                <w:ilvl w:val="0"/>
                <w:numId w:val="0"/>
              </w:numPr>
            </w:pPr>
            <w:bookmarkStart w:id="5" w:name="_Hlk144122021"/>
            <w:r w:rsidRPr="004E3F4A">
              <w:t>26. Par ciešām attiecībām dalības veidā kredītiestāde informē Latvijas Banku tikai tādā gadījumā, ja:</w:t>
            </w:r>
          </w:p>
          <w:p w14:paraId="27732454" w14:textId="556BC02E" w:rsidR="00E5049D" w:rsidRPr="004E3F4A" w:rsidRDefault="00E5049D" w:rsidP="00E5049D">
            <w:pPr>
              <w:pStyle w:val="NApunkts2"/>
              <w:numPr>
                <w:ilvl w:val="0"/>
                <w:numId w:val="0"/>
              </w:numPr>
              <w:tabs>
                <w:tab w:val="left" w:pos="1134"/>
              </w:tabs>
            </w:pPr>
            <w:r w:rsidRPr="004E3F4A">
              <w:t>26.1.ieguldījums dod iespēju īstenot ietekmi uz komercsabiedrības vadību vai finanšu politiku;</w:t>
            </w:r>
          </w:p>
          <w:p w14:paraId="07457C7E" w14:textId="7DF79FDB" w:rsidR="00E5049D" w:rsidRPr="004E3F4A" w:rsidRDefault="00E5049D" w:rsidP="00E5049D">
            <w:pPr>
              <w:pStyle w:val="NApunkts2"/>
              <w:numPr>
                <w:ilvl w:val="0"/>
                <w:numId w:val="0"/>
              </w:numPr>
              <w:tabs>
                <w:tab w:val="left" w:pos="1134"/>
              </w:tabs>
            </w:pPr>
            <w:r w:rsidRPr="004E3F4A">
              <w:lastRenderedPageBreak/>
              <w:t>26.2.ieguldījums nav klasificējams kā finanšu aktīvs, kas novērtēts patiesajā vērtībā ar atspoguļojumu peļņas vai zaudējumu aprēķinā, vai finanšu aktīvs, kas novērtēts patiesajā vērtībā ar atspoguļojumu pērējos apvienotajos ienākumos;</w:t>
            </w:r>
          </w:p>
          <w:p w14:paraId="0FC59650" w14:textId="47F9C7D5" w:rsidR="00E5049D" w:rsidRPr="004E3F4A" w:rsidRDefault="00E5049D" w:rsidP="00E5049D">
            <w:pPr>
              <w:pStyle w:val="NApunkts2"/>
              <w:numPr>
                <w:ilvl w:val="0"/>
                <w:numId w:val="0"/>
              </w:numPr>
              <w:tabs>
                <w:tab w:val="left" w:pos="1134"/>
              </w:tabs>
            </w:pPr>
            <w:r w:rsidRPr="004E3F4A">
              <w:t>26.3.ciešās attiecībās esošā komercsabiedrība sniedz ar kredītrisku saistītus finanšu pakalpojumus.</w:t>
            </w:r>
          </w:p>
          <w:p w14:paraId="2A2438CE" w14:textId="08BCA204" w:rsidR="00E5049D" w:rsidRPr="004E3F4A" w:rsidRDefault="00E5049D" w:rsidP="00E5049D">
            <w:pPr>
              <w:pStyle w:val="NApunkts1"/>
              <w:numPr>
                <w:ilvl w:val="0"/>
                <w:numId w:val="0"/>
              </w:numPr>
            </w:pPr>
            <w:r w:rsidRPr="004E3F4A">
              <w:t>27.Kredītiestāde katru gadu līdz 1. februārim rakstveidā, sagatavojot grafisku pārskatu vai sarakstu, informē Latvijas Banku par personām, ar kurām tai ir ciešas attiecības, par stāvokli iepriekšējā gada 31. decembrī.</w:t>
            </w:r>
          </w:p>
          <w:p w14:paraId="4AA40416" w14:textId="1404C6E6" w:rsidR="00E5049D" w:rsidRPr="004E3F4A" w:rsidRDefault="00E5049D" w:rsidP="00E5049D">
            <w:pPr>
              <w:pStyle w:val="NApunkts1"/>
              <w:numPr>
                <w:ilvl w:val="0"/>
                <w:numId w:val="0"/>
              </w:numPr>
            </w:pPr>
            <w:r w:rsidRPr="004E3F4A">
              <w:t>28.Kredītiestāde rakstveidā informē Latvijas Banku par ciešu attiecību izveidošanos vai izbeigšanos, ja ciešās attiecībās esoša komercsabiedrība sāk vai izbeidz sniegt ar kredītrisku saistītus finanšu pakalpojumus, ne vēlāk kā 30 dienas pēc minēto pakalpojumu sniegšanas sākšanas vai izbeigšanas.</w:t>
            </w:r>
          </w:p>
          <w:bookmarkEnd w:id="5"/>
          <w:p w14:paraId="67B055CB" w14:textId="77777777" w:rsidR="00E5049D" w:rsidRPr="004E3F4A" w:rsidRDefault="00E5049D" w:rsidP="00E5049D">
            <w:pPr>
              <w:pStyle w:val="NApunkts1"/>
              <w:numPr>
                <w:ilvl w:val="0"/>
                <w:numId w:val="0"/>
              </w:numPr>
            </w:pPr>
          </w:p>
        </w:tc>
        <w:tc>
          <w:tcPr>
            <w:tcW w:w="5103" w:type="dxa"/>
            <w:tcBorders>
              <w:top w:val="single" w:sz="4" w:space="0" w:color="auto"/>
              <w:left w:val="single" w:sz="4" w:space="0" w:color="auto"/>
              <w:bottom w:val="single" w:sz="4" w:space="0" w:color="auto"/>
              <w:right w:val="single" w:sz="4" w:space="0" w:color="auto"/>
            </w:tcBorders>
          </w:tcPr>
          <w:p w14:paraId="257E0B52" w14:textId="77777777" w:rsidR="00887C29" w:rsidRPr="004E3F4A" w:rsidRDefault="00887C29" w:rsidP="00887C29">
            <w:pPr>
              <w:pStyle w:val="Default"/>
              <w:spacing w:after="120"/>
              <w:jc w:val="both"/>
              <w:rPr>
                <w:rFonts w:ascii="Times New Roman" w:hAnsi="Times New Roman" w:cs="Times New Roman"/>
              </w:rPr>
            </w:pPr>
            <w:r w:rsidRPr="004E3F4A">
              <w:rPr>
                <w:rFonts w:ascii="Times New Roman" w:hAnsi="Times New Roman" w:cs="Times New Roman"/>
              </w:rPr>
              <w:lastRenderedPageBreak/>
              <w:t>Latvijas Finanšu nozares asociācijas priekšlikums:</w:t>
            </w:r>
          </w:p>
          <w:p w14:paraId="1C1FCF19" w14:textId="04B00982" w:rsidR="00E5049D" w:rsidRPr="004E3F4A" w:rsidRDefault="00E5049D" w:rsidP="00E5049D">
            <w:pPr>
              <w:pStyle w:val="Default"/>
              <w:jc w:val="both"/>
              <w:rPr>
                <w:rFonts w:ascii="Times New Roman" w:hAnsi="Times New Roman" w:cs="Times New Roman"/>
              </w:rPr>
            </w:pPr>
            <w:r w:rsidRPr="004E3F4A">
              <w:rPr>
                <w:rFonts w:ascii="Times New Roman" w:hAnsi="Times New Roman" w:cs="Times New Roman"/>
              </w:rPr>
              <w:t xml:space="preserve">Ciešas saistības. Lūdzam sniegt skaidrojumu par noteikumu 24. punktu – vai šajā punktā noteiktā informācija par ciešajām attiecībām jāsniedz tikai tad, ja veidojas: 1) kontrole; 2) abas vai visas </w:t>
            </w:r>
            <w:r w:rsidRPr="004E3F4A">
              <w:rPr>
                <w:rFonts w:ascii="Times New Roman" w:hAnsi="Times New Roman" w:cs="Times New Roman"/>
              </w:rPr>
              <w:lastRenderedPageBreak/>
              <w:t>personas ar vienu un to pašu trešo personu pastāvīgi saista kontroles attiecības un 3) dalība, bet tikai 26.</w:t>
            </w:r>
            <w:r w:rsidR="00887C29" w:rsidRPr="004E3F4A">
              <w:rPr>
                <w:rFonts w:ascii="Times New Roman" w:hAnsi="Times New Roman" w:cs="Times New Roman"/>
              </w:rPr>
              <w:t> </w:t>
            </w:r>
            <w:r w:rsidRPr="004E3F4A">
              <w:rPr>
                <w:rFonts w:ascii="Times New Roman" w:hAnsi="Times New Roman" w:cs="Times New Roman"/>
              </w:rPr>
              <w:t xml:space="preserve">punktā norādītajos gadījumos? </w:t>
            </w:r>
          </w:p>
          <w:p w14:paraId="0B58A5F0" w14:textId="202513CE" w:rsidR="00E5049D" w:rsidRPr="004E3F4A" w:rsidRDefault="00E5049D" w:rsidP="00E5049D">
            <w:pPr>
              <w:pStyle w:val="Default"/>
              <w:jc w:val="both"/>
              <w:rPr>
                <w:rFonts w:ascii="Times New Roman" w:hAnsi="Times New Roman" w:cs="Times New Roman"/>
              </w:rPr>
            </w:pPr>
            <w:r w:rsidRPr="004E3F4A">
              <w:rPr>
                <w:rFonts w:ascii="Times New Roman" w:hAnsi="Times New Roman" w:cs="Times New Roman"/>
              </w:rPr>
              <w:t>Saistībā ar noteikumu 26. punktu – lai informētu par ciešajām attiecībām dalības veidā ir jāizpildās visiem trīs nosacījumiem vai vismaz vienam? Vai izpildot informēšanas pienākumu, kas noteikts 27.</w:t>
            </w:r>
            <w:r w:rsidR="00B13BF9" w:rsidRPr="004E3F4A">
              <w:rPr>
                <w:rFonts w:ascii="Times New Roman" w:hAnsi="Times New Roman" w:cs="Times New Roman"/>
              </w:rPr>
              <w:t> </w:t>
            </w:r>
            <w:r w:rsidRPr="004E3F4A">
              <w:rPr>
                <w:rFonts w:ascii="Times New Roman" w:hAnsi="Times New Roman" w:cs="Times New Roman"/>
              </w:rPr>
              <w:t>punktā, arī ir jāievēro 26.</w:t>
            </w:r>
            <w:r w:rsidR="00B13BF9" w:rsidRPr="004E3F4A">
              <w:rPr>
                <w:rFonts w:ascii="Times New Roman" w:hAnsi="Times New Roman" w:cs="Times New Roman"/>
              </w:rPr>
              <w:t> </w:t>
            </w:r>
            <w:r w:rsidRPr="004E3F4A">
              <w:rPr>
                <w:rFonts w:ascii="Times New Roman" w:hAnsi="Times New Roman" w:cs="Times New Roman"/>
              </w:rPr>
              <w:t xml:space="preserve">punktā noteiktais ierobežojums? </w:t>
            </w:r>
          </w:p>
          <w:p w14:paraId="62E28FF9" w14:textId="77777777" w:rsidR="00E5049D" w:rsidRPr="004E3F4A" w:rsidRDefault="00E5049D" w:rsidP="00E5049D">
            <w:pPr>
              <w:pStyle w:val="Default"/>
              <w:jc w:val="both"/>
              <w:rPr>
                <w:rFonts w:ascii="Times New Roman" w:hAnsi="Times New Roman" w:cs="Times New Roman"/>
              </w:rPr>
            </w:pPr>
            <w:r w:rsidRPr="004E3F4A">
              <w:rPr>
                <w:rFonts w:ascii="Times New Roman" w:hAnsi="Times New Roman" w:cs="Times New Roman"/>
              </w:rPr>
              <w:t xml:space="preserve">Saistībā ar noteikumu 28.punktu – ja veidojas ciešas attiecības kontroles veidā (kontroles attiecības), tad neatkarīgi no tā sniedz vai nesniedz ar kredītrisku saistītus pakalpojumus, kredītiestādei jau ir pienākums informēt Latvijas Banku saskaņā ar noteikumu 24.punktu. </w:t>
            </w:r>
          </w:p>
          <w:p w14:paraId="72D83C03" w14:textId="28BA2E9B" w:rsidR="00E5049D" w:rsidRPr="004E3F4A" w:rsidRDefault="00E5049D" w:rsidP="00E5049D">
            <w:pPr>
              <w:pStyle w:val="Default"/>
              <w:jc w:val="both"/>
              <w:rPr>
                <w:rFonts w:ascii="Times New Roman" w:hAnsi="Times New Roman" w:cs="Times New Roman"/>
              </w:rPr>
            </w:pPr>
            <w:r w:rsidRPr="004E3F4A">
              <w:rPr>
                <w:rFonts w:ascii="Times New Roman" w:hAnsi="Times New Roman" w:cs="Times New Roman"/>
              </w:rPr>
              <w:t xml:space="preserve">Vai noteikumu projekta 28. punkts būtu saprotams tādējādi, ka ja ciešās attiecībās </w:t>
            </w:r>
            <w:r w:rsidRPr="004E3F4A">
              <w:rPr>
                <w:rFonts w:ascii="Times New Roman" w:hAnsi="Times New Roman" w:cs="Times New Roman"/>
                <w:b/>
                <w:bCs/>
              </w:rPr>
              <w:t xml:space="preserve">dalības </w:t>
            </w:r>
            <w:r w:rsidRPr="004E3F4A">
              <w:rPr>
                <w:rFonts w:ascii="Times New Roman" w:hAnsi="Times New Roman" w:cs="Times New Roman"/>
              </w:rPr>
              <w:t>veidā esošā komercsabiedrība sāk vai beidz sniegt ar kredītrisku saistītus finanšu pakalpojumus, tad ir jāinformē Latvijas Banka? Kā šādā gadījumā ir ar pārējām 26. punktā noteiktajām pazīmēm?</w:t>
            </w:r>
          </w:p>
        </w:tc>
        <w:tc>
          <w:tcPr>
            <w:tcW w:w="4111" w:type="dxa"/>
            <w:tcBorders>
              <w:top w:val="single" w:sz="4" w:space="0" w:color="auto"/>
              <w:left w:val="single" w:sz="4" w:space="0" w:color="auto"/>
              <w:bottom w:val="single" w:sz="4" w:space="0" w:color="auto"/>
              <w:right w:val="single" w:sz="4" w:space="0" w:color="auto"/>
            </w:tcBorders>
          </w:tcPr>
          <w:p w14:paraId="64247C27" w14:textId="29248438" w:rsidR="008C1421" w:rsidRPr="007F57D8" w:rsidRDefault="00924534" w:rsidP="008C1421">
            <w:pPr>
              <w:pStyle w:val="NApunkts1"/>
              <w:numPr>
                <w:ilvl w:val="0"/>
                <w:numId w:val="0"/>
              </w:numPr>
              <w:spacing w:line="252" w:lineRule="auto"/>
              <w:rPr>
                <w:shd w:val="clear" w:color="auto" w:fill="FFFFFF"/>
              </w:rPr>
            </w:pPr>
            <w:r w:rsidRPr="00F97D8F">
              <w:lastRenderedPageBreak/>
              <w:t>Cieš</w:t>
            </w:r>
            <w:r w:rsidR="00BB3D16" w:rsidRPr="00F97D8F">
              <w:t>a</w:t>
            </w:r>
            <w:r w:rsidRPr="00F97D8F">
              <w:t xml:space="preserve">s attiecības ir definētas </w:t>
            </w:r>
            <w:r w:rsidRPr="007F57D8">
              <w:rPr>
                <w:shd w:val="clear" w:color="auto" w:fill="FFFFFF"/>
              </w:rPr>
              <w:t>Eiropas Parlamenta un Padomes 2013.</w:t>
            </w:r>
            <w:r w:rsidR="007430D0" w:rsidRPr="007F57D8">
              <w:rPr>
                <w:shd w:val="clear" w:color="auto" w:fill="FFFFFF"/>
              </w:rPr>
              <w:t> </w:t>
            </w:r>
            <w:r w:rsidRPr="007F57D8">
              <w:rPr>
                <w:shd w:val="clear" w:color="auto" w:fill="FFFFFF"/>
              </w:rPr>
              <w:t xml:space="preserve">gada 26. jūnija regulas Nr. 575/2013 par prudenciālajām prasībām attiecībā uz </w:t>
            </w:r>
            <w:r w:rsidRPr="007F57D8">
              <w:rPr>
                <w:shd w:val="clear" w:color="auto" w:fill="FFFFFF"/>
              </w:rPr>
              <w:lastRenderedPageBreak/>
              <w:t xml:space="preserve">kredītiestādēm, un ar ko groza </w:t>
            </w:r>
            <w:r w:rsidR="00B13BF9" w:rsidRPr="007F57D8">
              <w:rPr>
                <w:shd w:val="clear" w:color="auto" w:fill="FFFFFF"/>
              </w:rPr>
              <w:t>r</w:t>
            </w:r>
            <w:r w:rsidRPr="007F57D8">
              <w:rPr>
                <w:shd w:val="clear" w:color="auto" w:fill="FFFFFF"/>
              </w:rPr>
              <w:t>egulu (ES) Nr. 648/2012, 4.</w:t>
            </w:r>
            <w:r w:rsidR="00B13BF9" w:rsidRPr="007F57D8">
              <w:rPr>
                <w:shd w:val="clear" w:color="auto" w:fill="FFFFFF"/>
              </w:rPr>
              <w:t> </w:t>
            </w:r>
            <w:r w:rsidRPr="007F57D8">
              <w:rPr>
                <w:shd w:val="clear" w:color="auto" w:fill="FFFFFF"/>
              </w:rPr>
              <w:t>panta pirmās daļas 38.</w:t>
            </w:r>
            <w:r w:rsidR="00B13BF9" w:rsidRPr="007F57D8">
              <w:rPr>
                <w:shd w:val="clear" w:color="auto" w:fill="FFFFFF"/>
              </w:rPr>
              <w:t> </w:t>
            </w:r>
            <w:r w:rsidRPr="007F57D8">
              <w:rPr>
                <w:shd w:val="clear" w:color="auto" w:fill="FFFFFF"/>
              </w:rPr>
              <w:t xml:space="preserve">punktā. </w:t>
            </w:r>
            <w:r w:rsidR="008C1421" w:rsidRPr="007F57D8">
              <w:rPr>
                <w:shd w:val="clear" w:color="auto" w:fill="FFFFFF"/>
              </w:rPr>
              <w:t>Par visām ciešajām attiecībā</w:t>
            </w:r>
            <w:r w:rsidR="008C1421" w:rsidRPr="00F97D8F">
              <w:rPr>
                <w:shd w:val="clear" w:color="auto" w:fill="FFFFFF"/>
              </w:rPr>
              <w:t>m, kuras plānots nodibināt vai palielināt,</w:t>
            </w:r>
            <w:r w:rsidR="00B13BF9" w:rsidRPr="007F57D8">
              <w:rPr>
                <w:shd w:val="clear" w:color="auto" w:fill="FFFFFF"/>
              </w:rPr>
              <w:t xml:space="preserve"> </w:t>
            </w:r>
            <w:r w:rsidR="008C1421" w:rsidRPr="007F57D8">
              <w:rPr>
                <w:shd w:val="clear" w:color="auto" w:fill="FFFFFF"/>
              </w:rPr>
              <w:t>tostarp ņemot vērā noteikumu projekta 26.</w:t>
            </w:r>
            <w:r w:rsidR="00B13BF9" w:rsidRPr="007F57D8">
              <w:rPr>
                <w:shd w:val="clear" w:color="auto" w:fill="FFFFFF"/>
              </w:rPr>
              <w:t> </w:t>
            </w:r>
            <w:r w:rsidR="008C1421" w:rsidRPr="007F57D8">
              <w:rPr>
                <w:shd w:val="clear" w:color="auto" w:fill="FFFFFF"/>
              </w:rPr>
              <w:t xml:space="preserve">punktu, kredītiestādei ir savlaicīgi jāinformē Latvijas Banka. </w:t>
            </w:r>
          </w:p>
          <w:p w14:paraId="3A2C3765" w14:textId="78F10FCA" w:rsidR="00924534" w:rsidRPr="00F97D8F" w:rsidRDefault="00924534" w:rsidP="00E5049D">
            <w:pPr>
              <w:pStyle w:val="NApunkts1"/>
              <w:numPr>
                <w:ilvl w:val="0"/>
                <w:numId w:val="0"/>
              </w:numPr>
            </w:pPr>
            <w:r w:rsidRPr="00F97D8F">
              <w:t xml:space="preserve">Lai </w:t>
            </w:r>
            <w:r w:rsidR="00C52089" w:rsidRPr="00F97D8F">
              <w:t xml:space="preserve">iestātos pienākums </w:t>
            </w:r>
            <w:r w:rsidRPr="00F97D8F">
              <w:t>informēt</w:t>
            </w:r>
            <w:r w:rsidR="00C52089" w:rsidRPr="00F97D8F">
              <w:t xml:space="preserve"> Latvijas Banku</w:t>
            </w:r>
            <w:r w:rsidRPr="00F97D8F">
              <w:t xml:space="preserve"> par ciešajam attiecībām atbilstoši noteikumu projekta 26.</w:t>
            </w:r>
            <w:r w:rsidR="00B13BF9" w:rsidRPr="00F97D8F">
              <w:t> </w:t>
            </w:r>
            <w:r w:rsidRPr="00F97D8F">
              <w:t>punktam</w:t>
            </w:r>
            <w:r w:rsidR="00C52089" w:rsidRPr="00F97D8F">
              <w:t>,</w:t>
            </w:r>
            <w:r w:rsidRPr="00F97D8F">
              <w:t xml:space="preserve"> ir jāizpildās vismaz vienam nosacījumam. </w:t>
            </w:r>
          </w:p>
          <w:p w14:paraId="418B919B" w14:textId="7DA35893" w:rsidR="008C1421" w:rsidRPr="00F97D8F" w:rsidRDefault="00924534" w:rsidP="008C1421">
            <w:pPr>
              <w:pStyle w:val="NApunkts1"/>
              <w:numPr>
                <w:ilvl w:val="0"/>
                <w:numId w:val="0"/>
              </w:numPr>
              <w:spacing w:line="252" w:lineRule="auto"/>
            </w:pPr>
            <w:r w:rsidRPr="00F97D8F">
              <w:t>27.</w:t>
            </w:r>
            <w:r w:rsidR="00B13BF9" w:rsidRPr="00F97D8F">
              <w:t> </w:t>
            </w:r>
            <w:r w:rsidRPr="00F97D8F">
              <w:t>punktā</w:t>
            </w:r>
            <w:r w:rsidR="00BB232B" w:rsidRPr="00F97D8F">
              <w:t xml:space="preserve"> (šobrīd projektā 29.</w:t>
            </w:r>
            <w:r w:rsidR="00B13BF9" w:rsidRPr="00F97D8F">
              <w:t xml:space="preserve"> </w:t>
            </w:r>
            <w:r w:rsidR="00BB232B" w:rsidRPr="00F97D8F">
              <w:t>punkts)</w:t>
            </w:r>
            <w:r w:rsidRPr="00F97D8F">
              <w:t xml:space="preserve"> paredzētā informācijas sniegšana attiecas uz visām ciešajām attiecībām, kas kredītiestādei pastāv gada pēdējā dienā</w:t>
            </w:r>
            <w:r w:rsidR="00BB232B" w:rsidRPr="00F97D8F">
              <w:t xml:space="preserve">. </w:t>
            </w:r>
          </w:p>
          <w:p w14:paraId="52D51B30" w14:textId="2BCB7608" w:rsidR="001E41F2" w:rsidRPr="007F57D8" w:rsidRDefault="00C85DDC" w:rsidP="00E5049D">
            <w:pPr>
              <w:pStyle w:val="NApunkts1"/>
              <w:numPr>
                <w:ilvl w:val="0"/>
                <w:numId w:val="0"/>
              </w:numPr>
              <w:rPr>
                <w:shd w:val="clear" w:color="auto" w:fill="FFFFFF"/>
              </w:rPr>
            </w:pPr>
            <w:r w:rsidRPr="00F97D8F">
              <w:t>28.</w:t>
            </w:r>
            <w:r w:rsidR="00B13BF9" w:rsidRPr="00F97D8F">
              <w:t> </w:t>
            </w:r>
            <w:r w:rsidRPr="00F97D8F">
              <w:t xml:space="preserve">punktā </w:t>
            </w:r>
            <w:r w:rsidR="00BB232B" w:rsidRPr="00F97D8F">
              <w:t>(šobrīd projektā 27.</w:t>
            </w:r>
            <w:r w:rsidR="00B13BF9" w:rsidRPr="00F97D8F">
              <w:t> </w:t>
            </w:r>
            <w:r w:rsidR="00BB232B" w:rsidRPr="00F97D8F">
              <w:t xml:space="preserve">punkts) </w:t>
            </w:r>
            <w:r w:rsidRPr="00F97D8F">
              <w:t xml:space="preserve">noteikta prasība ziņot </w:t>
            </w:r>
            <w:r w:rsidR="00C52089" w:rsidRPr="00F97D8F">
              <w:t xml:space="preserve">par </w:t>
            </w:r>
            <w:r w:rsidRPr="00F97D8F">
              <w:t>ciešajām attiecībām</w:t>
            </w:r>
            <w:r w:rsidR="00C52089" w:rsidRPr="00F97D8F">
              <w:t xml:space="preserve"> tikai tādā gadījumā</w:t>
            </w:r>
            <w:r w:rsidRPr="00F97D8F">
              <w:t xml:space="preserve">, ja ciešās attiecībās esoša komercsabiedrība sāk vai izbeidz sniegt ar kredītrisku saistītus finanšu pakalpojumus, ar ciešajām attiecībām saprotot iepriekšminētās regulas definīciju. Tā kā dalības jēdziens </w:t>
            </w:r>
            <w:r w:rsidRPr="007F57D8">
              <w:rPr>
                <w:shd w:val="clear" w:color="auto" w:fill="FFFFFF"/>
              </w:rPr>
              <w:t xml:space="preserve">nozīmē īpašumtiesības, tieši vai kontroles veidā, uz vismaz 20 % vai vairāk no uzņēmuma balsstiesībām vai kapitāla, tad informēšana attiecas arī uz kontroli. Uzraudzības monitorēšanā </w:t>
            </w:r>
            <w:r w:rsidRPr="007F57D8">
              <w:rPr>
                <w:shd w:val="clear" w:color="auto" w:fill="FFFFFF"/>
              </w:rPr>
              <w:lastRenderedPageBreak/>
              <w:t xml:space="preserve">būtiskāka nozīmē ir tām sabiedrībām, kas grupas ietvaros sniedz </w:t>
            </w:r>
            <w:r w:rsidR="008C1421" w:rsidRPr="007F57D8">
              <w:rPr>
                <w:shd w:val="clear" w:color="auto" w:fill="FFFFFF"/>
              </w:rPr>
              <w:t xml:space="preserve">ar </w:t>
            </w:r>
            <w:r w:rsidR="00C52089" w:rsidRPr="007F57D8">
              <w:rPr>
                <w:shd w:val="clear" w:color="auto" w:fill="FFFFFF"/>
              </w:rPr>
              <w:t>kredītrisku</w:t>
            </w:r>
            <w:r w:rsidR="008C1421" w:rsidRPr="007F57D8">
              <w:rPr>
                <w:shd w:val="clear" w:color="auto" w:fill="FFFFFF"/>
              </w:rPr>
              <w:t xml:space="preserve"> saistītus </w:t>
            </w:r>
            <w:r w:rsidRPr="007F57D8">
              <w:rPr>
                <w:shd w:val="clear" w:color="auto" w:fill="FFFFFF"/>
              </w:rPr>
              <w:t xml:space="preserve">finanšu pakalpojumus. </w:t>
            </w:r>
          </w:p>
          <w:p w14:paraId="127C9773" w14:textId="47025F3E" w:rsidR="00924534" w:rsidRPr="00F97D8F" w:rsidRDefault="00924534" w:rsidP="00E5049D">
            <w:pPr>
              <w:pStyle w:val="NApunkts1"/>
              <w:numPr>
                <w:ilvl w:val="0"/>
                <w:numId w:val="0"/>
              </w:numPr>
            </w:pPr>
            <w:r w:rsidRPr="00F97D8F">
              <w:t>Projekts precizēt</w:t>
            </w:r>
            <w:r w:rsidR="00C85DDC" w:rsidRPr="00F97D8F">
              <w:t>s.</w:t>
            </w:r>
          </w:p>
          <w:p w14:paraId="2801B56F" w14:textId="77777777" w:rsidR="00BB232B" w:rsidRPr="00F97D8F" w:rsidRDefault="00E5049D" w:rsidP="00BB232B">
            <w:pPr>
              <w:pStyle w:val="NApunkts1"/>
              <w:numPr>
                <w:ilvl w:val="0"/>
                <w:numId w:val="0"/>
              </w:numPr>
            </w:pPr>
            <w:r w:rsidRPr="00F97D8F">
              <w:t xml:space="preserve">26. </w:t>
            </w:r>
            <w:r w:rsidR="00BB232B" w:rsidRPr="00F97D8F">
              <w:t>Par ciešām attiecībām dalības veidā kredītiestāde informē Latvijas Banku tikai tādā gadījumā, ja iestāsies vismaz viens no šādiem nosacījumiem:</w:t>
            </w:r>
          </w:p>
          <w:p w14:paraId="0B31DECF" w14:textId="514620F5" w:rsidR="00E5049D" w:rsidRPr="00F97D8F" w:rsidRDefault="00E5049D" w:rsidP="00E5049D">
            <w:pPr>
              <w:pStyle w:val="NApunkts2"/>
              <w:numPr>
                <w:ilvl w:val="0"/>
                <w:numId w:val="0"/>
              </w:numPr>
              <w:tabs>
                <w:tab w:val="left" w:pos="1134"/>
              </w:tabs>
            </w:pPr>
            <w:r w:rsidRPr="00F97D8F">
              <w:t>26.1.</w:t>
            </w:r>
            <w:r w:rsidR="00B13BF9" w:rsidRPr="00F97D8F">
              <w:t xml:space="preserve"> </w:t>
            </w:r>
            <w:r w:rsidRPr="00F97D8F">
              <w:t>ieguldījums dod iespēju īstenot ietekmi uz komercsabiedrības vadību vai finanšu politiku;</w:t>
            </w:r>
          </w:p>
          <w:p w14:paraId="133D6FE9" w14:textId="40A1D4BA" w:rsidR="00E5049D" w:rsidRPr="00F97D8F" w:rsidRDefault="00E5049D" w:rsidP="00E5049D">
            <w:pPr>
              <w:pStyle w:val="NApunkts2"/>
              <w:numPr>
                <w:ilvl w:val="0"/>
                <w:numId w:val="0"/>
              </w:numPr>
              <w:tabs>
                <w:tab w:val="left" w:pos="1134"/>
              </w:tabs>
            </w:pPr>
            <w:r w:rsidRPr="00F97D8F">
              <w:t>26.2.</w:t>
            </w:r>
            <w:r w:rsidR="00B13BF9" w:rsidRPr="00F97D8F">
              <w:t xml:space="preserve"> </w:t>
            </w:r>
            <w:r w:rsidRPr="00F97D8F">
              <w:t>ieguldījums nav klasificējams kā finanšu aktīvs, kas novērtēts patiesajā vērtībā ar atspoguļojumu peļņas vai zaudējumu aprēķinā, vai finanšu aktīvs, kas novērtēts patiesajā vērtībā ar atspoguļojumu pērējos apvienotajos ienākumos;</w:t>
            </w:r>
          </w:p>
          <w:p w14:paraId="36FB06C7" w14:textId="11494F1A" w:rsidR="00E5049D" w:rsidRPr="00F97D8F" w:rsidRDefault="00E5049D" w:rsidP="00E5049D">
            <w:pPr>
              <w:pStyle w:val="NApunkts2"/>
              <w:numPr>
                <w:ilvl w:val="0"/>
                <w:numId w:val="0"/>
              </w:numPr>
              <w:tabs>
                <w:tab w:val="left" w:pos="1134"/>
              </w:tabs>
            </w:pPr>
            <w:r w:rsidRPr="00F97D8F">
              <w:t>26.3.</w:t>
            </w:r>
            <w:r w:rsidR="00B13BF9" w:rsidRPr="00F97D8F">
              <w:t> </w:t>
            </w:r>
            <w:r w:rsidRPr="00F97D8F">
              <w:t>ciešās attiecībās esošā komercsabiedrība sniedz ar kredītrisku saistītus finanšu pakalpojumus.</w:t>
            </w:r>
          </w:p>
          <w:p w14:paraId="543A874E" w14:textId="77777777" w:rsidR="00E630FA" w:rsidRPr="00F97D8F" w:rsidRDefault="00E630FA" w:rsidP="00E5049D">
            <w:pPr>
              <w:pStyle w:val="NApunkts2"/>
              <w:numPr>
                <w:ilvl w:val="0"/>
                <w:numId w:val="0"/>
              </w:numPr>
              <w:tabs>
                <w:tab w:val="left" w:pos="1134"/>
              </w:tabs>
            </w:pPr>
          </w:p>
          <w:p w14:paraId="437E4B9E" w14:textId="2116F5B5" w:rsidR="00E5049D" w:rsidRPr="00F97D8F" w:rsidRDefault="00E5049D" w:rsidP="00E5049D">
            <w:pPr>
              <w:pStyle w:val="NApunkts1"/>
              <w:numPr>
                <w:ilvl w:val="0"/>
                <w:numId w:val="0"/>
              </w:numPr>
            </w:pPr>
            <w:r w:rsidRPr="00F97D8F">
              <w:t>2</w:t>
            </w:r>
            <w:r w:rsidR="00BB232B" w:rsidRPr="00F97D8F">
              <w:t>7</w:t>
            </w:r>
            <w:r w:rsidRPr="00F97D8F">
              <w:t>.</w:t>
            </w:r>
            <w:r w:rsidR="00F97D8F">
              <w:t xml:space="preserve"> </w:t>
            </w:r>
            <w:r w:rsidRPr="00F97D8F">
              <w:t>Kredītiestāde rakstveidā informē Latvijas Banku, ja ciešās attiecībās esoša komercsabiedrība sāk vai izbeidz sniegt ar kredītrisku saistītus finanšu pakalpojumus, ne vēlāk kā 30 dienas pēc minēto pakalpojumu sniegšanas sākšanas vai izbeigšanas.</w:t>
            </w:r>
          </w:p>
          <w:p w14:paraId="6C83352D" w14:textId="77777777" w:rsidR="00E5049D" w:rsidRPr="00F97D8F" w:rsidRDefault="00E5049D" w:rsidP="00E5049D">
            <w:pPr>
              <w:jc w:val="both"/>
              <w:rPr>
                <w:rFonts w:ascii="Times New Roman" w:hAnsi="Times New Roman" w:cs="Times New Roman"/>
                <w:iCs/>
                <w:sz w:val="24"/>
                <w:szCs w:val="24"/>
              </w:rPr>
            </w:pPr>
          </w:p>
        </w:tc>
      </w:tr>
      <w:bookmarkEnd w:id="4"/>
      <w:tr w:rsidR="00E5049D" w:rsidRPr="004E3F4A" w14:paraId="7F2AF812" w14:textId="77777777" w:rsidTr="00E5049D">
        <w:tc>
          <w:tcPr>
            <w:tcW w:w="756" w:type="dxa"/>
            <w:tcBorders>
              <w:top w:val="single" w:sz="4" w:space="0" w:color="auto"/>
              <w:left w:val="single" w:sz="4" w:space="0" w:color="auto"/>
              <w:bottom w:val="single" w:sz="4" w:space="0" w:color="auto"/>
              <w:right w:val="single" w:sz="4" w:space="0" w:color="auto"/>
            </w:tcBorders>
          </w:tcPr>
          <w:p w14:paraId="0F21BB15" w14:textId="5B0FCFF2" w:rsidR="00E5049D" w:rsidRPr="004E3F4A" w:rsidRDefault="00E5049D" w:rsidP="00E5049D">
            <w:pPr>
              <w:pStyle w:val="NApunkts1"/>
              <w:numPr>
                <w:ilvl w:val="0"/>
                <w:numId w:val="0"/>
              </w:numPr>
              <w:ind w:left="360"/>
            </w:pPr>
            <w:r w:rsidRPr="004E3F4A">
              <w:lastRenderedPageBreak/>
              <w:t>7.</w:t>
            </w:r>
          </w:p>
        </w:tc>
        <w:tc>
          <w:tcPr>
            <w:tcW w:w="4212" w:type="dxa"/>
            <w:tcBorders>
              <w:top w:val="single" w:sz="4" w:space="0" w:color="auto"/>
              <w:left w:val="single" w:sz="4" w:space="0" w:color="auto"/>
              <w:bottom w:val="single" w:sz="4" w:space="0" w:color="auto"/>
              <w:right w:val="single" w:sz="4" w:space="0" w:color="auto"/>
            </w:tcBorders>
          </w:tcPr>
          <w:p w14:paraId="671DEC8E" w14:textId="77777777" w:rsidR="00E5049D" w:rsidRPr="004E3F4A" w:rsidRDefault="00E5049D" w:rsidP="00E5049D">
            <w:pPr>
              <w:pStyle w:val="NApunkts2"/>
              <w:numPr>
                <w:ilvl w:val="0"/>
                <w:numId w:val="0"/>
              </w:numPr>
            </w:pPr>
            <w:r w:rsidRPr="004E3F4A">
              <w:t>13.4. kredītiestādes uzņēmuma pārejas plānu, kurā noteikta uzņēmuma pārejas kartība un termiņi;</w:t>
            </w:r>
          </w:p>
          <w:p w14:paraId="1C12C69C" w14:textId="0208E047" w:rsidR="00E5049D" w:rsidRPr="004E3F4A" w:rsidRDefault="00E5049D" w:rsidP="00E5049D">
            <w:pPr>
              <w:pStyle w:val="NApunkts1"/>
              <w:numPr>
                <w:ilvl w:val="0"/>
                <w:numId w:val="0"/>
              </w:numPr>
            </w:pPr>
          </w:p>
        </w:tc>
        <w:tc>
          <w:tcPr>
            <w:tcW w:w="5103" w:type="dxa"/>
            <w:tcBorders>
              <w:top w:val="single" w:sz="4" w:space="0" w:color="auto"/>
              <w:left w:val="single" w:sz="4" w:space="0" w:color="auto"/>
              <w:bottom w:val="single" w:sz="4" w:space="0" w:color="auto"/>
              <w:right w:val="single" w:sz="4" w:space="0" w:color="auto"/>
            </w:tcBorders>
          </w:tcPr>
          <w:p w14:paraId="4E85456C" w14:textId="77777777" w:rsidR="00887C29" w:rsidRPr="004E3F4A" w:rsidRDefault="00887C29" w:rsidP="00887C29">
            <w:pPr>
              <w:pStyle w:val="Default"/>
              <w:spacing w:after="120"/>
              <w:jc w:val="both"/>
              <w:rPr>
                <w:rFonts w:ascii="Times New Roman" w:hAnsi="Times New Roman" w:cs="Times New Roman"/>
              </w:rPr>
            </w:pPr>
            <w:r w:rsidRPr="004E3F4A">
              <w:rPr>
                <w:rFonts w:ascii="Times New Roman" w:hAnsi="Times New Roman" w:cs="Times New Roman"/>
              </w:rPr>
              <w:t>Latvijas Finanšu nozares asociācijas priekšlikums:</w:t>
            </w:r>
          </w:p>
          <w:p w14:paraId="65157636" w14:textId="1A62DCBA" w:rsidR="00E5049D" w:rsidRPr="004E3F4A" w:rsidRDefault="00E5049D" w:rsidP="00E5049D">
            <w:pPr>
              <w:pStyle w:val="Default"/>
              <w:rPr>
                <w:sz w:val="22"/>
                <w:szCs w:val="22"/>
              </w:rPr>
            </w:pPr>
            <w:r w:rsidRPr="004E3F4A">
              <w:rPr>
                <w:rFonts w:ascii="Times New Roman" w:hAnsi="Times New Roman" w:cs="Times New Roman"/>
              </w:rPr>
              <w:t xml:space="preserve">Noteikumu 13.4.punktā vārdā trūkst garumzīme – </w:t>
            </w:r>
            <w:r w:rsidR="00EB5E49" w:rsidRPr="004E3F4A">
              <w:rPr>
                <w:rFonts w:ascii="Times New Roman" w:hAnsi="Times New Roman" w:cs="Times New Roman"/>
              </w:rPr>
              <w:t>''</w:t>
            </w:r>
            <w:r w:rsidRPr="004E3F4A">
              <w:rPr>
                <w:rFonts w:ascii="Times New Roman" w:hAnsi="Times New Roman" w:cs="Times New Roman"/>
              </w:rPr>
              <w:t>kārtīb</w:t>
            </w:r>
            <w:r w:rsidRPr="004E3F4A">
              <w:rPr>
                <w:sz w:val="22"/>
                <w:szCs w:val="22"/>
              </w:rPr>
              <w:t xml:space="preserve">a”. </w:t>
            </w:r>
          </w:p>
          <w:p w14:paraId="175A0812" w14:textId="77777777" w:rsidR="00E5049D" w:rsidRPr="004E3F4A" w:rsidRDefault="00E5049D" w:rsidP="00E5049D">
            <w:pPr>
              <w:pStyle w:val="Default"/>
              <w:jc w:val="both"/>
              <w:rPr>
                <w:rFonts w:ascii="Times New Roman" w:hAnsi="Times New Roman" w:cs="Times New Roman"/>
              </w:rPr>
            </w:pPr>
          </w:p>
        </w:tc>
        <w:tc>
          <w:tcPr>
            <w:tcW w:w="4111" w:type="dxa"/>
            <w:tcBorders>
              <w:top w:val="single" w:sz="4" w:space="0" w:color="auto"/>
              <w:left w:val="single" w:sz="4" w:space="0" w:color="auto"/>
              <w:bottom w:val="single" w:sz="4" w:space="0" w:color="auto"/>
              <w:right w:val="single" w:sz="4" w:space="0" w:color="auto"/>
            </w:tcBorders>
          </w:tcPr>
          <w:p w14:paraId="22968F57" w14:textId="77777777" w:rsidR="00E5049D" w:rsidRPr="004E3F4A" w:rsidRDefault="00E5049D" w:rsidP="00E5049D">
            <w:pPr>
              <w:jc w:val="both"/>
              <w:rPr>
                <w:rFonts w:ascii="Times New Roman" w:hAnsi="Times New Roman" w:cs="Times New Roman"/>
                <w:iCs/>
                <w:sz w:val="24"/>
                <w:szCs w:val="24"/>
              </w:rPr>
            </w:pPr>
            <w:r w:rsidRPr="004E3F4A">
              <w:rPr>
                <w:rFonts w:ascii="Times New Roman" w:hAnsi="Times New Roman" w:cs="Times New Roman"/>
                <w:iCs/>
                <w:sz w:val="24"/>
                <w:szCs w:val="24"/>
              </w:rPr>
              <w:t>Precizēts.</w:t>
            </w:r>
          </w:p>
          <w:p w14:paraId="0505B0AF" w14:textId="14D8D51A" w:rsidR="00E5049D" w:rsidRPr="004E3F4A" w:rsidRDefault="00E5049D" w:rsidP="00E5049D">
            <w:pPr>
              <w:pStyle w:val="NApunkts2"/>
              <w:numPr>
                <w:ilvl w:val="0"/>
                <w:numId w:val="0"/>
              </w:numPr>
            </w:pPr>
            <w:r w:rsidRPr="004E3F4A">
              <w:t>13.4.</w:t>
            </w:r>
            <w:r w:rsidR="00B13BF9" w:rsidRPr="004E3F4A">
              <w:t xml:space="preserve"> </w:t>
            </w:r>
            <w:r w:rsidRPr="004E3F4A">
              <w:t>kredītiestādes uzņēmuma pārejas plānu, kurā noteikta uzņēmuma pārejas kārtība un termiņi;</w:t>
            </w:r>
          </w:p>
          <w:p w14:paraId="73F45342" w14:textId="1DAE6F43" w:rsidR="00E5049D" w:rsidRPr="004E3F4A" w:rsidRDefault="00E5049D" w:rsidP="00E5049D">
            <w:pPr>
              <w:jc w:val="both"/>
              <w:rPr>
                <w:rFonts w:ascii="Times New Roman" w:hAnsi="Times New Roman" w:cs="Times New Roman"/>
                <w:iCs/>
                <w:sz w:val="24"/>
                <w:szCs w:val="24"/>
              </w:rPr>
            </w:pPr>
          </w:p>
        </w:tc>
      </w:tr>
      <w:tr w:rsidR="00E5049D" w:rsidRPr="004E3F4A" w14:paraId="20DEFCA2" w14:textId="77777777" w:rsidTr="00E5049D">
        <w:tc>
          <w:tcPr>
            <w:tcW w:w="756" w:type="dxa"/>
            <w:tcBorders>
              <w:top w:val="single" w:sz="4" w:space="0" w:color="auto"/>
              <w:left w:val="single" w:sz="4" w:space="0" w:color="auto"/>
              <w:bottom w:val="single" w:sz="4" w:space="0" w:color="auto"/>
              <w:right w:val="single" w:sz="4" w:space="0" w:color="auto"/>
            </w:tcBorders>
          </w:tcPr>
          <w:p w14:paraId="68FAE9A5" w14:textId="6AC0B3C9" w:rsidR="00E5049D" w:rsidRPr="004E3F4A" w:rsidRDefault="00E5049D" w:rsidP="00E5049D">
            <w:pPr>
              <w:pStyle w:val="NApunkts1"/>
              <w:numPr>
                <w:ilvl w:val="0"/>
                <w:numId w:val="0"/>
              </w:numPr>
              <w:ind w:left="360"/>
            </w:pPr>
            <w:r w:rsidRPr="004E3F4A">
              <w:t>8.</w:t>
            </w:r>
          </w:p>
        </w:tc>
        <w:tc>
          <w:tcPr>
            <w:tcW w:w="4212" w:type="dxa"/>
            <w:tcBorders>
              <w:top w:val="single" w:sz="4" w:space="0" w:color="auto"/>
              <w:left w:val="single" w:sz="4" w:space="0" w:color="auto"/>
              <w:bottom w:val="single" w:sz="4" w:space="0" w:color="auto"/>
              <w:right w:val="single" w:sz="4" w:space="0" w:color="auto"/>
            </w:tcBorders>
          </w:tcPr>
          <w:p w14:paraId="69166F6B" w14:textId="5CD433E1" w:rsidR="00E5049D" w:rsidRPr="004E3F4A" w:rsidRDefault="00E5049D" w:rsidP="00E5049D">
            <w:pPr>
              <w:pStyle w:val="Heading1"/>
              <w:ind w:left="123"/>
              <w:jc w:val="both"/>
              <w:rPr>
                <w:b w:val="0"/>
                <w:bCs w:val="0"/>
                <w:sz w:val="24"/>
                <w:lang w:val="lv-LV"/>
              </w:rPr>
            </w:pPr>
            <w:r w:rsidRPr="004E3F4A">
              <w:rPr>
                <w:b w:val="0"/>
                <w:bCs w:val="0"/>
                <w:sz w:val="24"/>
                <w:lang w:val="lv-LV"/>
              </w:rPr>
              <w:t>6.pielikuma virsraksts ''Kredītiestādes filiāļu, pārstāvniecību un citu tās struktūrvienību saraksts</w:t>
            </w:r>
          </w:p>
          <w:p w14:paraId="7CE25E3E" w14:textId="1CBD5302" w:rsidR="00E5049D" w:rsidRPr="004E3F4A" w:rsidRDefault="00E5049D" w:rsidP="00E5049D">
            <w:pPr>
              <w:pStyle w:val="NApunkts2"/>
              <w:numPr>
                <w:ilvl w:val="0"/>
                <w:numId w:val="0"/>
              </w:numPr>
            </w:pPr>
          </w:p>
        </w:tc>
        <w:tc>
          <w:tcPr>
            <w:tcW w:w="5103" w:type="dxa"/>
            <w:tcBorders>
              <w:top w:val="single" w:sz="4" w:space="0" w:color="auto"/>
              <w:left w:val="single" w:sz="4" w:space="0" w:color="auto"/>
              <w:bottom w:val="single" w:sz="4" w:space="0" w:color="auto"/>
              <w:right w:val="single" w:sz="4" w:space="0" w:color="auto"/>
            </w:tcBorders>
          </w:tcPr>
          <w:p w14:paraId="3C741807" w14:textId="77777777" w:rsidR="00887C29" w:rsidRPr="004E3F4A" w:rsidRDefault="00887C29" w:rsidP="00887C29">
            <w:pPr>
              <w:pStyle w:val="Default"/>
              <w:spacing w:after="120"/>
              <w:jc w:val="both"/>
              <w:rPr>
                <w:rFonts w:ascii="Times New Roman" w:hAnsi="Times New Roman" w:cs="Times New Roman"/>
              </w:rPr>
            </w:pPr>
            <w:r w:rsidRPr="004E3F4A">
              <w:rPr>
                <w:rFonts w:ascii="Times New Roman" w:hAnsi="Times New Roman" w:cs="Times New Roman"/>
              </w:rPr>
              <w:t>Latvijas Finanšu nozares asociācijas priekšlikums:</w:t>
            </w:r>
          </w:p>
          <w:p w14:paraId="244E7885" w14:textId="4F752F77" w:rsidR="00E5049D" w:rsidRPr="004E3F4A" w:rsidRDefault="00E5049D" w:rsidP="00E5049D">
            <w:pPr>
              <w:pStyle w:val="Default"/>
              <w:rPr>
                <w:rFonts w:ascii="Times New Roman" w:hAnsi="Times New Roman" w:cs="Times New Roman"/>
              </w:rPr>
            </w:pPr>
            <w:r w:rsidRPr="004E3F4A">
              <w:rPr>
                <w:rFonts w:ascii="Times New Roman" w:hAnsi="Times New Roman" w:cs="Times New Roman"/>
              </w:rPr>
              <w:t>Asociācija piedāvā Latvijas Bankai novienādot 6.</w:t>
            </w:r>
            <w:r w:rsidR="00205A08">
              <w:rPr>
                <w:rFonts w:ascii="Times New Roman" w:hAnsi="Times New Roman" w:cs="Times New Roman"/>
              </w:rPr>
              <w:t> </w:t>
            </w:r>
            <w:r w:rsidRPr="004E3F4A">
              <w:rPr>
                <w:rFonts w:ascii="Times New Roman" w:hAnsi="Times New Roman" w:cs="Times New Roman"/>
              </w:rPr>
              <w:t xml:space="preserve">pielikumu (pēc 5. pielikuma) un to precizēt </w:t>
            </w:r>
          </w:p>
          <w:p w14:paraId="24E3E0F8" w14:textId="77777777" w:rsidR="00E5049D" w:rsidRPr="004E3F4A" w:rsidRDefault="00E5049D" w:rsidP="00E5049D">
            <w:pPr>
              <w:pStyle w:val="Default"/>
              <w:rPr>
                <w:rFonts w:ascii="Times New Roman" w:hAnsi="Times New Roman" w:cs="Times New Roman"/>
              </w:rPr>
            </w:pPr>
          </w:p>
          <w:p w14:paraId="3D5E632C" w14:textId="4F98C7E3" w:rsidR="00E5049D" w:rsidRPr="004E3F4A" w:rsidRDefault="00D85FA5" w:rsidP="00E5049D">
            <w:pPr>
              <w:pStyle w:val="Default"/>
              <w:rPr>
                <w:rFonts w:ascii="Times New Roman" w:hAnsi="Times New Roman" w:cs="Times New Roman"/>
              </w:rPr>
            </w:pPr>
            <w:r w:rsidRPr="004E3F4A">
              <w:rPr>
                <w:rFonts w:ascii="Times New Roman" w:hAnsi="Times New Roman" w:cs="Times New Roman"/>
              </w:rPr>
              <w:t>''</w:t>
            </w:r>
            <w:r w:rsidR="00E5049D" w:rsidRPr="004E3F4A">
              <w:rPr>
                <w:rFonts w:ascii="Times New Roman" w:hAnsi="Times New Roman" w:cs="Times New Roman"/>
              </w:rPr>
              <w:t>Kredītiestādes filiāles, pārstāvniecības un citas tās struktūrvienības saraksts</w:t>
            </w:r>
            <w:r w:rsidRPr="004E3F4A">
              <w:rPr>
                <w:rFonts w:ascii="Times New Roman" w:hAnsi="Times New Roman" w:cs="Times New Roman"/>
              </w:rPr>
              <w:t>''</w:t>
            </w:r>
          </w:p>
          <w:p w14:paraId="134661AB" w14:textId="77777777" w:rsidR="00E5049D" w:rsidRPr="004E3F4A" w:rsidRDefault="00E5049D" w:rsidP="00E5049D">
            <w:pPr>
              <w:pStyle w:val="Default"/>
            </w:pPr>
          </w:p>
        </w:tc>
        <w:tc>
          <w:tcPr>
            <w:tcW w:w="4111" w:type="dxa"/>
            <w:tcBorders>
              <w:top w:val="single" w:sz="4" w:space="0" w:color="auto"/>
              <w:left w:val="single" w:sz="4" w:space="0" w:color="auto"/>
              <w:bottom w:val="single" w:sz="4" w:space="0" w:color="auto"/>
              <w:right w:val="single" w:sz="4" w:space="0" w:color="auto"/>
            </w:tcBorders>
          </w:tcPr>
          <w:p w14:paraId="43EB95A6" w14:textId="68DE4205" w:rsidR="00E5049D" w:rsidRPr="004E3F4A" w:rsidRDefault="00E5049D" w:rsidP="00E5049D">
            <w:pPr>
              <w:jc w:val="both"/>
              <w:rPr>
                <w:rFonts w:ascii="Times New Roman" w:hAnsi="Times New Roman" w:cs="Times New Roman"/>
                <w:iCs/>
                <w:sz w:val="24"/>
                <w:szCs w:val="24"/>
              </w:rPr>
            </w:pPr>
            <w:r w:rsidRPr="004E3F4A">
              <w:rPr>
                <w:rFonts w:ascii="Times New Roman" w:hAnsi="Times New Roman" w:cs="Times New Roman"/>
                <w:iCs/>
                <w:sz w:val="24"/>
                <w:szCs w:val="24"/>
              </w:rPr>
              <w:t xml:space="preserve">Precizēts, ņemot vērā priekšlikumu un atbilstoši izmaiņām, kas minētas tabulas </w:t>
            </w:r>
            <w:r w:rsidR="00EB5E49" w:rsidRPr="004E3F4A">
              <w:rPr>
                <w:rFonts w:ascii="Times New Roman" w:hAnsi="Times New Roman" w:cs="Times New Roman"/>
                <w:iCs/>
                <w:sz w:val="24"/>
                <w:szCs w:val="24"/>
              </w:rPr>
              <w:t>5.</w:t>
            </w:r>
            <w:r w:rsidR="00B13BF9" w:rsidRPr="004E3F4A">
              <w:rPr>
                <w:rFonts w:ascii="Times New Roman" w:hAnsi="Times New Roman" w:cs="Times New Roman"/>
                <w:iCs/>
                <w:sz w:val="24"/>
                <w:szCs w:val="24"/>
              </w:rPr>
              <w:t> </w:t>
            </w:r>
            <w:r w:rsidR="00EB5E49" w:rsidRPr="004E3F4A">
              <w:rPr>
                <w:rFonts w:ascii="Times New Roman" w:hAnsi="Times New Roman" w:cs="Times New Roman"/>
                <w:iCs/>
                <w:sz w:val="24"/>
                <w:szCs w:val="24"/>
              </w:rPr>
              <w:t xml:space="preserve">punktā. </w:t>
            </w:r>
          </w:p>
          <w:p w14:paraId="3FD8D394" w14:textId="47F6FA76" w:rsidR="00E5049D" w:rsidRPr="004E3F4A" w:rsidRDefault="00E5049D" w:rsidP="00B13BF9">
            <w:pPr>
              <w:pStyle w:val="Heading1"/>
              <w:spacing w:before="240" w:after="240"/>
              <w:ind w:left="0"/>
              <w:jc w:val="both"/>
              <w:rPr>
                <w:b w:val="0"/>
                <w:bCs w:val="0"/>
                <w:sz w:val="24"/>
                <w:lang w:val="lv-LV"/>
              </w:rPr>
            </w:pPr>
            <w:r w:rsidRPr="004E3F4A">
              <w:rPr>
                <w:b w:val="0"/>
                <w:bCs w:val="0"/>
                <w:sz w:val="24"/>
                <w:lang w:val="lv-LV"/>
              </w:rPr>
              <w:t>6.</w:t>
            </w:r>
            <w:r w:rsidR="00B13BF9" w:rsidRPr="004E3F4A">
              <w:rPr>
                <w:b w:val="0"/>
                <w:bCs w:val="0"/>
                <w:sz w:val="24"/>
                <w:lang w:val="lv-LV"/>
              </w:rPr>
              <w:t> </w:t>
            </w:r>
            <w:r w:rsidRPr="004E3F4A">
              <w:rPr>
                <w:b w:val="0"/>
                <w:bCs w:val="0"/>
                <w:sz w:val="24"/>
                <w:lang w:val="lv-LV"/>
              </w:rPr>
              <w:t xml:space="preserve">pielikuma virsraksts </w:t>
            </w:r>
            <w:r w:rsidR="00632A06" w:rsidRPr="004E3F4A">
              <w:rPr>
                <w:b w:val="0"/>
                <w:bCs w:val="0"/>
                <w:sz w:val="24"/>
                <w:lang w:val="lv-LV"/>
              </w:rPr>
              <w:t>''</w:t>
            </w:r>
            <w:r w:rsidR="00632A06" w:rsidRPr="004E3F4A">
              <w:rPr>
                <w:b w:val="0"/>
                <w:bCs w:val="0"/>
                <w:sz w:val="24"/>
                <w:szCs w:val="22"/>
                <w:lang w:val="lv-LV"/>
              </w:rPr>
              <w:t>Kredītiestādes filiāles, pārstāvniecības, citas tās struktūrvienības un finanšu pakalpojumu sniegšana dalībvalstī, neatverot filiāli''</w:t>
            </w:r>
          </w:p>
          <w:p w14:paraId="0E1D9B64" w14:textId="38158487" w:rsidR="00E5049D" w:rsidRPr="004E3F4A" w:rsidRDefault="00E5049D" w:rsidP="00E5049D">
            <w:pPr>
              <w:jc w:val="both"/>
              <w:rPr>
                <w:rFonts w:ascii="Times New Roman" w:hAnsi="Times New Roman" w:cs="Times New Roman"/>
                <w:iCs/>
                <w:sz w:val="24"/>
                <w:szCs w:val="24"/>
              </w:rPr>
            </w:pPr>
          </w:p>
        </w:tc>
      </w:tr>
    </w:tbl>
    <w:p w14:paraId="01FA7730" w14:textId="77777777" w:rsidR="00061F14" w:rsidRPr="004E3F4A" w:rsidRDefault="00061F14" w:rsidP="007430D0">
      <w:pPr>
        <w:spacing w:after="0" w:line="240" w:lineRule="auto"/>
        <w:rPr>
          <w:rFonts w:ascii="Times New Roman" w:hAnsi="Times New Roman" w:cs="Times New Roman"/>
          <w:sz w:val="24"/>
          <w:szCs w:val="24"/>
        </w:rPr>
      </w:pPr>
    </w:p>
    <w:sectPr w:rsidR="00061F14" w:rsidRPr="004E3F4A" w:rsidSect="00C87E33">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F56E5" w14:textId="77777777" w:rsidR="004C4844" w:rsidRDefault="004C4844" w:rsidP="009B27BE">
      <w:pPr>
        <w:spacing w:after="0" w:line="240" w:lineRule="auto"/>
      </w:pPr>
      <w:r>
        <w:separator/>
      </w:r>
    </w:p>
  </w:endnote>
  <w:endnote w:type="continuationSeparator" w:id="0">
    <w:p w14:paraId="2D5767A8" w14:textId="77777777" w:rsidR="004C4844" w:rsidRDefault="004C4844"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16CD4" w14:textId="77777777" w:rsidR="004C4844" w:rsidRDefault="004C4844" w:rsidP="009B27BE">
      <w:pPr>
        <w:spacing w:after="0" w:line="240" w:lineRule="auto"/>
      </w:pPr>
      <w:r>
        <w:separator/>
      </w:r>
    </w:p>
  </w:footnote>
  <w:footnote w:type="continuationSeparator" w:id="0">
    <w:p w14:paraId="25C58142" w14:textId="77777777" w:rsidR="004C4844" w:rsidRDefault="004C4844" w:rsidP="009B27BE">
      <w:pPr>
        <w:spacing w:after="0" w:line="240" w:lineRule="auto"/>
      </w:pPr>
      <w:r>
        <w:continuationSeparator/>
      </w:r>
    </w:p>
  </w:footnote>
  <w:footnote w:id="1">
    <w:p w14:paraId="09A7ED6A" w14:textId="151583CA" w:rsidR="0047764F" w:rsidRPr="0047764F" w:rsidRDefault="007D5307" w:rsidP="0047764F">
      <w:pPr>
        <w:pStyle w:val="FootnoteText"/>
        <w:spacing w:after="120"/>
        <w:rPr>
          <w:rFonts w:ascii="Times New Roman" w:hAnsi="Times New Roman" w:cs="Times New Roman"/>
        </w:rPr>
      </w:pPr>
      <w:r>
        <w:rPr>
          <w:rStyle w:val="FootnoteReference"/>
        </w:rPr>
        <w:footnoteRef/>
      </w:r>
      <w:r>
        <w:t xml:space="preserve"> </w:t>
      </w:r>
      <w:r>
        <w:rPr>
          <w:rFonts w:ascii="Times New Roman" w:hAnsi="Times New Roman" w:cs="Times New Roman"/>
        </w:rPr>
        <w:t>S</w:t>
      </w:r>
      <w:r w:rsidRPr="008E5BE8">
        <w:rPr>
          <w:rFonts w:ascii="Times New Roman" w:hAnsi="Times New Roman" w:cs="Times New Roman"/>
        </w:rPr>
        <w:t>kat. informāciju anotācijas sadaļā "Saistītie dokumenti".</w:t>
      </w:r>
    </w:p>
  </w:footnote>
  <w:footnote w:id="2">
    <w:p w14:paraId="664DEEC0" w14:textId="496FFFDA" w:rsidR="00975294" w:rsidRDefault="007D5307" w:rsidP="0047764F">
      <w:pPr>
        <w:pStyle w:val="FootnoteText"/>
        <w:spacing w:after="120"/>
        <w:jc w:val="both"/>
        <w:rPr>
          <w:rFonts w:ascii="Times New Roman" w:hAnsi="Times New Roman" w:cs="Times New Roman"/>
        </w:rPr>
      </w:pPr>
      <w:r w:rsidRPr="008E5BE8">
        <w:rPr>
          <w:rStyle w:val="FootnoteReference"/>
          <w:rFonts w:ascii="Times New Roman" w:hAnsi="Times New Roman" w:cs="Times New Roman"/>
        </w:rPr>
        <w:footnoteRef/>
      </w:r>
      <w:r w:rsidRPr="008E5BE8">
        <w:rPr>
          <w:rFonts w:ascii="Times New Roman" w:hAnsi="Times New Roman" w:cs="Times New Roman"/>
        </w:rPr>
        <w:t xml:space="preserve"> Komisijas 2022. gada 17. jūnija deleģētā regula (ES) 2022/2580, ar ko Eiropas Parlamenta un Padomes direktīvu 2013/36/ES papildina attiecībā uz regulatīvajiem tehniskajiem standartiem par informāciju, kas jāsniedz pieteikumā kredītiestādes atļaujas saņemšanai, un šķēršļiem, kuri var kavēt kompetento iestāžu uzraudzības funkciju efektīvu īstenošanu; </w:t>
      </w:r>
    </w:p>
    <w:p w14:paraId="63997766" w14:textId="5EB2B195" w:rsidR="007D5307" w:rsidRPr="008E5BE8" w:rsidRDefault="007D5307" w:rsidP="0047764F">
      <w:pPr>
        <w:pStyle w:val="FootnoteText"/>
        <w:spacing w:after="120"/>
        <w:jc w:val="both"/>
        <w:rPr>
          <w:rFonts w:ascii="Times New Roman" w:hAnsi="Times New Roman" w:cs="Times New Roman"/>
        </w:rPr>
      </w:pPr>
      <w:r w:rsidRPr="008E5BE8">
        <w:rPr>
          <w:rFonts w:ascii="Times New Roman" w:hAnsi="Times New Roman" w:cs="Times New Roman"/>
        </w:rPr>
        <w:t>Komisijas 2022. gada 20. jūnija īstenošanas regula (ES) 2022/2581, ar ko nosaka īstenošanas tehniskos standartus Eiropas Parlamenta un Padomes direktīvas 2013/36/ES piemērošanai attiecībā uz informācijas sniegšanu kredītiestādes atļaujas pieteikumā.</w:t>
      </w:r>
    </w:p>
  </w:footnote>
  <w:footnote w:id="3">
    <w:p w14:paraId="1CED9771" w14:textId="276EA38B" w:rsidR="001B0617" w:rsidRPr="00C72F36" w:rsidRDefault="001B0617" w:rsidP="0047764F">
      <w:pPr>
        <w:pStyle w:val="FootnoteText"/>
        <w:spacing w:after="120"/>
        <w:rPr>
          <w:rFonts w:ascii="Times New Roman" w:eastAsia="Times New Roman" w:hAnsi="Times New Roman" w:cs="Times New Roman"/>
          <w:lang w:eastAsia="lv-LV"/>
        </w:rPr>
      </w:pPr>
      <w:r w:rsidRPr="009F2F3C">
        <w:rPr>
          <w:rFonts w:ascii="Times New Roman" w:eastAsia="Times New Roman" w:hAnsi="Times New Roman" w:cs="Times New Roman"/>
          <w:vertAlign w:val="superscript"/>
          <w:lang w:eastAsia="lv-LV"/>
        </w:rPr>
        <w:footnoteRef/>
      </w:r>
      <w:r w:rsidRPr="009F2F3C">
        <w:rPr>
          <w:rFonts w:ascii="Times New Roman" w:eastAsia="Times New Roman" w:hAnsi="Times New Roman" w:cs="Times New Roman"/>
          <w:vertAlign w:val="superscript"/>
          <w:lang w:eastAsia="lv-LV"/>
        </w:rPr>
        <w:t xml:space="preserve"> </w:t>
      </w:r>
      <w:r w:rsidR="003E32CD" w:rsidRPr="00C72F36">
        <w:rPr>
          <w:rFonts w:ascii="Times New Roman" w:eastAsia="Times New Roman" w:hAnsi="Times New Roman" w:cs="Times New Roman"/>
          <w:lang w:eastAsia="lv-LV"/>
        </w:rPr>
        <w:t>S</w:t>
      </w:r>
      <w:r w:rsidRPr="00C72F36">
        <w:rPr>
          <w:rFonts w:ascii="Times New Roman" w:eastAsia="Times New Roman" w:hAnsi="Times New Roman" w:cs="Times New Roman"/>
          <w:lang w:eastAsia="lv-LV"/>
        </w:rPr>
        <w:t>kat. informāciju anotācijas sadaļā "Saistītie dokumenti".</w:t>
      </w:r>
    </w:p>
  </w:footnote>
  <w:footnote w:id="4">
    <w:p w14:paraId="79342106" w14:textId="1D9B9847" w:rsidR="00A34928" w:rsidRPr="00A34928" w:rsidRDefault="00A34928">
      <w:pPr>
        <w:pStyle w:val="FootnoteText"/>
        <w:rPr>
          <w:rFonts w:ascii="Times New Roman" w:hAnsi="Times New Roman" w:cs="Times New Roman"/>
        </w:rPr>
      </w:pPr>
      <w:r w:rsidRPr="009F2F3C">
        <w:rPr>
          <w:rFonts w:ascii="Times New Roman" w:eastAsia="Times New Roman" w:hAnsi="Times New Roman" w:cs="Times New Roman"/>
          <w:vertAlign w:val="superscript"/>
          <w:lang w:eastAsia="lv-LV"/>
        </w:rPr>
        <w:footnoteRef/>
      </w:r>
      <w:r w:rsidRPr="009F2F3C">
        <w:rPr>
          <w:rFonts w:ascii="Times New Roman" w:eastAsia="Times New Roman" w:hAnsi="Times New Roman" w:cs="Times New Roman"/>
          <w:vertAlign w:val="superscript"/>
          <w:lang w:eastAsia="lv-LV"/>
        </w:rPr>
        <w:t xml:space="preserve"> </w:t>
      </w:r>
      <w:bookmarkStart w:id="1" w:name="_Hlk141087703"/>
      <w:r w:rsidRPr="00C72F36">
        <w:rPr>
          <w:rFonts w:ascii="Times New Roman" w:eastAsia="Times New Roman" w:hAnsi="Times New Roman" w:cs="Times New Roman"/>
          <w:lang w:eastAsia="lv-LV"/>
        </w:rPr>
        <w:t>Eiropas Savienības un Eiropas Ekonomikas zonas valstīs</w:t>
      </w:r>
      <w:bookmarkEnd w:id="1"/>
      <w:r w:rsidR="004661C9">
        <w:rPr>
          <w:rFonts w:ascii="Times New Roman" w:eastAsia="Times New Roman" w:hAnsi="Times New Roman" w:cs="Times New Roman"/>
          <w:lang w:eastAsia="lv-LV"/>
        </w:rPr>
        <w:t>.</w:t>
      </w:r>
    </w:p>
  </w:footnote>
  <w:footnote w:id="5">
    <w:p w14:paraId="2839866B" w14:textId="62F29F6E" w:rsidR="00F53F44" w:rsidRPr="00B94A3F" w:rsidRDefault="00F53F44">
      <w:pPr>
        <w:pStyle w:val="FootnoteText"/>
        <w:rPr>
          <w:rFonts w:ascii="Times New Roman" w:hAnsi="Times New Roman" w:cs="Times New Roman"/>
          <w:color w:val="000000" w:themeColor="text1"/>
        </w:rPr>
      </w:pPr>
      <w:r w:rsidRPr="00F53F44">
        <w:rPr>
          <w:rStyle w:val="FootnoteReference"/>
          <w:rFonts w:ascii="Times New Roman" w:hAnsi="Times New Roman" w:cs="Times New Roman"/>
        </w:rPr>
        <w:footnoteRef/>
      </w:r>
      <w:r w:rsidRPr="00F53F44">
        <w:rPr>
          <w:rFonts w:ascii="Times New Roman" w:hAnsi="Times New Roman" w:cs="Times New Roman"/>
        </w:rPr>
        <w:t xml:space="preserve"> </w:t>
      </w:r>
      <w:bookmarkStart w:id="2" w:name="_Hlk141087595"/>
      <w:r w:rsidRPr="00B94A3F">
        <w:rPr>
          <w:rFonts w:ascii="Times New Roman" w:hAnsi="Times New Roman" w:cs="Times New Roman"/>
          <w:color w:val="000000" w:themeColor="text1"/>
        </w:rPr>
        <w:t xml:space="preserve">Valsts, kas nav </w:t>
      </w:r>
      <w:r w:rsidRPr="00B94A3F">
        <w:rPr>
          <w:rFonts w:ascii="Times New Roman" w:hAnsi="Times New Roman" w:cs="Times New Roman"/>
          <w:color w:val="000000" w:themeColor="text1"/>
          <w:shd w:val="clear" w:color="auto" w:fill="FFFFFF"/>
        </w:rPr>
        <w:t>Eiropas Savienības vai Eiropas Ekonomikas zonas valsts</w:t>
      </w:r>
      <w:bookmarkEnd w:id="2"/>
      <w:r w:rsidRPr="00B94A3F">
        <w:rPr>
          <w:rFonts w:ascii="Times New Roman" w:hAnsi="Times New Roman" w:cs="Times New Roman"/>
          <w:color w:val="000000" w:themeColor="text1"/>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212A20"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40B71"/>
    <w:multiLevelType w:val="multilevel"/>
    <w:tmpl w:val="7E807FA8"/>
    <w:lvl w:ilvl="0">
      <w:start w:val="1"/>
      <w:numFmt w:val="decimal"/>
      <w:suff w:val="space"/>
      <w:lvlText w:val="%1."/>
      <w:lvlJc w:val="left"/>
      <w:pPr>
        <w:ind w:left="2345" w:hanging="360"/>
      </w:pPr>
    </w:lvl>
    <w:lvl w:ilvl="1">
      <w:start w:val="1"/>
      <w:numFmt w:val="decimal"/>
      <w:suff w:val="space"/>
      <w:lvlText w:val="%1.%2."/>
      <w:lvlJc w:val="left"/>
      <w:pPr>
        <w:ind w:left="3545"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CF60625"/>
    <w:multiLevelType w:val="hybridMultilevel"/>
    <w:tmpl w:val="3880DF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CA41D4E"/>
    <w:multiLevelType w:val="hybridMultilevel"/>
    <w:tmpl w:val="051EA71A"/>
    <w:lvl w:ilvl="0" w:tplc="04260011">
      <w:start w:val="1"/>
      <w:numFmt w:val="decimal"/>
      <w:lvlText w:val="%1)"/>
      <w:lvlJc w:val="left"/>
      <w:pPr>
        <w:ind w:left="392" w:hanging="360"/>
      </w:pPr>
      <w:rPr>
        <w:rFonts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5" w15:restartNumberingAfterBreak="0">
    <w:nsid w:val="43DA382F"/>
    <w:multiLevelType w:val="multilevel"/>
    <w:tmpl w:val="41A606DE"/>
    <w:lvl w:ilvl="0">
      <w:start w:val="29"/>
      <w:numFmt w:val="decimal"/>
      <w:lvlText w:val="%1."/>
      <w:lvlJc w:val="left"/>
      <w:pPr>
        <w:ind w:left="480" w:hanging="480"/>
      </w:pPr>
      <w:rPr>
        <w:rFonts w:hint="default"/>
      </w:rPr>
    </w:lvl>
    <w:lvl w:ilvl="1">
      <w:start w:val="1"/>
      <w:numFmt w:val="decimal"/>
      <w:lvlText w:val="%1.%2."/>
      <w:lvlJc w:val="left"/>
      <w:pPr>
        <w:ind w:left="1156" w:hanging="480"/>
      </w:pPr>
      <w:rPr>
        <w:rFonts w:hint="default"/>
      </w:rPr>
    </w:lvl>
    <w:lvl w:ilvl="2">
      <w:start w:val="1"/>
      <w:numFmt w:val="decimal"/>
      <w:lvlText w:val="%1.%2.%3."/>
      <w:lvlJc w:val="left"/>
      <w:pPr>
        <w:ind w:left="2072" w:hanging="720"/>
      </w:pPr>
      <w:rPr>
        <w:rFonts w:hint="default"/>
      </w:rPr>
    </w:lvl>
    <w:lvl w:ilvl="3">
      <w:start w:val="1"/>
      <w:numFmt w:val="decimal"/>
      <w:lvlText w:val="%1.%2.%3.%4."/>
      <w:lvlJc w:val="left"/>
      <w:pPr>
        <w:ind w:left="2748" w:hanging="720"/>
      </w:pPr>
      <w:rPr>
        <w:rFonts w:hint="default"/>
      </w:rPr>
    </w:lvl>
    <w:lvl w:ilvl="4">
      <w:start w:val="1"/>
      <w:numFmt w:val="decimal"/>
      <w:lvlText w:val="%1.%2.%3.%4.%5."/>
      <w:lvlJc w:val="left"/>
      <w:pPr>
        <w:ind w:left="3784" w:hanging="1080"/>
      </w:pPr>
      <w:rPr>
        <w:rFonts w:hint="default"/>
      </w:rPr>
    </w:lvl>
    <w:lvl w:ilvl="5">
      <w:start w:val="1"/>
      <w:numFmt w:val="decimal"/>
      <w:lvlText w:val="%1.%2.%3.%4.%5.%6."/>
      <w:lvlJc w:val="left"/>
      <w:pPr>
        <w:ind w:left="4460" w:hanging="1080"/>
      </w:pPr>
      <w:rPr>
        <w:rFonts w:hint="default"/>
      </w:rPr>
    </w:lvl>
    <w:lvl w:ilvl="6">
      <w:start w:val="1"/>
      <w:numFmt w:val="decimal"/>
      <w:lvlText w:val="%1.%2.%3.%4.%5.%6.%7."/>
      <w:lvlJc w:val="left"/>
      <w:pPr>
        <w:ind w:left="5496" w:hanging="1440"/>
      </w:pPr>
      <w:rPr>
        <w:rFonts w:hint="default"/>
      </w:rPr>
    </w:lvl>
    <w:lvl w:ilvl="7">
      <w:start w:val="1"/>
      <w:numFmt w:val="decimal"/>
      <w:lvlText w:val="%1.%2.%3.%4.%5.%6.%7.%8."/>
      <w:lvlJc w:val="left"/>
      <w:pPr>
        <w:ind w:left="6172" w:hanging="1440"/>
      </w:pPr>
      <w:rPr>
        <w:rFonts w:hint="default"/>
      </w:rPr>
    </w:lvl>
    <w:lvl w:ilvl="8">
      <w:start w:val="1"/>
      <w:numFmt w:val="decimal"/>
      <w:lvlText w:val="%1.%2.%3.%4.%5.%6.%7.%8.%9."/>
      <w:lvlJc w:val="left"/>
      <w:pPr>
        <w:ind w:left="7208" w:hanging="1800"/>
      </w:pPr>
      <w:rPr>
        <w:rFonts w:hint="default"/>
      </w:rPr>
    </w:lvl>
  </w:abstractNum>
  <w:abstractNum w:abstractNumId="6"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0"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23300E2"/>
    <w:multiLevelType w:val="hybridMultilevel"/>
    <w:tmpl w:val="6B78591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7403EF1"/>
    <w:multiLevelType w:val="hybridMultilevel"/>
    <w:tmpl w:val="A72824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10"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12435339">
    <w:abstractNumId w:val="2"/>
  </w:num>
  <w:num w:numId="2" w16cid:durableId="340552041">
    <w:abstractNumId w:val="6"/>
  </w:num>
  <w:num w:numId="3" w16cid:durableId="16414207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892696">
    <w:abstractNumId w:val="9"/>
  </w:num>
  <w:num w:numId="5" w16cid:durableId="547911365">
    <w:abstractNumId w:val="1"/>
  </w:num>
  <w:num w:numId="6" w16cid:durableId="2097939137">
    <w:abstractNumId w:val="6"/>
  </w:num>
  <w:num w:numId="7" w16cid:durableId="894973746">
    <w:abstractNumId w:val="6"/>
  </w:num>
  <w:num w:numId="8" w16cid:durableId="1412266980">
    <w:abstractNumId w:val="6"/>
  </w:num>
  <w:num w:numId="9" w16cid:durableId="619805593">
    <w:abstractNumId w:val="6"/>
  </w:num>
  <w:num w:numId="10" w16cid:durableId="2023699298">
    <w:abstractNumId w:val="4"/>
  </w:num>
  <w:num w:numId="11" w16cid:durableId="1567491629">
    <w:abstractNumId w:val="6"/>
  </w:num>
  <w:num w:numId="12" w16cid:durableId="574124535">
    <w:abstractNumId w:val="6"/>
  </w:num>
  <w:num w:numId="13" w16cid:durableId="2096902704">
    <w:abstractNumId w:val="6"/>
  </w:num>
  <w:num w:numId="14" w16cid:durableId="2066248062">
    <w:abstractNumId w:val="6"/>
  </w:num>
  <w:num w:numId="15" w16cid:durableId="846797863">
    <w:abstractNumId w:val="6"/>
  </w:num>
  <w:num w:numId="16" w16cid:durableId="1602571117">
    <w:abstractNumId w:val="6"/>
  </w:num>
  <w:num w:numId="17" w16cid:durableId="191579667">
    <w:abstractNumId w:val="6"/>
  </w:num>
  <w:num w:numId="18" w16cid:durableId="2102800079">
    <w:abstractNumId w:val="6"/>
  </w:num>
  <w:num w:numId="19" w16cid:durableId="684483201">
    <w:abstractNumId w:val="6"/>
  </w:num>
  <w:num w:numId="20" w16cid:durableId="1276521248">
    <w:abstractNumId w:val="6"/>
  </w:num>
  <w:num w:numId="21" w16cid:durableId="1474105298">
    <w:abstractNumId w:val="6"/>
  </w:num>
  <w:num w:numId="22" w16cid:durableId="351033322">
    <w:abstractNumId w:val="8"/>
  </w:num>
  <w:num w:numId="23" w16cid:durableId="1747679238">
    <w:abstractNumId w:val="10"/>
  </w:num>
  <w:num w:numId="24" w16cid:durableId="2004814341">
    <w:abstractNumId w:val="6"/>
  </w:num>
  <w:num w:numId="25" w16cid:durableId="1687436816">
    <w:abstractNumId w:val="6"/>
  </w:num>
  <w:num w:numId="26" w16cid:durableId="470097439">
    <w:abstractNumId w:val="7"/>
  </w:num>
  <w:num w:numId="27" w16cid:durableId="170146099">
    <w:abstractNumId w:val="0"/>
  </w:num>
  <w:num w:numId="28" w16cid:durableId="1958638948">
    <w:abstractNumId w:val="5"/>
  </w:num>
  <w:num w:numId="29" w16cid:durableId="211234415">
    <w:abstractNumId w:val="3"/>
  </w:num>
  <w:num w:numId="30" w16cid:durableId="13390372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03CB0"/>
    <w:rsid w:val="00004B4C"/>
    <w:rsid w:val="00007431"/>
    <w:rsid w:val="000155B3"/>
    <w:rsid w:val="00016DEA"/>
    <w:rsid w:val="000203D7"/>
    <w:rsid w:val="000234B0"/>
    <w:rsid w:val="0002466B"/>
    <w:rsid w:val="000263F5"/>
    <w:rsid w:val="00027CAC"/>
    <w:rsid w:val="00041DDA"/>
    <w:rsid w:val="00042B2C"/>
    <w:rsid w:val="000444DE"/>
    <w:rsid w:val="00054EF8"/>
    <w:rsid w:val="00057AFF"/>
    <w:rsid w:val="00061F14"/>
    <w:rsid w:val="00070FE3"/>
    <w:rsid w:val="000716D9"/>
    <w:rsid w:val="000727B1"/>
    <w:rsid w:val="00074425"/>
    <w:rsid w:val="000771CC"/>
    <w:rsid w:val="000813DA"/>
    <w:rsid w:val="0008510E"/>
    <w:rsid w:val="00085B5D"/>
    <w:rsid w:val="000915E7"/>
    <w:rsid w:val="00091C50"/>
    <w:rsid w:val="00092E2F"/>
    <w:rsid w:val="000946D6"/>
    <w:rsid w:val="00095C8A"/>
    <w:rsid w:val="0009616F"/>
    <w:rsid w:val="00097C29"/>
    <w:rsid w:val="000A2A30"/>
    <w:rsid w:val="000A32AC"/>
    <w:rsid w:val="000A6FB3"/>
    <w:rsid w:val="000A7460"/>
    <w:rsid w:val="000A75B3"/>
    <w:rsid w:val="000B4E0A"/>
    <w:rsid w:val="000B7221"/>
    <w:rsid w:val="000C1E52"/>
    <w:rsid w:val="000C43AB"/>
    <w:rsid w:val="000C60FF"/>
    <w:rsid w:val="000D1541"/>
    <w:rsid w:val="000D18BD"/>
    <w:rsid w:val="000D1EBD"/>
    <w:rsid w:val="000D601F"/>
    <w:rsid w:val="000E502E"/>
    <w:rsid w:val="000E6283"/>
    <w:rsid w:val="000F20B9"/>
    <w:rsid w:val="00102FD5"/>
    <w:rsid w:val="00103278"/>
    <w:rsid w:val="0011032F"/>
    <w:rsid w:val="0012135F"/>
    <w:rsid w:val="00122504"/>
    <w:rsid w:val="001228D2"/>
    <w:rsid w:val="00125026"/>
    <w:rsid w:val="00131765"/>
    <w:rsid w:val="00132070"/>
    <w:rsid w:val="00132948"/>
    <w:rsid w:val="00133F6A"/>
    <w:rsid w:val="001366B1"/>
    <w:rsid w:val="00141B3C"/>
    <w:rsid w:val="0014295D"/>
    <w:rsid w:val="00143A48"/>
    <w:rsid w:val="00146585"/>
    <w:rsid w:val="00162248"/>
    <w:rsid w:val="0016709D"/>
    <w:rsid w:val="001705C8"/>
    <w:rsid w:val="00171A75"/>
    <w:rsid w:val="00191EF1"/>
    <w:rsid w:val="001A1A7C"/>
    <w:rsid w:val="001A44ED"/>
    <w:rsid w:val="001A5171"/>
    <w:rsid w:val="001A5DF1"/>
    <w:rsid w:val="001B0617"/>
    <w:rsid w:val="001B1FC2"/>
    <w:rsid w:val="001C1078"/>
    <w:rsid w:val="001C3D35"/>
    <w:rsid w:val="001C690B"/>
    <w:rsid w:val="001D4D5D"/>
    <w:rsid w:val="001D7793"/>
    <w:rsid w:val="001E3429"/>
    <w:rsid w:val="001E41F2"/>
    <w:rsid w:val="001E5E30"/>
    <w:rsid w:val="001E7C07"/>
    <w:rsid w:val="001F1E1F"/>
    <w:rsid w:val="002003FD"/>
    <w:rsid w:val="00204581"/>
    <w:rsid w:val="00205A08"/>
    <w:rsid w:val="00207422"/>
    <w:rsid w:val="002115ED"/>
    <w:rsid w:val="00212325"/>
    <w:rsid w:val="00213BA2"/>
    <w:rsid w:val="00215FD7"/>
    <w:rsid w:val="002278DB"/>
    <w:rsid w:val="00242B91"/>
    <w:rsid w:val="002431A0"/>
    <w:rsid w:val="00244175"/>
    <w:rsid w:val="002451FF"/>
    <w:rsid w:val="00253A3D"/>
    <w:rsid w:val="00256FBE"/>
    <w:rsid w:val="00260E61"/>
    <w:rsid w:val="00266849"/>
    <w:rsid w:val="00266F01"/>
    <w:rsid w:val="002755AF"/>
    <w:rsid w:val="0027565E"/>
    <w:rsid w:val="00284FDF"/>
    <w:rsid w:val="00290656"/>
    <w:rsid w:val="002924B7"/>
    <w:rsid w:val="002969AD"/>
    <w:rsid w:val="002A3EAB"/>
    <w:rsid w:val="002B14F9"/>
    <w:rsid w:val="002B4180"/>
    <w:rsid w:val="002C2EDC"/>
    <w:rsid w:val="002C3179"/>
    <w:rsid w:val="002C576C"/>
    <w:rsid w:val="002D37A4"/>
    <w:rsid w:val="002E2AFA"/>
    <w:rsid w:val="002E638F"/>
    <w:rsid w:val="002E77A9"/>
    <w:rsid w:val="002E7B20"/>
    <w:rsid w:val="002F6625"/>
    <w:rsid w:val="003026B3"/>
    <w:rsid w:val="00312E54"/>
    <w:rsid w:val="00314059"/>
    <w:rsid w:val="0032003F"/>
    <w:rsid w:val="00322874"/>
    <w:rsid w:val="00334258"/>
    <w:rsid w:val="003344C2"/>
    <w:rsid w:val="00337C41"/>
    <w:rsid w:val="00343FA7"/>
    <w:rsid w:val="003470BB"/>
    <w:rsid w:val="00354C71"/>
    <w:rsid w:val="00357AFB"/>
    <w:rsid w:val="00360437"/>
    <w:rsid w:val="00361BE1"/>
    <w:rsid w:val="00366618"/>
    <w:rsid w:val="00366C74"/>
    <w:rsid w:val="00371BEA"/>
    <w:rsid w:val="0037465F"/>
    <w:rsid w:val="003778A3"/>
    <w:rsid w:val="003822E6"/>
    <w:rsid w:val="00386CDB"/>
    <w:rsid w:val="00394DA8"/>
    <w:rsid w:val="00395801"/>
    <w:rsid w:val="003A0FEE"/>
    <w:rsid w:val="003A1C6E"/>
    <w:rsid w:val="003B1A26"/>
    <w:rsid w:val="003B481B"/>
    <w:rsid w:val="003C1B18"/>
    <w:rsid w:val="003C278B"/>
    <w:rsid w:val="003C6E30"/>
    <w:rsid w:val="003D1F15"/>
    <w:rsid w:val="003D3640"/>
    <w:rsid w:val="003D5869"/>
    <w:rsid w:val="003D7901"/>
    <w:rsid w:val="003E32CD"/>
    <w:rsid w:val="003E535C"/>
    <w:rsid w:val="003F07A5"/>
    <w:rsid w:val="003F3859"/>
    <w:rsid w:val="003F6EBB"/>
    <w:rsid w:val="0040253F"/>
    <w:rsid w:val="00407DD5"/>
    <w:rsid w:val="00407E18"/>
    <w:rsid w:val="004245FD"/>
    <w:rsid w:val="00424EF3"/>
    <w:rsid w:val="0042517C"/>
    <w:rsid w:val="00426AB9"/>
    <w:rsid w:val="004331DA"/>
    <w:rsid w:val="004423FF"/>
    <w:rsid w:val="00443EB6"/>
    <w:rsid w:val="004442A7"/>
    <w:rsid w:val="0045533F"/>
    <w:rsid w:val="004574ED"/>
    <w:rsid w:val="004661C9"/>
    <w:rsid w:val="0047764F"/>
    <w:rsid w:val="004820E8"/>
    <w:rsid w:val="00484546"/>
    <w:rsid w:val="004864B6"/>
    <w:rsid w:val="00490375"/>
    <w:rsid w:val="0049189C"/>
    <w:rsid w:val="0049248A"/>
    <w:rsid w:val="00493B9B"/>
    <w:rsid w:val="00496C59"/>
    <w:rsid w:val="004A0163"/>
    <w:rsid w:val="004C36FE"/>
    <w:rsid w:val="004C3B7F"/>
    <w:rsid w:val="004C3D67"/>
    <w:rsid w:val="004C4844"/>
    <w:rsid w:val="004D00C8"/>
    <w:rsid w:val="004D05D8"/>
    <w:rsid w:val="004D731D"/>
    <w:rsid w:val="004E3F4A"/>
    <w:rsid w:val="004E4CEE"/>
    <w:rsid w:val="004F3A83"/>
    <w:rsid w:val="00521F90"/>
    <w:rsid w:val="005239D1"/>
    <w:rsid w:val="0054050B"/>
    <w:rsid w:val="0054151F"/>
    <w:rsid w:val="00545D6A"/>
    <w:rsid w:val="0055210B"/>
    <w:rsid w:val="00554D5F"/>
    <w:rsid w:val="00555B21"/>
    <w:rsid w:val="00563E2C"/>
    <w:rsid w:val="00564F93"/>
    <w:rsid w:val="0056764A"/>
    <w:rsid w:val="00570919"/>
    <w:rsid w:val="0057790E"/>
    <w:rsid w:val="00582ADB"/>
    <w:rsid w:val="00582F70"/>
    <w:rsid w:val="00584131"/>
    <w:rsid w:val="005943DC"/>
    <w:rsid w:val="005A4367"/>
    <w:rsid w:val="005B3E28"/>
    <w:rsid w:val="005B6648"/>
    <w:rsid w:val="005D4549"/>
    <w:rsid w:val="005D6BF1"/>
    <w:rsid w:val="005E047F"/>
    <w:rsid w:val="005E0AD5"/>
    <w:rsid w:val="005E368F"/>
    <w:rsid w:val="005E5D9C"/>
    <w:rsid w:val="005F1BB0"/>
    <w:rsid w:val="005F78C9"/>
    <w:rsid w:val="0060016E"/>
    <w:rsid w:val="00601691"/>
    <w:rsid w:val="006115DC"/>
    <w:rsid w:val="0061665D"/>
    <w:rsid w:val="00616BDD"/>
    <w:rsid w:val="00627122"/>
    <w:rsid w:val="0062751E"/>
    <w:rsid w:val="00630855"/>
    <w:rsid w:val="00631E63"/>
    <w:rsid w:val="00632880"/>
    <w:rsid w:val="00632A06"/>
    <w:rsid w:val="00642172"/>
    <w:rsid w:val="006437ED"/>
    <w:rsid w:val="00643813"/>
    <w:rsid w:val="006472F6"/>
    <w:rsid w:val="00660679"/>
    <w:rsid w:val="00663CD1"/>
    <w:rsid w:val="006650A1"/>
    <w:rsid w:val="00674B05"/>
    <w:rsid w:val="006760E3"/>
    <w:rsid w:val="00676CAD"/>
    <w:rsid w:val="00681876"/>
    <w:rsid w:val="00683A81"/>
    <w:rsid w:val="00685BFC"/>
    <w:rsid w:val="00692DEA"/>
    <w:rsid w:val="00694C2D"/>
    <w:rsid w:val="006A0EF2"/>
    <w:rsid w:val="006A17BC"/>
    <w:rsid w:val="006A27C0"/>
    <w:rsid w:val="006A2B6E"/>
    <w:rsid w:val="006A5228"/>
    <w:rsid w:val="006B3F01"/>
    <w:rsid w:val="006B48CB"/>
    <w:rsid w:val="006C24BD"/>
    <w:rsid w:val="006C26FB"/>
    <w:rsid w:val="006C281E"/>
    <w:rsid w:val="006C46DD"/>
    <w:rsid w:val="006C69BE"/>
    <w:rsid w:val="006C6EF7"/>
    <w:rsid w:val="006C79A9"/>
    <w:rsid w:val="006D3448"/>
    <w:rsid w:val="006D348E"/>
    <w:rsid w:val="006E2CBC"/>
    <w:rsid w:val="006E50B5"/>
    <w:rsid w:val="006F418D"/>
    <w:rsid w:val="00701AFD"/>
    <w:rsid w:val="00701BC6"/>
    <w:rsid w:val="00704F54"/>
    <w:rsid w:val="00706093"/>
    <w:rsid w:val="00711AEA"/>
    <w:rsid w:val="0071260C"/>
    <w:rsid w:val="00716EC8"/>
    <w:rsid w:val="0072092D"/>
    <w:rsid w:val="00721B83"/>
    <w:rsid w:val="007301D7"/>
    <w:rsid w:val="007337AB"/>
    <w:rsid w:val="00742454"/>
    <w:rsid w:val="007430D0"/>
    <w:rsid w:val="0074376A"/>
    <w:rsid w:val="0075605E"/>
    <w:rsid w:val="00756820"/>
    <w:rsid w:val="00762371"/>
    <w:rsid w:val="00774A60"/>
    <w:rsid w:val="007835C9"/>
    <w:rsid w:val="00786D05"/>
    <w:rsid w:val="00790CDB"/>
    <w:rsid w:val="0079381C"/>
    <w:rsid w:val="00794669"/>
    <w:rsid w:val="0079759C"/>
    <w:rsid w:val="007A5AF4"/>
    <w:rsid w:val="007B232D"/>
    <w:rsid w:val="007B448F"/>
    <w:rsid w:val="007D1B62"/>
    <w:rsid w:val="007D2C5E"/>
    <w:rsid w:val="007D5307"/>
    <w:rsid w:val="007E313B"/>
    <w:rsid w:val="007E37A8"/>
    <w:rsid w:val="007F033F"/>
    <w:rsid w:val="007F047A"/>
    <w:rsid w:val="007F48B8"/>
    <w:rsid w:val="007F4C88"/>
    <w:rsid w:val="007F57D8"/>
    <w:rsid w:val="007F77C8"/>
    <w:rsid w:val="007F79B3"/>
    <w:rsid w:val="00800CF2"/>
    <w:rsid w:val="00801DA2"/>
    <w:rsid w:val="008162BF"/>
    <w:rsid w:val="0082017C"/>
    <w:rsid w:val="00822A04"/>
    <w:rsid w:val="008268D7"/>
    <w:rsid w:val="008343BE"/>
    <w:rsid w:val="008373CD"/>
    <w:rsid w:val="00844993"/>
    <w:rsid w:val="008469F1"/>
    <w:rsid w:val="00850BA2"/>
    <w:rsid w:val="0085491C"/>
    <w:rsid w:val="00856918"/>
    <w:rsid w:val="00864F1D"/>
    <w:rsid w:val="00867B2F"/>
    <w:rsid w:val="00873146"/>
    <w:rsid w:val="00884C64"/>
    <w:rsid w:val="00887C29"/>
    <w:rsid w:val="00890315"/>
    <w:rsid w:val="00892C0E"/>
    <w:rsid w:val="008A123C"/>
    <w:rsid w:val="008A1BE8"/>
    <w:rsid w:val="008A5653"/>
    <w:rsid w:val="008B03C4"/>
    <w:rsid w:val="008B651D"/>
    <w:rsid w:val="008C1421"/>
    <w:rsid w:val="008C611E"/>
    <w:rsid w:val="008C7C24"/>
    <w:rsid w:val="008D0D2F"/>
    <w:rsid w:val="008D12B8"/>
    <w:rsid w:val="008D2CE8"/>
    <w:rsid w:val="008E1679"/>
    <w:rsid w:val="008E19B9"/>
    <w:rsid w:val="008E1BE9"/>
    <w:rsid w:val="008E3FF1"/>
    <w:rsid w:val="008E5507"/>
    <w:rsid w:val="008E5BE8"/>
    <w:rsid w:val="008E703B"/>
    <w:rsid w:val="008F5B32"/>
    <w:rsid w:val="008F6091"/>
    <w:rsid w:val="00920831"/>
    <w:rsid w:val="00922E1B"/>
    <w:rsid w:val="00924534"/>
    <w:rsid w:val="00925B4D"/>
    <w:rsid w:val="009261A2"/>
    <w:rsid w:val="00931769"/>
    <w:rsid w:val="00934A44"/>
    <w:rsid w:val="00935BB5"/>
    <w:rsid w:val="00944E4C"/>
    <w:rsid w:val="00957304"/>
    <w:rsid w:val="009579B0"/>
    <w:rsid w:val="0096222B"/>
    <w:rsid w:val="009659C6"/>
    <w:rsid w:val="00967E52"/>
    <w:rsid w:val="00971317"/>
    <w:rsid w:val="009740E3"/>
    <w:rsid w:val="009748E1"/>
    <w:rsid w:val="00975294"/>
    <w:rsid w:val="00975D9D"/>
    <w:rsid w:val="009803D3"/>
    <w:rsid w:val="00982BAA"/>
    <w:rsid w:val="00995932"/>
    <w:rsid w:val="009A72ED"/>
    <w:rsid w:val="009B27BE"/>
    <w:rsid w:val="009B3DB4"/>
    <w:rsid w:val="009B4D6C"/>
    <w:rsid w:val="009B705C"/>
    <w:rsid w:val="009D1FE6"/>
    <w:rsid w:val="009D3455"/>
    <w:rsid w:val="009D69BC"/>
    <w:rsid w:val="009E1A3B"/>
    <w:rsid w:val="009E58D3"/>
    <w:rsid w:val="009E7470"/>
    <w:rsid w:val="009F2E42"/>
    <w:rsid w:val="009F2F3C"/>
    <w:rsid w:val="009F3E0C"/>
    <w:rsid w:val="009F48C9"/>
    <w:rsid w:val="009F70FC"/>
    <w:rsid w:val="00A03BA5"/>
    <w:rsid w:val="00A03F74"/>
    <w:rsid w:val="00A0418B"/>
    <w:rsid w:val="00A04FA5"/>
    <w:rsid w:val="00A27009"/>
    <w:rsid w:val="00A30F3E"/>
    <w:rsid w:val="00A335E1"/>
    <w:rsid w:val="00A34928"/>
    <w:rsid w:val="00A35569"/>
    <w:rsid w:val="00A376F7"/>
    <w:rsid w:val="00A41DB7"/>
    <w:rsid w:val="00A42788"/>
    <w:rsid w:val="00A449B6"/>
    <w:rsid w:val="00A621D0"/>
    <w:rsid w:val="00A63EE7"/>
    <w:rsid w:val="00A70D9D"/>
    <w:rsid w:val="00A72A24"/>
    <w:rsid w:val="00A7669C"/>
    <w:rsid w:val="00A7727A"/>
    <w:rsid w:val="00A81648"/>
    <w:rsid w:val="00A836A0"/>
    <w:rsid w:val="00A85BC6"/>
    <w:rsid w:val="00A9235C"/>
    <w:rsid w:val="00A930E9"/>
    <w:rsid w:val="00AA220B"/>
    <w:rsid w:val="00AA61BB"/>
    <w:rsid w:val="00AB423A"/>
    <w:rsid w:val="00AB5CF1"/>
    <w:rsid w:val="00AE78DD"/>
    <w:rsid w:val="00AF46F1"/>
    <w:rsid w:val="00AF7DBA"/>
    <w:rsid w:val="00B031A3"/>
    <w:rsid w:val="00B06EF1"/>
    <w:rsid w:val="00B06FA5"/>
    <w:rsid w:val="00B11D09"/>
    <w:rsid w:val="00B13BF9"/>
    <w:rsid w:val="00B17FA3"/>
    <w:rsid w:val="00B239A5"/>
    <w:rsid w:val="00B24472"/>
    <w:rsid w:val="00B34458"/>
    <w:rsid w:val="00B4164F"/>
    <w:rsid w:val="00B41939"/>
    <w:rsid w:val="00B449DA"/>
    <w:rsid w:val="00B47848"/>
    <w:rsid w:val="00B47E9E"/>
    <w:rsid w:val="00B51D1E"/>
    <w:rsid w:val="00B62244"/>
    <w:rsid w:val="00B65921"/>
    <w:rsid w:val="00B82E74"/>
    <w:rsid w:val="00B82EDE"/>
    <w:rsid w:val="00B931AA"/>
    <w:rsid w:val="00B94543"/>
    <w:rsid w:val="00B94A3F"/>
    <w:rsid w:val="00B95DAB"/>
    <w:rsid w:val="00B964A5"/>
    <w:rsid w:val="00BA1AEE"/>
    <w:rsid w:val="00BA3446"/>
    <w:rsid w:val="00BA6A89"/>
    <w:rsid w:val="00BB11EB"/>
    <w:rsid w:val="00BB232B"/>
    <w:rsid w:val="00BB3D16"/>
    <w:rsid w:val="00BB44F5"/>
    <w:rsid w:val="00BB747B"/>
    <w:rsid w:val="00BC4C14"/>
    <w:rsid w:val="00BD0273"/>
    <w:rsid w:val="00BD0E99"/>
    <w:rsid w:val="00BD0FB2"/>
    <w:rsid w:val="00BD2CD6"/>
    <w:rsid w:val="00BD5EF1"/>
    <w:rsid w:val="00BE63B7"/>
    <w:rsid w:val="00BF1344"/>
    <w:rsid w:val="00BF1839"/>
    <w:rsid w:val="00BF1E01"/>
    <w:rsid w:val="00BF245F"/>
    <w:rsid w:val="00C02E5E"/>
    <w:rsid w:val="00C07D89"/>
    <w:rsid w:val="00C12C49"/>
    <w:rsid w:val="00C14820"/>
    <w:rsid w:val="00C2003F"/>
    <w:rsid w:val="00C31269"/>
    <w:rsid w:val="00C320B7"/>
    <w:rsid w:val="00C43333"/>
    <w:rsid w:val="00C468C8"/>
    <w:rsid w:val="00C52089"/>
    <w:rsid w:val="00C56387"/>
    <w:rsid w:val="00C66460"/>
    <w:rsid w:val="00C72AE2"/>
    <w:rsid w:val="00C72F36"/>
    <w:rsid w:val="00C762C2"/>
    <w:rsid w:val="00C77E8C"/>
    <w:rsid w:val="00C827AA"/>
    <w:rsid w:val="00C85C34"/>
    <w:rsid w:val="00C85DDC"/>
    <w:rsid w:val="00C87E33"/>
    <w:rsid w:val="00C9237F"/>
    <w:rsid w:val="00C92CBE"/>
    <w:rsid w:val="00C95952"/>
    <w:rsid w:val="00CA05B8"/>
    <w:rsid w:val="00CA221C"/>
    <w:rsid w:val="00CA28AB"/>
    <w:rsid w:val="00CA71DE"/>
    <w:rsid w:val="00CB2332"/>
    <w:rsid w:val="00CB25F2"/>
    <w:rsid w:val="00CB6CBE"/>
    <w:rsid w:val="00CC1E37"/>
    <w:rsid w:val="00CC4AF5"/>
    <w:rsid w:val="00CD025D"/>
    <w:rsid w:val="00CD1A54"/>
    <w:rsid w:val="00CD5EEE"/>
    <w:rsid w:val="00CD6BC3"/>
    <w:rsid w:val="00CE05F3"/>
    <w:rsid w:val="00CE0DD5"/>
    <w:rsid w:val="00CE4E6A"/>
    <w:rsid w:val="00CE50F6"/>
    <w:rsid w:val="00CE58D5"/>
    <w:rsid w:val="00CE71D8"/>
    <w:rsid w:val="00CF1FF7"/>
    <w:rsid w:val="00CF36BA"/>
    <w:rsid w:val="00D00D6E"/>
    <w:rsid w:val="00D15ACA"/>
    <w:rsid w:val="00D16889"/>
    <w:rsid w:val="00D17D5D"/>
    <w:rsid w:val="00D214EC"/>
    <w:rsid w:val="00D26EA4"/>
    <w:rsid w:val="00D27A72"/>
    <w:rsid w:val="00D304A4"/>
    <w:rsid w:val="00D429AA"/>
    <w:rsid w:val="00D44A41"/>
    <w:rsid w:val="00D508D3"/>
    <w:rsid w:val="00D55296"/>
    <w:rsid w:val="00D56676"/>
    <w:rsid w:val="00D6321D"/>
    <w:rsid w:val="00D63861"/>
    <w:rsid w:val="00D70BE3"/>
    <w:rsid w:val="00D7237D"/>
    <w:rsid w:val="00D85FA5"/>
    <w:rsid w:val="00D8605C"/>
    <w:rsid w:val="00D8623C"/>
    <w:rsid w:val="00D86A06"/>
    <w:rsid w:val="00D902D5"/>
    <w:rsid w:val="00D947EA"/>
    <w:rsid w:val="00D95D7F"/>
    <w:rsid w:val="00DA3792"/>
    <w:rsid w:val="00DA3E7A"/>
    <w:rsid w:val="00DA3FFB"/>
    <w:rsid w:val="00DB2F6A"/>
    <w:rsid w:val="00DB5FA1"/>
    <w:rsid w:val="00DB7197"/>
    <w:rsid w:val="00DB7F7B"/>
    <w:rsid w:val="00DB7F9B"/>
    <w:rsid w:val="00DC417D"/>
    <w:rsid w:val="00DC4F79"/>
    <w:rsid w:val="00DD0664"/>
    <w:rsid w:val="00DE0273"/>
    <w:rsid w:val="00DE1055"/>
    <w:rsid w:val="00DE3790"/>
    <w:rsid w:val="00DE7B54"/>
    <w:rsid w:val="00DF0E6F"/>
    <w:rsid w:val="00DF62B8"/>
    <w:rsid w:val="00DF784F"/>
    <w:rsid w:val="00DF7DCF"/>
    <w:rsid w:val="00E04474"/>
    <w:rsid w:val="00E05B9A"/>
    <w:rsid w:val="00E079C0"/>
    <w:rsid w:val="00E14A0A"/>
    <w:rsid w:val="00E153A6"/>
    <w:rsid w:val="00E16D14"/>
    <w:rsid w:val="00E22667"/>
    <w:rsid w:val="00E253DA"/>
    <w:rsid w:val="00E34677"/>
    <w:rsid w:val="00E35CA8"/>
    <w:rsid w:val="00E37EE9"/>
    <w:rsid w:val="00E430C0"/>
    <w:rsid w:val="00E470B2"/>
    <w:rsid w:val="00E5049D"/>
    <w:rsid w:val="00E511E6"/>
    <w:rsid w:val="00E51F71"/>
    <w:rsid w:val="00E53DE9"/>
    <w:rsid w:val="00E553B0"/>
    <w:rsid w:val="00E60064"/>
    <w:rsid w:val="00E630FA"/>
    <w:rsid w:val="00E63174"/>
    <w:rsid w:val="00E63BCA"/>
    <w:rsid w:val="00E64287"/>
    <w:rsid w:val="00E66BE4"/>
    <w:rsid w:val="00E675ED"/>
    <w:rsid w:val="00E877AD"/>
    <w:rsid w:val="00E970F6"/>
    <w:rsid w:val="00EA52D1"/>
    <w:rsid w:val="00EA75E1"/>
    <w:rsid w:val="00EA7848"/>
    <w:rsid w:val="00EA7F4A"/>
    <w:rsid w:val="00EB261C"/>
    <w:rsid w:val="00EB417B"/>
    <w:rsid w:val="00EB5E49"/>
    <w:rsid w:val="00EB7433"/>
    <w:rsid w:val="00EC3923"/>
    <w:rsid w:val="00ED184E"/>
    <w:rsid w:val="00ED6E7A"/>
    <w:rsid w:val="00ED7075"/>
    <w:rsid w:val="00EE18EC"/>
    <w:rsid w:val="00EE5441"/>
    <w:rsid w:val="00EE7558"/>
    <w:rsid w:val="00EF330D"/>
    <w:rsid w:val="00EF46FD"/>
    <w:rsid w:val="00EF62A7"/>
    <w:rsid w:val="00F00B86"/>
    <w:rsid w:val="00F03B3C"/>
    <w:rsid w:val="00F066FD"/>
    <w:rsid w:val="00F108FF"/>
    <w:rsid w:val="00F11CFF"/>
    <w:rsid w:val="00F228B9"/>
    <w:rsid w:val="00F44E68"/>
    <w:rsid w:val="00F50936"/>
    <w:rsid w:val="00F53F44"/>
    <w:rsid w:val="00F54EF3"/>
    <w:rsid w:val="00F57BC8"/>
    <w:rsid w:val="00F61BC1"/>
    <w:rsid w:val="00F620F4"/>
    <w:rsid w:val="00F626A0"/>
    <w:rsid w:val="00F62DE2"/>
    <w:rsid w:val="00F715E2"/>
    <w:rsid w:val="00F724E3"/>
    <w:rsid w:val="00F765EE"/>
    <w:rsid w:val="00F85BC1"/>
    <w:rsid w:val="00F86B39"/>
    <w:rsid w:val="00F9041E"/>
    <w:rsid w:val="00F91DDE"/>
    <w:rsid w:val="00F91FD7"/>
    <w:rsid w:val="00F92BD2"/>
    <w:rsid w:val="00F94C41"/>
    <w:rsid w:val="00F97D8F"/>
    <w:rsid w:val="00FA155C"/>
    <w:rsid w:val="00FA4B91"/>
    <w:rsid w:val="00FB3B81"/>
    <w:rsid w:val="00FB585A"/>
    <w:rsid w:val="00FC3A16"/>
    <w:rsid w:val="00FD01E9"/>
    <w:rsid w:val="00FD1B49"/>
    <w:rsid w:val="00FD2BC5"/>
    <w:rsid w:val="00FD7A38"/>
    <w:rsid w:val="00FE0A4D"/>
    <w:rsid w:val="00FE3014"/>
    <w:rsid w:val="00FF59AC"/>
    <w:rsid w:val="00FF6F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docId w15:val="{832FF7FD-5967-4FA7-8197-F3BA44DB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24472"/>
    <w:pPr>
      <w:keepNext/>
      <w:spacing w:after="0" w:line="240" w:lineRule="auto"/>
      <w:ind w:left="-709"/>
      <w:outlineLvl w:val="0"/>
    </w:pPr>
    <w:rPr>
      <w:rFonts w:ascii="Times New Roman" w:eastAsia="Times New Roman" w:hAnsi="Times New Roman" w:cs="Times New Roman"/>
      <w:b/>
      <w:bCs/>
      <w:sz w:val="28"/>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customStyle="1" w:styleId="tv213">
    <w:name w:val="tv213"/>
    <w:basedOn w:val="Normal"/>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074425"/>
    <w:pPr>
      <w:spacing w:after="0" w:line="240" w:lineRule="auto"/>
    </w:pPr>
  </w:style>
  <w:style w:type="paragraph" w:styleId="NormalWeb">
    <w:name w:val="Normal (Web)"/>
    <w:basedOn w:val="Normal"/>
    <w:semiHidden/>
    <w:rsid w:val="00484546"/>
    <w:pPr>
      <w:spacing w:before="100" w:beforeAutospacing="1" w:after="100" w:afterAutospacing="1" w:line="240" w:lineRule="auto"/>
    </w:pPr>
    <w:rPr>
      <w:rFonts w:ascii="Arial Unicode MS" w:eastAsia="Arial Unicode MS" w:hAnsi="Arial Unicode MS" w:cs="Times New Roman"/>
      <w:sz w:val="24"/>
      <w:szCs w:val="24"/>
    </w:rPr>
  </w:style>
  <w:style w:type="character" w:styleId="CommentReference">
    <w:name w:val="annotation reference"/>
    <w:basedOn w:val="DefaultParagraphFont"/>
    <w:uiPriority w:val="99"/>
    <w:semiHidden/>
    <w:unhideWhenUsed/>
    <w:rsid w:val="00BF1E01"/>
    <w:rPr>
      <w:sz w:val="16"/>
      <w:szCs w:val="16"/>
    </w:rPr>
  </w:style>
  <w:style w:type="paragraph" w:styleId="CommentText">
    <w:name w:val="annotation text"/>
    <w:basedOn w:val="Normal"/>
    <w:link w:val="CommentTextChar"/>
    <w:uiPriority w:val="99"/>
    <w:unhideWhenUsed/>
    <w:rsid w:val="00BF1E01"/>
    <w:pPr>
      <w:spacing w:line="240" w:lineRule="auto"/>
    </w:pPr>
    <w:rPr>
      <w:sz w:val="20"/>
      <w:szCs w:val="20"/>
    </w:rPr>
  </w:style>
  <w:style w:type="character" w:customStyle="1" w:styleId="CommentTextChar">
    <w:name w:val="Comment Text Char"/>
    <w:basedOn w:val="DefaultParagraphFont"/>
    <w:link w:val="CommentText"/>
    <w:uiPriority w:val="99"/>
    <w:rsid w:val="00BF1E01"/>
    <w:rPr>
      <w:sz w:val="20"/>
      <w:szCs w:val="20"/>
    </w:rPr>
  </w:style>
  <w:style w:type="paragraph" w:styleId="CommentSubject">
    <w:name w:val="annotation subject"/>
    <w:basedOn w:val="CommentText"/>
    <w:next w:val="CommentText"/>
    <w:link w:val="CommentSubjectChar"/>
    <w:uiPriority w:val="99"/>
    <w:semiHidden/>
    <w:unhideWhenUsed/>
    <w:rsid w:val="00BF1E01"/>
    <w:rPr>
      <w:b/>
      <w:bCs/>
    </w:rPr>
  </w:style>
  <w:style w:type="character" w:customStyle="1" w:styleId="CommentSubjectChar">
    <w:name w:val="Comment Subject Char"/>
    <w:basedOn w:val="CommentTextChar"/>
    <w:link w:val="CommentSubject"/>
    <w:uiPriority w:val="99"/>
    <w:semiHidden/>
    <w:rsid w:val="00BF1E01"/>
    <w:rPr>
      <w:b/>
      <w:bCs/>
      <w:sz w:val="20"/>
      <w:szCs w:val="20"/>
    </w:rPr>
  </w:style>
  <w:style w:type="character" w:styleId="Hyperlink">
    <w:name w:val="Hyperlink"/>
    <w:basedOn w:val="DefaultParagraphFont"/>
    <w:uiPriority w:val="99"/>
    <w:unhideWhenUsed/>
    <w:rsid w:val="00A836A0"/>
    <w:rPr>
      <w:color w:val="0563C1" w:themeColor="hyperlink"/>
      <w:u w:val="single"/>
    </w:rPr>
  </w:style>
  <w:style w:type="character" w:styleId="UnresolvedMention">
    <w:name w:val="Unresolved Mention"/>
    <w:basedOn w:val="DefaultParagraphFont"/>
    <w:uiPriority w:val="99"/>
    <w:semiHidden/>
    <w:unhideWhenUsed/>
    <w:rsid w:val="00A836A0"/>
    <w:rPr>
      <w:color w:val="605E5C"/>
      <w:shd w:val="clear" w:color="auto" w:fill="E1DFDD"/>
    </w:rPr>
  </w:style>
  <w:style w:type="paragraph" w:styleId="ListParagraph">
    <w:name w:val="List Paragraph"/>
    <w:basedOn w:val="Normal"/>
    <w:uiPriority w:val="34"/>
    <w:qFormat/>
    <w:rsid w:val="00BF1839"/>
    <w:pPr>
      <w:ind w:left="720"/>
      <w:contextualSpacing/>
    </w:pPr>
  </w:style>
  <w:style w:type="character" w:customStyle="1" w:styleId="cf01">
    <w:name w:val="cf01"/>
    <w:basedOn w:val="DefaultParagraphFont"/>
    <w:rsid w:val="00FB3B81"/>
    <w:rPr>
      <w:rFonts w:ascii="Segoe UI" w:hAnsi="Segoe UI" w:cs="Segoe UI" w:hint="default"/>
      <w:sz w:val="18"/>
      <w:szCs w:val="18"/>
    </w:rPr>
  </w:style>
  <w:style w:type="paragraph" w:customStyle="1" w:styleId="pf0">
    <w:name w:val="pf0"/>
    <w:basedOn w:val="Normal"/>
    <w:rsid w:val="00FB3B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punkts1">
    <w:name w:val="NA punkts 1"/>
    <w:basedOn w:val="Normal"/>
    <w:link w:val="NApunkts1Rakstz"/>
    <w:qFormat/>
    <w:rsid w:val="00554D5F"/>
    <w:pPr>
      <w:numPr>
        <w:numId w:val="2"/>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554D5F"/>
    <w:pPr>
      <w:keepLines/>
      <w:numPr>
        <w:ilvl w:val="1"/>
        <w:numId w:val="2"/>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554D5F"/>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554D5F"/>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0D18BD"/>
    <w:rPr>
      <w:rFonts w:ascii="Times New Roman" w:eastAsia="Times New Roman" w:hAnsi="Times New Roman" w:cs="Times New Roman"/>
      <w:sz w:val="24"/>
      <w:szCs w:val="24"/>
      <w:lang w:eastAsia="lv-LV"/>
    </w:rPr>
  </w:style>
  <w:style w:type="paragraph" w:customStyle="1" w:styleId="doc-ti">
    <w:name w:val="doc-ti"/>
    <w:basedOn w:val="Normal"/>
    <w:rsid w:val="00822A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E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EF62A7"/>
    <w:rPr>
      <w:rFonts w:ascii="Courier New" w:eastAsia="Times New Roman" w:hAnsi="Courier New" w:cs="Courier New"/>
      <w:sz w:val="20"/>
      <w:szCs w:val="20"/>
      <w:lang w:eastAsia="lv-LV"/>
    </w:rPr>
  </w:style>
  <w:style w:type="character" w:customStyle="1" w:styleId="y2iqfc">
    <w:name w:val="y2iqfc"/>
    <w:basedOn w:val="DefaultParagraphFont"/>
    <w:rsid w:val="00EF62A7"/>
  </w:style>
  <w:style w:type="paragraph" w:customStyle="1" w:styleId="title-doc-first">
    <w:name w:val="title-doc-first"/>
    <w:basedOn w:val="Normal"/>
    <w:rsid w:val="00844993"/>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39"/>
    <w:rsid w:val="0011032F"/>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efaultParagraphFont"/>
    <w:rsid w:val="0011032F"/>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6650A1"/>
  </w:style>
  <w:style w:type="paragraph" w:customStyle="1" w:styleId="NApielikums">
    <w:name w:val="NA pielikums"/>
    <w:basedOn w:val="Normal"/>
    <w:link w:val="NApielikumsCharChar"/>
    <w:rsid w:val="00061F14"/>
    <w:pPr>
      <w:spacing w:after="0" w:line="240" w:lineRule="auto"/>
      <w:jc w:val="right"/>
    </w:pPr>
    <w:rPr>
      <w:rFonts w:ascii="Times New Roman" w:eastAsia="Times New Roman" w:hAnsi="Times New Roman" w:cs="Times New Roman"/>
      <w:sz w:val="24"/>
      <w:szCs w:val="24"/>
      <w:lang w:eastAsia="lv-LV"/>
    </w:rPr>
  </w:style>
  <w:style w:type="character" w:customStyle="1" w:styleId="NApielikumsCharChar">
    <w:name w:val="NA pielikums Char Char"/>
    <w:basedOn w:val="DefaultParagraphFont"/>
    <w:link w:val="NApielikums"/>
    <w:rsid w:val="00061F14"/>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061F14"/>
    <w:rPr>
      <w:color w:val="808080"/>
    </w:rPr>
  </w:style>
  <w:style w:type="paragraph" w:customStyle="1" w:styleId="Default">
    <w:name w:val="Default"/>
    <w:rsid w:val="00061F14"/>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rsid w:val="00B24472"/>
    <w:rPr>
      <w:rFonts w:ascii="Times New Roman" w:eastAsia="Times New Roman" w:hAnsi="Times New Roman" w:cs="Times New Roman"/>
      <w:b/>
      <w:bCs/>
      <w:sz w:val="28"/>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328678448">
      <w:bodyDiv w:val="1"/>
      <w:marLeft w:val="0"/>
      <w:marRight w:val="0"/>
      <w:marTop w:val="0"/>
      <w:marBottom w:val="0"/>
      <w:divBdr>
        <w:top w:val="none" w:sz="0" w:space="0" w:color="auto"/>
        <w:left w:val="none" w:sz="0" w:space="0" w:color="auto"/>
        <w:bottom w:val="none" w:sz="0" w:space="0" w:color="auto"/>
        <w:right w:val="none" w:sz="0" w:space="0" w:color="auto"/>
      </w:divBdr>
    </w:div>
    <w:div w:id="444159179">
      <w:bodyDiv w:val="1"/>
      <w:marLeft w:val="0"/>
      <w:marRight w:val="0"/>
      <w:marTop w:val="0"/>
      <w:marBottom w:val="0"/>
      <w:divBdr>
        <w:top w:val="none" w:sz="0" w:space="0" w:color="auto"/>
        <w:left w:val="none" w:sz="0" w:space="0" w:color="auto"/>
        <w:bottom w:val="none" w:sz="0" w:space="0" w:color="auto"/>
        <w:right w:val="none" w:sz="0" w:space="0" w:color="auto"/>
      </w:divBdr>
    </w:div>
    <w:div w:id="494877583">
      <w:bodyDiv w:val="1"/>
      <w:marLeft w:val="0"/>
      <w:marRight w:val="0"/>
      <w:marTop w:val="0"/>
      <w:marBottom w:val="0"/>
      <w:divBdr>
        <w:top w:val="none" w:sz="0" w:space="0" w:color="auto"/>
        <w:left w:val="none" w:sz="0" w:space="0" w:color="auto"/>
        <w:bottom w:val="none" w:sz="0" w:space="0" w:color="auto"/>
        <w:right w:val="none" w:sz="0" w:space="0" w:color="auto"/>
      </w:divBdr>
    </w:div>
    <w:div w:id="634599925">
      <w:bodyDiv w:val="1"/>
      <w:marLeft w:val="0"/>
      <w:marRight w:val="0"/>
      <w:marTop w:val="0"/>
      <w:marBottom w:val="0"/>
      <w:divBdr>
        <w:top w:val="none" w:sz="0" w:space="0" w:color="auto"/>
        <w:left w:val="none" w:sz="0" w:space="0" w:color="auto"/>
        <w:bottom w:val="none" w:sz="0" w:space="0" w:color="auto"/>
        <w:right w:val="none" w:sz="0" w:space="0" w:color="auto"/>
      </w:divBdr>
    </w:div>
    <w:div w:id="842670496">
      <w:bodyDiv w:val="1"/>
      <w:marLeft w:val="0"/>
      <w:marRight w:val="0"/>
      <w:marTop w:val="0"/>
      <w:marBottom w:val="0"/>
      <w:divBdr>
        <w:top w:val="none" w:sz="0" w:space="0" w:color="auto"/>
        <w:left w:val="none" w:sz="0" w:space="0" w:color="auto"/>
        <w:bottom w:val="none" w:sz="0" w:space="0" w:color="auto"/>
        <w:right w:val="none" w:sz="0" w:space="0" w:color="auto"/>
      </w:divBdr>
    </w:div>
    <w:div w:id="971641011">
      <w:bodyDiv w:val="1"/>
      <w:marLeft w:val="0"/>
      <w:marRight w:val="0"/>
      <w:marTop w:val="0"/>
      <w:marBottom w:val="0"/>
      <w:divBdr>
        <w:top w:val="none" w:sz="0" w:space="0" w:color="auto"/>
        <w:left w:val="none" w:sz="0" w:space="0" w:color="auto"/>
        <w:bottom w:val="none" w:sz="0" w:space="0" w:color="auto"/>
        <w:right w:val="none" w:sz="0" w:space="0" w:color="auto"/>
      </w:divBdr>
    </w:div>
    <w:div w:id="1415667111">
      <w:bodyDiv w:val="1"/>
      <w:marLeft w:val="0"/>
      <w:marRight w:val="0"/>
      <w:marTop w:val="0"/>
      <w:marBottom w:val="0"/>
      <w:divBdr>
        <w:top w:val="none" w:sz="0" w:space="0" w:color="auto"/>
        <w:left w:val="none" w:sz="0" w:space="0" w:color="auto"/>
        <w:bottom w:val="none" w:sz="0" w:space="0" w:color="auto"/>
        <w:right w:val="none" w:sz="0" w:space="0" w:color="auto"/>
      </w:divBdr>
      <w:divsChild>
        <w:div w:id="1354067218">
          <w:marLeft w:val="0"/>
          <w:marRight w:val="0"/>
          <w:marTop w:val="480"/>
          <w:marBottom w:val="240"/>
          <w:divBdr>
            <w:top w:val="none" w:sz="0" w:space="0" w:color="auto"/>
            <w:left w:val="none" w:sz="0" w:space="0" w:color="auto"/>
            <w:bottom w:val="none" w:sz="0" w:space="0" w:color="auto"/>
            <w:right w:val="none" w:sz="0" w:space="0" w:color="auto"/>
          </w:divBdr>
        </w:div>
        <w:div w:id="2008825152">
          <w:marLeft w:val="0"/>
          <w:marRight w:val="0"/>
          <w:marTop w:val="0"/>
          <w:marBottom w:val="567"/>
          <w:divBdr>
            <w:top w:val="none" w:sz="0" w:space="0" w:color="auto"/>
            <w:left w:val="none" w:sz="0" w:space="0" w:color="auto"/>
            <w:bottom w:val="none" w:sz="0" w:space="0" w:color="auto"/>
            <w:right w:val="none" w:sz="0" w:space="0" w:color="auto"/>
          </w:divBdr>
        </w:div>
      </w:divsChild>
    </w:div>
    <w:div w:id="1622033306">
      <w:bodyDiv w:val="1"/>
      <w:marLeft w:val="0"/>
      <w:marRight w:val="0"/>
      <w:marTop w:val="0"/>
      <w:marBottom w:val="0"/>
      <w:divBdr>
        <w:top w:val="none" w:sz="0" w:space="0" w:color="auto"/>
        <w:left w:val="none" w:sz="0" w:space="0" w:color="auto"/>
        <w:bottom w:val="none" w:sz="0" w:space="0" w:color="auto"/>
        <w:right w:val="none" w:sz="0" w:space="0" w:color="auto"/>
      </w:divBdr>
    </w:div>
    <w:div w:id="1884782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FB9562532E48C79A9A7CAF997B965E"/>
        <w:category>
          <w:name w:val="General"/>
          <w:gallery w:val="placeholder"/>
        </w:category>
        <w:types>
          <w:type w:val="bbPlcHdr"/>
        </w:types>
        <w:behaviors>
          <w:behavior w:val="content"/>
        </w:behaviors>
        <w:guid w:val="{8DE9F691-6C86-467D-B50B-97E2BA92191E}"/>
      </w:docPartPr>
      <w:docPartBody>
        <w:p w:rsidR="007624E4" w:rsidRDefault="005D75C8" w:rsidP="005D75C8">
          <w:pPr>
            <w:pStyle w:val="06FB9562532E48C79A9A7CAF997B965E"/>
          </w:pPr>
          <w:r w:rsidRPr="00F5647B">
            <w:rPr>
              <w:rStyle w:val="PlaceholderText"/>
              <w:b/>
              <w:szCs w:val="24"/>
            </w:rPr>
            <w:t>[Nosaukums]</w:t>
          </w:r>
        </w:p>
      </w:docPartBody>
    </w:docPart>
    <w:docPart>
      <w:docPartPr>
        <w:name w:val="0DE2760AD93F4C379BADD32CC4AEBE9A"/>
        <w:category>
          <w:name w:val="General"/>
          <w:gallery w:val="placeholder"/>
        </w:category>
        <w:types>
          <w:type w:val="bbPlcHdr"/>
        </w:types>
        <w:behaviors>
          <w:behavior w:val="content"/>
        </w:behaviors>
        <w:guid w:val="{1D0973FF-2D37-4FF6-B190-F5395017DA9C}"/>
      </w:docPartPr>
      <w:docPartBody>
        <w:p w:rsidR="007E0AAA" w:rsidRDefault="00776766" w:rsidP="00776766">
          <w:pPr>
            <w:pStyle w:val="0DE2760AD93F4C379BADD32CC4AEBE9A"/>
          </w:pPr>
          <w:r w:rsidRPr="00F5647B">
            <w:rPr>
              <w:rStyle w:val="PlaceholderText"/>
              <w:b/>
              <w:szCs w:val="24"/>
            </w:rPr>
            <w:t>[Nosaukums]</w:t>
          </w:r>
        </w:p>
      </w:docPartBody>
    </w:docPart>
    <w:docPart>
      <w:docPartPr>
        <w:name w:val="FCF66F6703F04663A56A794982DB3969"/>
        <w:category>
          <w:name w:val="General"/>
          <w:gallery w:val="placeholder"/>
        </w:category>
        <w:types>
          <w:type w:val="bbPlcHdr"/>
        </w:types>
        <w:behaviors>
          <w:behavior w:val="content"/>
        </w:behaviors>
        <w:guid w:val="{0E0F90D0-4412-440D-A86E-21B3DD3A1717}"/>
      </w:docPartPr>
      <w:docPartBody>
        <w:p w:rsidR="00C043CE" w:rsidRDefault="000F59DE" w:rsidP="000F59DE">
          <w:pPr>
            <w:pStyle w:val="FCF66F6703F04663A56A794982DB3969"/>
          </w:pPr>
          <w:r w:rsidRPr="00F5647B">
            <w:rPr>
              <w:rStyle w:val="PlaceholderText"/>
              <w:b/>
              <w:szCs w:val="24"/>
            </w:rPr>
            <w:t>[Nosaukums]</w:t>
          </w:r>
        </w:p>
      </w:docPartBody>
    </w:docPart>
    <w:docPart>
      <w:docPartPr>
        <w:name w:val="5F51AD33943244B880DD218443B2B4F6"/>
        <w:category>
          <w:name w:val="General"/>
          <w:gallery w:val="placeholder"/>
        </w:category>
        <w:types>
          <w:type w:val="bbPlcHdr"/>
        </w:types>
        <w:behaviors>
          <w:behavior w:val="content"/>
        </w:behaviors>
        <w:guid w:val="{C7833377-1667-4818-B5B5-7B8630BFBAC9}"/>
      </w:docPartPr>
      <w:docPartBody>
        <w:p w:rsidR="004B3386" w:rsidRDefault="004B3386" w:rsidP="004B3386">
          <w:pPr>
            <w:pStyle w:val="5F51AD33943244B880DD218443B2B4F6"/>
          </w:pPr>
          <w:r w:rsidRPr="00F5647B">
            <w:rPr>
              <w:rStyle w:val="PlaceholderText"/>
              <w:b/>
              <w:szCs w:val="24"/>
            </w:rPr>
            <w:t>[Nosaukums]</w:t>
          </w:r>
        </w:p>
      </w:docPartBody>
    </w:docPart>
    <w:docPart>
      <w:docPartPr>
        <w:name w:val="549E4954616D4354AD577CD9E3C0B173"/>
        <w:category>
          <w:name w:val="General"/>
          <w:gallery w:val="placeholder"/>
        </w:category>
        <w:types>
          <w:type w:val="bbPlcHdr"/>
        </w:types>
        <w:behaviors>
          <w:behavior w:val="content"/>
        </w:behaviors>
        <w:guid w:val="{5A334B9E-2B40-45F4-B06E-3C804D8082B0}"/>
      </w:docPartPr>
      <w:docPartBody>
        <w:p w:rsidR="004F5A24" w:rsidRDefault="003E108D" w:rsidP="003E108D">
          <w:pPr>
            <w:pStyle w:val="549E4954616D4354AD577CD9E3C0B173"/>
          </w:pPr>
          <w:r w:rsidRPr="00034330">
            <w:rPr>
              <w:rStyle w:val="PlaceholderText"/>
            </w:rPr>
            <w:t>[datums]</w:t>
          </w:r>
        </w:p>
      </w:docPartBody>
    </w:docPart>
    <w:docPart>
      <w:docPartPr>
        <w:name w:val="99D373AFDD2640ABA8BFD9694617F8EC"/>
        <w:category>
          <w:name w:val="General"/>
          <w:gallery w:val="placeholder"/>
        </w:category>
        <w:types>
          <w:type w:val="bbPlcHdr"/>
        </w:types>
        <w:behaviors>
          <w:behavior w:val="content"/>
        </w:behaviors>
        <w:guid w:val="{8CEC789F-F786-45ED-AA2B-C7BF83B5FE15}"/>
      </w:docPartPr>
      <w:docPartBody>
        <w:p w:rsidR="004F5A24" w:rsidRDefault="003E108D" w:rsidP="003E108D">
          <w:pPr>
            <w:pStyle w:val="99D373AFDD2640ABA8BFD9694617F8EC"/>
          </w:pPr>
          <w:r w:rsidRPr="00F75F63">
            <w:rPr>
              <w:rStyle w:val="PlaceholderText"/>
              <w:b/>
              <w:color w:val="808080" w:themeColor="background1" w:themeShade="80"/>
              <w:szCs w:val="24"/>
            </w:rPr>
            <w:t>[Nosaukums]</w:t>
          </w:r>
        </w:p>
      </w:docPartBody>
    </w:docPart>
    <w:docPart>
      <w:docPartPr>
        <w:name w:val="B2144BAC3AA24770B72AEA21E1797EC4"/>
        <w:category>
          <w:name w:val="General"/>
          <w:gallery w:val="placeholder"/>
        </w:category>
        <w:types>
          <w:type w:val="bbPlcHdr"/>
        </w:types>
        <w:behaviors>
          <w:behavior w:val="content"/>
        </w:behaviors>
        <w:guid w:val="{ABAE6EC1-D130-4E06-AB90-CC00186C9A02}"/>
      </w:docPartPr>
      <w:docPartBody>
        <w:p w:rsidR="004F5A24" w:rsidRDefault="003E108D" w:rsidP="003E108D">
          <w:pPr>
            <w:pStyle w:val="B2144BAC3AA24770B72AEA21E1797EC4"/>
          </w:pPr>
          <w:r>
            <w:rPr>
              <w:rStyle w:val="PlaceholderText"/>
              <w:b/>
              <w:color w:val="808080" w:themeColor="background1" w:themeShade="80"/>
            </w:rPr>
            <w:t>[Nosaukums]</w:t>
          </w:r>
        </w:p>
      </w:docPartBody>
    </w:docPart>
    <w:docPart>
      <w:docPartPr>
        <w:name w:val="727E0727CB40484F87CCFD813952F042"/>
        <w:category>
          <w:name w:val="General"/>
          <w:gallery w:val="placeholder"/>
        </w:category>
        <w:types>
          <w:type w:val="bbPlcHdr"/>
        </w:types>
        <w:behaviors>
          <w:behavior w:val="content"/>
        </w:behaviors>
        <w:guid w:val="{6F554484-2689-4617-8FD8-F906FE5407D9}"/>
      </w:docPartPr>
      <w:docPartBody>
        <w:p w:rsidR="004F5A24" w:rsidRDefault="003E108D" w:rsidP="003E108D">
          <w:pPr>
            <w:pStyle w:val="727E0727CB40484F87CCFD813952F042"/>
          </w:pPr>
          <w:r>
            <w:rPr>
              <w:rStyle w:val="PlaceholderText"/>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0F59DE"/>
    <w:rsid w:val="00135089"/>
    <w:rsid w:val="00162737"/>
    <w:rsid w:val="001B5ECD"/>
    <w:rsid w:val="001D3730"/>
    <w:rsid w:val="00227EEE"/>
    <w:rsid w:val="0024471B"/>
    <w:rsid w:val="00253730"/>
    <w:rsid w:val="00291FA8"/>
    <w:rsid w:val="002A5D67"/>
    <w:rsid w:val="002A6F5D"/>
    <w:rsid w:val="00317E24"/>
    <w:rsid w:val="00341D71"/>
    <w:rsid w:val="003A682F"/>
    <w:rsid w:val="003E108D"/>
    <w:rsid w:val="00431623"/>
    <w:rsid w:val="004B3386"/>
    <w:rsid w:val="004E1C04"/>
    <w:rsid w:val="004F5A24"/>
    <w:rsid w:val="00572F21"/>
    <w:rsid w:val="005B5A7D"/>
    <w:rsid w:val="005C2CA0"/>
    <w:rsid w:val="005D75C8"/>
    <w:rsid w:val="00606F09"/>
    <w:rsid w:val="00637998"/>
    <w:rsid w:val="006A61AC"/>
    <w:rsid w:val="007624E4"/>
    <w:rsid w:val="0076578A"/>
    <w:rsid w:val="00776766"/>
    <w:rsid w:val="007E0AAA"/>
    <w:rsid w:val="00814418"/>
    <w:rsid w:val="00834517"/>
    <w:rsid w:val="00837761"/>
    <w:rsid w:val="008B3080"/>
    <w:rsid w:val="00A056E1"/>
    <w:rsid w:val="00A27A4D"/>
    <w:rsid w:val="00B308B3"/>
    <w:rsid w:val="00B94E7D"/>
    <w:rsid w:val="00BA1188"/>
    <w:rsid w:val="00C043CE"/>
    <w:rsid w:val="00D35F30"/>
    <w:rsid w:val="00D85A2F"/>
    <w:rsid w:val="00DD35D1"/>
    <w:rsid w:val="00EE6CA1"/>
    <w:rsid w:val="00F01EF8"/>
    <w:rsid w:val="00F7320D"/>
    <w:rsid w:val="00FB1B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108D"/>
    <w:rPr>
      <w:color w:val="808080"/>
    </w:rPr>
  </w:style>
  <w:style w:type="paragraph" w:customStyle="1" w:styleId="06FB9562532E48C79A9A7CAF997B965E">
    <w:name w:val="06FB9562532E48C79A9A7CAF997B965E"/>
    <w:rsid w:val="005D75C8"/>
  </w:style>
  <w:style w:type="paragraph" w:customStyle="1" w:styleId="0DE2760AD93F4C379BADD32CC4AEBE9A">
    <w:name w:val="0DE2760AD93F4C379BADD32CC4AEBE9A"/>
    <w:rsid w:val="00776766"/>
  </w:style>
  <w:style w:type="paragraph" w:customStyle="1" w:styleId="FCF66F6703F04663A56A794982DB3969">
    <w:name w:val="FCF66F6703F04663A56A794982DB3969"/>
    <w:rsid w:val="000F59DE"/>
  </w:style>
  <w:style w:type="paragraph" w:customStyle="1" w:styleId="5F51AD33943244B880DD218443B2B4F6">
    <w:name w:val="5F51AD33943244B880DD218443B2B4F6"/>
    <w:rsid w:val="004B3386"/>
    <w:rPr>
      <w:kern w:val="2"/>
      <w14:ligatures w14:val="standardContextual"/>
    </w:rPr>
  </w:style>
  <w:style w:type="paragraph" w:customStyle="1" w:styleId="549E4954616D4354AD577CD9E3C0B173">
    <w:name w:val="549E4954616D4354AD577CD9E3C0B173"/>
    <w:rsid w:val="003E108D"/>
    <w:rPr>
      <w:kern w:val="2"/>
      <w14:ligatures w14:val="standardContextual"/>
    </w:rPr>
  </w:style>
  <w:style w:type="paragraph" w:customStyle="1" w:styleId="99D373AFDD2640ABA8BFD9694617F8EC">
    <w:name w:val="99D373AFDD2640ABA8BFD9694617F8EC"/>
    <w:rsid w:val="003E108D"/>
    <w:rPr>
      <w:kern w:val="2"/>
      <w14:ligatures w14:val="standardContextual"/>
    </w:rPr>
  </w:style>
  <w:style w:type="paragraph" w:customStyle="1" w:styleId="B2144BAC3AA24770B72AEA21E1797EC4">
    <w:name w:val="B2144BAC3AA24770B72AEA21E1797EC4"/>
    <w:rsid w:val="003E108D"/>
    <w:rPr>
      <w:kern w:val="2"/>
      <w14:ligatures w14:val="standardContextual"/>
    </w:rPr>
  </w:style>
  <w:style w:type="paragraph" w:customStyle="1" w:styleId="727E0727CB40484F87CCFD813952F042">
    <w:name w:val="727E0727CB40484F87CCFD813952F042"/>
    <w:rsid w:val="003E108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28231</Words>
  <Characters>16092</Characters>
  <Application>Microsoft Office Word</Application>
  <DocSecurity>0</DocSecurity>
  <Lines>134</Lines>
  <Paragraphs>88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Daiga Birīte</cp:lastModifiedBy>
  <cp:revision>13</cp:revision>
  <cp:lastPrinted>2023-07-25T07:30:00Z</cp:lastPrinted>
  <dcterms:created xsi:type="dcterms:W3CDTF">2023-10-27T04:41:00Z</dcterms:created>
  <dcterms:modified xsi:type="dcterms:W3CDTF">2023-10-27T05:06:00Z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