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13776" w14:textId="478414AB" w:rsidR="009B27BE" w:rsidRPr="00CA28AB" w:rsidRDefault="00CA28AB" w:rsidP="009208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28AB">
        <w:rPr>
          <w:rFonts w:ascii="Times New Roman" w:hAnsi="Times New Roman" w:cs="Times New Roman"/>
          <w:b/>
          <w:bCs/>
          <w:sz w:val="24"/>
          <w:szCs w:val="24"/>
        </w:rPr>
        <w:t xml:space="preserve">Latvijas Bankas noteikumu projekta </w:t>
      </w:r>
      <w:r w:rsidR="00D4415B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DA006F">
        <w:rPr>
          <w:rFonts w:ascii="Times New Roman" w:hAnsi="Times New Roman" w:cs="Times New Roman"/>
          <w:b/>
          <w:bCs/>
          <w:sz w:val="24"/>
          <w:szCs w:val="24"/>
        </w:rPr>
        <w:t>Alternatīvo snieguma rādītāju atklāšanas prasības</w:t>
      </w:r>
      <w:r w:rsidR="00D4415B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C015EE">
        <w:rPr>
          <w:rFonts w:ascii="Times New Roman" w:hAnsi="Times New Roman" w:cs="Times New Roman"/>
          <w:b/>
          <w:bCs/>
          <w:sz w:val="24"/>
          <w:szCs w:val="24"/>
        </w:rPr>
        <w:t xml:space="preserve"> anotācija</w:t>
      </w:r>
    </w:p>
    <w:p w14:paraId="4CF2D308" w14:textId="77777777" w:rsidR="003B481B" w:rsidRPr="000B4E0A" w:rsidRDefault="003B481B" w:rsidP="00492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8"/>
        <w:gridCol w:w="5667"/>
      </w:tblGrid>
      <w:tr w:rsidR="000B4E0A" w:rsidRPr="000B4E0A" w14:paraId="5AF8613E" w14:textId="77777777" w:rsidTr="00DB29BE">
        <w:trPr>
          <w:trHeight w:val="567"/>
        </w:trPr>
        <w:tc>
          <w:tcPr>
            <w:tcW w:w="1874" w:type="pct"/>
            <w:shd w:val="clear" w:color="auto" w:fill="auto"/>
            <w:hideMark/>
          </w:tcPr>
          <w:p w14:paraId="1A96ABF5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Nosaukums</w:t>
            </w:r>
          </w:p>
          <w:p w14:paraId="214F8583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126" w:type="pct"/>
            <w:shd w:val="clear" w:color="auto" w:fill="auto"/>
          </w:tcPr>
          <w:p w14:paraId="02C1AC37" w14:textId="6B1E0C76" w:rsidR="005670C7" w:rsidRPr="003611DB" w:rsidRDefault="00DA006F" w:rsidP="00C015EE">
            <w:pPr>
              <w:spacing w:after="120" w:line="240" w:lineRule="auto"/>
              <w:jc w:val="both"/>
              <w:rPr>
                <w:lang w:eastAsia="lv-LV"/>
              </w:rPr>
            </w:pPr>
            <w:r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Alternatīvo snieguma rādītāju atklāšanas prasības </w:t>
            </w:r>
          </w:p>
        </w:tc>
      </w:tr>
      <w:tr w:rsidR="000B4E0A" w:rsidRPr="000B4E0A" w14:paraId="40579981" w14:textId="77777777" w:rsidTr="00DB29BE">
        <w:trPr>
          <w:trHeight w:val="567"/>
        </w:trPr>
        <w:tc>
          <w:tcPr>
            <w:tcW w:w="1874" w:type="pct"/>
            <w:shd w:val="clear" w:color="auto" w:fill="auto"/>
            <w:hideMark/>
          </w:tcPr>
          <w:p w14:paraId="05B76843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Dokumenta veids</w:t>
            </w:r>
          </w:p>
          <w:p w14:paraId="6827898F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126" w:type="pct"/>
            <w:shd w:val="clear" w:color="auto" w:fill="auto"/>
          </w:tcPr>
          <w:p w14:paraId="4FD52E21" w14:textId="4DF1076F" w:rsidR="00E53DE9" w:rsidRPr="003611DB" w:rsidRDefault="00733FCC" w:rsidP="00C015E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Bankas n</w:t>
            </w:r>
            <w:r w:rsidR="004B27FC"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oteikumi</w:t>
            </w:r>
          </w:p>
        </w:tc>
      </w:tr>
      <w:tr w:rsidR="000B4E0A" w:rsidRPr="000B4E0A" w14:paraId="100E5141" w14:textId="77777777" w:rsidTr="00DB29BE">
        <w:trPr>
          <w:trHeight w:val="567"/>
        </w:trPr>
        <w:tc>
          <w:tcPr>
            <w:tcW w:w="1874" w:type="pct"/>
            <w:shd w:val="clear" w:color="auto" w:fill="auto"/>
            <w:hideMark/>
          </w:tcPr>
          <w:p w14:paraId="7BA8CAD1" w14:textId="77777777" w:rsidR="00A42788" w:rsidRPr="00220B72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20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Izdošanas pamatojums </w:t>
            </w:r>
          </w:p>
          <w:p w14:paraId="1579B5C8" w14:textId="77777777" w:rsidR="00CA28AB" w:rsidRPr="00220B72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</w:p>
        </w:tc>
        <w:tc>
          <w:tcPr>
            <w:tcW w:w="3126" w:type="pct"/>
            <w:shd w:val="clear" w:color="auto" w:fill="auto"/>
          </w:tcPr>
          <w:p w14:paraId="6230B936" w14:textId="2D5A7EC2" w:rsidR="0088444E" w:rsidRPr="003611DB" w:rsidRDefault="00C173D5" w:rsidP="00386E9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Finanšu instrumentu tirgus likuma </w:t>
            </w:r>
            <w:r w:rsidR="00F337C4"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  <w:r w:rsidR="00F337C4" w:rsidRPr="003611D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2</w:t>
            </w:r>
            <w:r w:rsidR="00386E9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 </w:t>
            </w:r>
            <w:r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pant</w:t>
            </w:r>
            <w:r w:rsidR="00C015E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s, </w:t>
            </w:r>
            <w:r w:rsidR="006E2031"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Bankas likuma pārejas noteikumu 3.</w:t>
            </w:r>
            <w:r w:rsidR="00386E9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6E2031"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punkts</w:t>
            </w:r>
          </w:p>
          <w:p w14:paraId="793F64E3" w14:textId="44D25EAF" w:rsidR="005670C7" w:rsidRPr="003611DB" w:rsidRDefault="005670C7" w:rsidP="00C015E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B4E0A" w:rsidRPr="000B4E0A" w14:paraId="646435C5" w14:textId="77777777" w:rsidTr="00DB29BE">
        <w:trPr>
          <w:trHeight w:val="2002"/>
        </w:trPr>
        <w:tc>
          <w:tcPr>
            <w:tcW w:w="1874" w:type="pct"/>
            <w:shd w:val="clear" w:color="auto" w:fill="auto"/>
            <w:hideMark/>
          </w:tcPr>
          <w:p w14:paraId="104FD699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Mērķis un būtība</w:t>
            </w:r>
          </w:p>
          <w:p w14:paraId="61E876F5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126" w:type="pct"/>
            <w:shd w:val="clear" w:color="auto" w:fill="auto"/>
          </w:tcPr>
          <w:p w14:paraId="6D1650C3" w14:textId="28EEC67E" w:rsidR="00122480" w:rsidRPr="003611DB" w:rsidRDefault="00733FCC" w:rsidP="00C015EE">
            <w:pPr>
              <w:spacing w:after="12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Banka ir izstrādājusi noteikumu projektu "</w:t>
            </w:r>
            <w:r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Alternatīvo snieguma rādītāju atklāšanas prasības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 w:rsidR="000804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(turpmāk 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774265" w:rsidRPr="00361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oteikumu </w:t>
            </w:r>
            <w:r w:rsidR="00C015EE">
              <w:rPr>
                <w:rFonts w:ascii="Times New Roman" w:eastAsia="Times New Roman" w:hAnsi="Times New Roman" w:cs="Times New Roman"/>
                <w:sz w:val="24"/>
                <w:szCs w:val="24"/>
              </w:rPr>
              <w:t>projekt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s), kura</w:t>
            </w:r>
            <w:r w:rsidR="00C015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74265" w:rsidRPr="003611DB">
              <w:rPr>
                <w:rFonts w:ascii="Times New Roman" w:eastAsia="Times New Roman" w:hAnsi="Times New Roman" w:cs="Times New Roman"/>
                <w:sz w:val="24"/>
                <w:szCs w:val="24"/>
              </w:rPr>
              <w:t>mērķis ir</w:t>
            </w:r>
            <w:r w:rsidR="00122480" w:rsidRPr="003611DB">
              <w:t xml:space="preserve"> </w:t>
            </w:r>
            <w:r w:rsidR="00DA006F" w:rsidRPr="003611DB">
              <w:rPr>
                <w:rFonts w:ascii="Times New Roman" w:eastAsia="Times New Roman" w:hAnsi="Times New Roman" w:cs="Times New Roman"/>
                <w:sz w:val="24"/>
                <w:szCs w:val="24"/>
              </w:rPr>
              <w:t>noteikt vienotas prasības alternatīvo snieguma rādītāju atklāšanai</w:t>
            </w:r>
            <w:r w:rsidR="00D15599" w:rsidRPr="00361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visiem emitentiem, kuru vērtspapīrus ir atļauts tirgot regulētajā tirgū, un par prospektā iekļauto informāciju atbildīgajām personām</w:t>
            </w:r>
            <w:r w:rsidR="00242492" w:rsidRPr="003611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B90DEEA" w14:textId="41FE4A88" w:rsidR="00C015EE" w:rsidRDefault="00C015EE" w:rsidP="00C015E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Noteikumu projekts aizstās spēkā esošos Finanšu un kapitāla tirgus komisijas </w:t>
            </w:r>
            <w:r w:rsidRPr="00C015E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2020.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C015E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22.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C015E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decembra normatīvos noteikumus Nr.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C015E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253 </w:t>
            </w:r>
            <w:r w:rsidR="00D441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 w:rsidRPr="00C015E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Alternatīvo snieguma rādītāju atklāšanas prasības</w:t>
            </w:r>
            <w:r w:rsidR="00D441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(turpmāk – Noteikumi Nr. 253).</w:t>
            </w:r>
          </w:p>
          <w:p w14:paraId="2E288ADE" w14:textId="03B90017" w:rsidR="00C015EE" w:rsidRPr="003611DB" w:rsidRDefault="00C015EE" w:rsidP="00C015E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Salīdzinot ar Noteikumiem Nr. 253, noteikumu projekts </w:t>
            </w:r>
            <w:r w:rsidR="002778A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nerada jaunas prasības.</w:t>
            </w:r>
          </w:p>
        </w:tc>
      </w:tr>
      <w:tr w:rsidR="000B4E0A" w:rsidRPr="000B4E0A" w14:paraId="3E6CB1B9" w14:textId="77777777" w:rsidTr="00DB29BE">
        <w:trPr>
          <w:trHeight w:val="567"/>
        </w:trPr>
        <w:tc>
          <w:tcPr>
            <w:tcW w:w="1874" w:type="pct"/>
            <w:shd w:val="clear" w:color="auto" w:fill="auto"/>
            <w:hideMark/>
          </w:tcPr>
          <w:p w14:paraId="736FBF93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Leģitīmais mērķis</w:t>
            </w:r>
          </w:p>
          <w:p w14:paraId="211551A8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126" w:type="pct"/>
            <w:shd w:val="clear" w:color="auto" w:fill="auto"/>
          </w:tcPr>
          <w:p w14:paraId="378E8263" w14:textId="53E94F28" w:rsidR="00242492" w:rsidRPr="003611DB" w:rsidRDefault="00242492" w:rsidP="00C015E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projekts nodrošina</w:t>
            </w:r>
            <w:r w:rsidR="002006A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Bankas likuma 5.</w:t>
            </w:r>
            <w:r w:rsidR="002006A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panta pirmās daļas 4.</w:t>
            </w:r>
            <w:r w:rsidR="002006A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punkta izpild</w:t>
            </w:r>
            <w:r w:rsidR="002006A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1F98E7F2" w14:textId="6B418BA4" w:rsidR="00D4415B" w:rsidRDefault="00856756" w:rsidP="002006A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projekta mērķis ir nodrošināt, ka Latvijas Banka</w:t>
            </w:r>
            <w:r w:rsidR="000F5379"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 uzraudzībā esošie </w:t>
            </w:r>
            <w:r w:rsidR="000250FB"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emitenti, kuru vērtspapīrus ir atļauts tirgot regulētajā tirgū, un par prospektā iekļauto informāciju atbildīg</w:t>
            </w:r>
            <w:r w:rsidR="00C4724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ās</w:t>
            </w:r>
            <w:r w:rsidR="000250FB"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person</w:t>
            </w:r>
            <w:r w:rsidR="00C4724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as, atklājot </w:t>
            </w:r>
            <w:r w:rsidR="00C4724B" w:rsidRPr="00C4724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prospektos un regulētajā informācijā</w:t>
            </w:r>
            <w:r w:rsidR="00C4724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C4724B" w:rsidRPr="00C4724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alternatīvo</w:t>
            </w:r>
            <w:r w:rsidR="00C4724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="00C4724B" w:rsidRPr="00C4724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snieguma rādītāju</w:t>
            </w:r>
            <w:r w:rsidR="00C4724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="002006A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="000250FB"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ievēro </w:t>
            </w:r>
            <w:r w:rsidR="00FA3812"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Eiropas Vērtspapīru un tirgu iestādes 2015.</w:t>
            </w:r>
            <w:r w:rsidR="002006A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A3812"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5.</w:t>
            </w:r>
            <w:r w:rsidR="002006A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A3812"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oktobra pamatnostādņu Nr.</w:t>
            </w:r>
            <w:r w:rsidR="002006A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A3812"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ESMA/2015/1415lv </w:t>
            </w:r>
            <w:r w:rsidR="00D441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 w:rsidR="00FA3812"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Alternatīvie snieguma rādītāji</w:t>
            </w:r>
            <w:r w:rsidR="00D441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 w:rsidR="00FA3812"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prasības.</w:t>
            </w:r>
            <w:r w:rsidR="00DA45D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Attiecīgās prasības nepieciešams ievērot, lai nodrošinātu, ka potenciālajiem investoriem</w:t>
            </w:r>
            <w:r w:rsidR="00AC292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kā arī uzraugošajām iestādēm</w:t>
            </w:r>
            <w:r w:rsidR="00DA45D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AC292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tiek sniegta salīdzināma, saprotama un ticama informācija par alternatīv</w:t>
            </w:r>
            <w:r w:rsidR="00733FC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ajiem</w:t>
            </w:r>
            <w:r w:rsidR="00AC292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snieguma rādītājiem.</w:t>
            </w:r>
          </w:p>
          <w:p w14:paraId="49EA5932" w14:textId="7D1DD6FF" w:rsidR="00DB29BE" w:rsidRPr="003611DB" w:rsidRDefault="00D4415B" w:rsidP="002006A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Noteikumu projekta leģitīmais mērķis ir </w:t>
            </w:r>
            <w:r w:rsidRPr="00DB39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citu personu tiesību aizsardzība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AC292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0B4E0A" w:rsidRPr="000B4E0A" w14:paraId="2ADDF3C3" w14:textId="77777777" w:rsidTr="00DB29BE">
        <w:trPr>
          <w:trHeight w:val="567"/>
        </w:trPr>
        <w:tc>
          <w:tcPr>
            <w:tcW w:w="1874" w:type="pct"/>
            <w:shd w:val="clear" w:color="auto" w:fill="auto"/>
            <w:hideMark/>
          </w:tcPr>
          <w:p w14:paraId="6AEAE8E3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Samērīgums</w:t>
            </w:r>
          </w:p>
          <w:p w14:paraId="50F52EC5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126" w:type="pct"/>
            <w:shd w:val="clear" w:color="auto" w:fill="auto"/>
          </w:tcPr>
          <w:p w14:paraId="5525AB24" w14:textId="32D8D492" w:rsidR="00242492" w:rsidRDefault="00856756" w:rsidP="00C015E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Saskaņā ar Latvijas Bankas likumu Latvijas Banka uzrauga finanšu instrumentu tirgus dalībnieku darbību. Šīs funkcijas nodrošināšanai Latvijas Bankai nepieciešams </w:t>
            </w:r>
            <w:r w:rsidR="00494737"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nodrošināt, </w:t>
            </w:r>
            <w:r w:rsidR="00242492"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lai emitenti, kuru vērtspapīrus ir atļauts tirgot regulētajā tirgū, un par prospektā iekļauto informāciju atbildīg</w:t>
            </w:r>
            <w:r w:rsidR="002778A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ās</w:t>
            </w:r>
            <w:r w:rsidR="00242492"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personas</w:t>
            </w:r>
            <w:r w:rsidR="00E6389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="00242492"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sniedzot Finanšu instrumentu tirgus </w:t>
            </w:r>
            <w:r w:rsidR="002778A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likumā</w:t>
            </w:r>
            <w:r w:rsidR="00242492"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778A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noteikto</w:t>
            </w:r>
            <w:r w:rsidR="00242492"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informāciju</w:t>
            </w:r>
            <w:r w:rsidR="00E6389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="00242492"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ievēro </w:t>
            </w:r>
            <w:r w:rsidR="00242492"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vienotas alternatīvo snieguma rādītāju sniegšanas prasības.</w:t>
            </w:r>
          </w:p>
          <w:p w14:paraId="25F4B812" w14:textId="77777777" w:rsidR="00DB3958" w:rsidRPr="00DB3958" w:rsidRDefault="00DB3958" w:rsidP="00DB395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39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projekts kopumā un tajā ietvertās tiesību normas atbilst samērīguma principam, jo:</w:t>
            </w:r>
          </w:p>
          <w:p w14:paraId="38465D09" w14:textId="77777777" w:rsidR="00DB3958" w:rsidRPr="00DB3958" w:rsidRDefault="00DB3958" w:rsidP="00DB395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39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 pirmkārt, ar noteikumu projektu un tajā ietvertajām prasībām tiek sasniegts leģitīmais mērķis (citu personu tiesību aizsardzība);</w:t>
            </w:r>
          </w:p>
          <w:p w14:paraId="7E6BFB95" w14:textId="77777777" w:rsidR="00DB3958" w:rsidRPr="00DB3958" w:rsidRDefault="00DB3958" w:rsidP="00DB395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39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 otrkārt, nepastāv tādi alternatīvi līdzekļi, kas sasniegtu leģitīmo mērķi tādā pašā kvalitātē;</w:t>
            </w:r>
          </w:p>
          <w:p w14:paraId="0F9F70C1" w14:textId="0F7B6ECA" w:rsidR="00DB3958" w:rsidRPr="00DB3958" w:rsidRDefault="00DB3958" w:rsidP="00DB395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39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 treškārt</w:t>
            </w:r>
            <w:r w:rsidR="00733FC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Pr="00DB395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labums, ko iegūs sabiedrība, būs lielāks par projektā ietverto prasību radītajām negatīvajām sekām.</w:t>
            </w:r>
          </w:p>
          <w:p w14:paraId="69102164" w14:textId="3C27A24D" w:rsidR="005670C7" w:rsidRPr="003611DB" w:rsidRDefault="00856756" w:rsidP="00C015E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Atbilstošākais veids, kā noteikt vienotas prasības, tādējādi nodrošinot tirgus dalībnieku vienotu izpratni un pieeju, ir izdot tirgus dalībniekiem saistošus noteikumus, kuri nosaka</w:t>
            </w:r>
            <w:r w:rsidR="00494737"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8C37F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pienākumu ievērot </w:t>
            </w:r>
            <w:r w:rsidR="00242492"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Eiropas Vērtspapīru un tirgu iestādes 2015.</w:t>
            </w:r>
            <w:r w:rsidR="0068741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242492"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5.</w:t>
            </w:r>
            <w:r w:rsidR="0068741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242492"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oktobra pamatnostād</w:t>
            </w:r>
            <w:r w:rsidR="008C37F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nes</w:t>
            </w:r>
            <w:r w:rsidR="00242492"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Nr.</w:t>
            </w:r>
            <w:r w:rsidR="0068741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242492"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ESMA/2015/1415lv </w:t>
            </w:r>
            <w:r w:rsidR="00D441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 w:rsidR="00242492"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Alternatīvie snieguma rādītāji</w:t>
            </w:r>
            <w:r w:rsidR="00D441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 w:rsidR="0068741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0B4E0A" w:rsidRPr="000B4E0A" w14:paraId="2591F751" w14:textId="77777777" w:rsidTr="00DB29BE">
        <w:trPr>
          <w:trHeight w:val="567"/>
        </w:trPr>
        <w:tc>
          <w:tcPr>
            <w:tcW w:w="1874" w:type="pct"/>
            <w:shd w:val="clear" w:color="auto" w:fill="auto"/>
            <w:hideMark/>
          </w:tcPr>
          <w:p w14:paraId="1FDD520A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Spēkā stāšanās</w:t>
            </w:r>
          </w:p>
          <w:p w14:paraId="08A10714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126" w:type="pct"/>
            <w:shd w:val="clear" w:color="auto" w:fill="auto"/>
          </w:tcPr>
          <w:p w14:paraId="24993BA5" w14:textId="6E3B5D2E" w:rsidR="00CA28AB" w:rsidRPr="003611DB" w:rsidRDefault="00943B84" w:rsidP="002778A8">
            <w:pPr>
              <w:pStyle w:val="Default"/>
              <w:spacing w:after="120"/>
              <w:jc w:val="both"/>
            </w:pPr>
            <w:bookmarkStart w:id="0" w:name="_Hlk146024720"/>
            <w:r w:rsidRPr="003611DB">
              <w:rPr>
                <w:rFonts w:ascii="Times New Roman" w:eastAsia="Times New Roman" w:hAnsi="Times New Roman" w:cs="Times New Roman"/>
                <w:lang w:eastAsia="lv-LV"/>
              </w:rPr>
              <w:t xml:space="preserve">Nākamajā dienā pēc </w:t>
            </w:r>
            <w:r w:rsidR="00733FCC">
              <w:rPr>
                <w:rFonts w:ascii="Times New Roman" w:eastAsia="Times New Roman" w:hAnsi="Times New Roman" w:cs="Times New Roman"/>
                <w:lang w:eastAsia="lv-LV"/>
              </w:rPr>
              <w:t>noteikumu publicēšanas</w:t>
            </w:r>
            <w:r w:rsidR="0068741F">
              <w:rPr>
                <w:rFonts w:ascii="Times New Roman" w:eastAsia="Times New Roman" w:hAnsi="Times New Roman" w:cs="Times New Roman"/>
                <w:lang w:eastAsia="lv-LV"/>
              </w:rPr>
              <w:t xml:space="preserve"> oficiālajā izdevumā "Latvijas Vēstnesis"</w:t>
            </w:r>
            <w:r w:rsidRPr="003611DB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  <w:r w:rsidR="008E7ACA" w:rsidRPr="003611DB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r w:rsidR="008E7ACA" w:rsidRPr="003611DB">
              <w:rPr>
                <w:sz w:val="22"/>
                <w:szCs w:val="22"/>
              </w:rPr>
              <w:t xml:space="preserve"> </w:t>
            </w:r>
            <w:bookmarkEnd w:id="0"/>
          </w:p>
        </w:tc>
      </w:tr>
      <w:tr w:rsidR="000B4E0A" w:rsidRPr="000B4E0A" w14:paraId="12865487" w14:textId="77777777" w:rsidTr="00DB29BE">
        <w:trPr>
          <w:trHeight w:val="567"/>
        </w:trPr>
        <w:tc>
          <w:tcPr>
            <w:tcW w:w="1874" w:type="pct"/>
            <w:shd w:val="clear" w:color="auto" w:fill="auto"/>
            <w:hideMark/>
          </w:tcPr>
          <w:p w14:paraId="6BC9B81D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Ietekme uz Latvijas Bankas budžetu</w:t>
            </w:r>
          </w:p>
          <w:p w14:paraId="34A91AA2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126" w:type="pct"/>
            <w:shd w:val="clear" w:color="auto" w:fill="auto"/>
          </w:tcPr>
          <w:p w14:paraId="566F9A7B" w14:textId="03BD92C6" w:rsidR="00E53DE9" w:rsidRPr="003611DB" w:rsidRDefault="004B27FC" w:rsidP="00C015E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  <w:r w:rsidR="00386E9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0B4E0A" w:rsidRPr="000B4E0A" w14:paraId="6139ED23" w14:textId="77777777" w:rsidTr="00DB29BE">
        <w:trPr>
          <w:trHeight w:val="567"/>
        </w:trPr>
        <w:tc>
          <w:tcPr>
            <w:tcW w:w="1874" w:type="pct"/>
            <w:shd w:val="clear" w:color="auto" w:fill="auto"/>
            <w:hideMark/>
          </w:tcPr>
          <w:p w14:paraId="46656B7A" w14:textId="77777777" w:rsidR="00A42788" w:rsidRPr="00E253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Administratīvā sloga un izmaksu novērtējums </w:t>
            </w:r>
            <w:r w:rsidR="00C85C34"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(</w:t>
            </w: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tirgus dalībniekiem</w:t>
            </w:r>
            <w:r w:rsidR="00C85C34"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)</w:t>
            </w:r>
          </w:p>
          <w:p w14:paraId="3BD8F625" w14:textId="77777777" w:rsidR="00CA28AB" w:rsidRPr="00E253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126" w:type="pct"/>
            <w:shd w:val="clear" w:color="auto" w:fill="auto"/>
          </w:tcPr>
          <w:p w14:paraId="0D67C695" w14:textId="1AB4758C" w:rsidR="00A42788" w:rsidRPr="003611DB" w:rsidRDefault="00A61C66" w:rsidP="00C015E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  <w:r w:rsidR="00386E9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0B4E0A" w:rsidRPr="000B4E0A" w14:paraId="6E581E8B" w14:textId="77777777" w:rsidTr="00DB29BE">
        <w:trPr>
          <w:trHeight w:val="567"/>
        </w:trPr>
        <w:tc>
          <w:tcPr>
            <w:tcW w:w="1874" w:type="pct"/>
            <w:shd w:val="clear" w:color="auto" w:fill="auto"/>
            <w:hideMark/>
          </w:tcPr>
          <w:p w14:paraId="064B3B99" w14:textId="77777777" w:rsidR="00A42788" w:rsidRPr="003611DB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61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Saistītie dokumenti</w:t>
            </w:r>
          </w:p>
          <w:p w14:paraId="0F3A14EE" w14:textId="77777777" w:rsidR="00CA28AB" w:rsidRPr="003611DB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126" w:type="pct"/>
            <w:shd w:val="clear" w:color="auto" w:fill="auto"/>
          </w:tcPr>
          <w:p w14:paraId="6CFDE8D6" w14:textId="27A6C8B0" w:rsidR="0055332D" w:rsidRDefault="00204A15" w:rsidP="00C015E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04A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6E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04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="0055332D" w:rsidRPr="003611DB">
                <w:rPr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Finanšu instrumentu tirgus likums</w:t>
              </w:r>
            </w:hyperlink>
            <w:r w:rsidR="00386E9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2130E586" w14:textId="46646200" w:rsidR="00204A15" w:rsidRDefault="00204A15" w:rsidP="00C015E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  <w:r w:rsidR="00386E9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Noteikumi Nr. 253</w:t>
            </w:r>
            <w:r w:rsidR="00386E9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4241B8B7" w14:textId="3FCC4035" w:rsidR="00E53DE9" w:rsidRPr="003611DB" w:rsidRDefault="00B902AA" w:rsidP="00B902A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="00386E9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B902A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Eiropas Vērtspapīru un tirgu iestādes 2015.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B902A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B902A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oktobra pamatnostād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nes </w:t>
            </w:r>
            <w:r w:rsidRPr="00B902A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Nr.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B902A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ESMA/2015/1415lv </w:t>
            </w:r>
            <w:r w:rsidR="00D441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 w:rsidRPr="00B902A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Alternatīvie snieguma rādītāji</w:t>
            </w:r>
            <w:r w:rsidR="00D4415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0B4E0A" w:rsidRPr="000B4E0A" w14:paraId="4FE0FDA4" w14:textId="77777777" w:rsidTr="00DB29BE">
        <w:trPr>
          <w:trHeight w:val="567"/>
        </w:trPr>
        <w:tc>
          <w:tcPr>
            <w:tcW w:w="1874" w:type="pct"/>
            <w:shd w:val="clear" w:color="auto" w:fill="auto"/>
            <w:hideMark/>
          </w:tcPr>
          <w:p w14:paraId="4598A113" w14:textId="77777777" w:rsidR="00A42788" w:rsidRPr="003611DB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61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 ar Eiropas Centrālo banku</w:t>
            </w:r>
          </w:p>
          <w:p w14:paraId="0B682302" w14:textId="77777777" w:rsidR="00CA28AB" w:rsidRPr="003611DB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126" w:type="pct"/>
            <w:shd w:val="clear" w:color="auto" w:fill="auto"/>
          </w:tcPr>
          <w:p w14:paraId="3513B3AF" w14:textId="14106DFF" w:rsidR="00A42788" w:rsidRPr="003611DB" w:rsidRDefault="00A61C66" w:rsidP="00C015E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611D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  <w:r w:rsidR="00386E9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0B4E0A" w:rsidRPr="005670C7" w14:paraId="69B8778A" w14:textId="77777777" w:rsidTr="00DB29BE">
        <w:trPr>
          <w:trHeight w:val="567"/>
        </w:trPr>
        <w:tc>
          <w:tcPr>
            <w:tcW w:w="1874" w:type="pct"/>
            <w:shd w:val="clear" w:color="auto" w:fill="auto"/>
            <w:hideMark/>
          </w:tcPr>
          <w:p w14:paraId="056F57D8" w14:textId="77777777" w:rsidR="00A42788" w:rsidRPr="003611DB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61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 ar citām publiskām un privātām personām</w:t>
            </w:r>
          </w:p>
          <w:p w14:paraId="1B89B617" w14:textId="77777777" w:rsidR="00CA28AB" w:rsidRPr="003611DB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126" w:type="pct"/>
            <w:shd w:val="clear" w:color="auto" w:fill="auto"/>
          </w:tcPr>
          <w:p w14:paraId="6F4CD67D" w14:textId="61F450BD" w:rsidR="00CB00F0" w:rsidRPr="00CB00F0" w:rsidRDefault="00CB00F0" w:rsidP="00CB00F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B00F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projekts 2024.</w:t>
            </w:r>
            <w:r w:rsidR="002269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CB00F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28.</w:t>
            </w:r>
            <w:r w:rsidR="002269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CB00F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februārī tika publicēts Latvijas Bankas tīmekļvietnes www.bank.lv sadaļas "Tiesību akti" apakšsadaļā "Sabiedrības līdzdalība", un par to līdz 2024.</w:t>
            </w:r>
            <w:r w:rsidR="002269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CB00F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13.</w:t>
            </w:r>
            <w:r w:rsidR="002269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CB00F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martam bija iespējama sabiedrības līdzdalība. </w:t>
            </w:r>
          </w:p>
          <w:p w14:paraId="0D1B41D0" w14:textId="71CD62FB" w:rsidR="00E53DE9" w:rsidRPr="003611DB" w:rsidRDefault="00CB00F0" w:rsidP="00CB00F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B00F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projekts tiks iesniegts izskatīšanai Latvijas Bankas konsultatīvās finanšu tirgus padomes sēdē.</w:t>
            </w:r>
          </w:p>
        </w:tc>
      </w:tr>
      <w:tr w:rsidR="000B4E0A" w:rsidRPr="000B4E0A" w14:paraId="12671EBA" w14:textId="77777777" w:rsidTr="00DB29BE">
        <w:trPr>
          <w:trHeight w:val="567"/>
        </w:trPr>
        <w:tc>
          <w:tcPr>
            <w:tcW w:w="1874" w:type="pct"/>
            <w:shd w:val="clear" w:color="auto" w:fill="auto"/>
            <w:hideMark/>
          </w:tcPr>
          <w:p w14:paraId="64CEE510" w14:textId="77777777" w:rsidR="00A42788" w:rsidRPr="003611DB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61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Saskaņošanas rezultāti</w:t>
            </w:r>
          </w:p>
          <w:p w14:paraId="70368148" w14:textId="77777777" w:rsidR="00CA28AB" w:rsidRPr="003611DB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126" w:type="pct"/>
            <w:shd w:val="clear" w:color="auto" w:fill="auto"/>
          </w:tcPr>
          <w:p w14:paraId="760AABA0" w14:textId="5FCB55B2" w:rsidR="00E53DE9" w:rsidRPr="003611DB" w:rsidRDefault="00105F91" w:rsidP="00F9460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05F9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Priekšlikumi, ierosinājumi vai komentāri no sabiedrības pārstāvjiem un emitentiem netika saņemti.</w:t>
            </w:r>
          </w:p>
        </w:tc>
      </w:tr>
    </w:tbl>
    <w:p w14:paraId="191273F4" w14:textId="77777777" w:rsidR="009B27BE" w:rsidRDefault="009B27BE" w:rsidP="00492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F71BD3" w14:textId="77777777" w:rsidR="00E53DE9" w:rsidRPr="000B4E0A" w:rsidRDefault="00E53DE9" w:rsidP="00492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53DE9" w:rsidRPr="000B4E0A" w:rsidSect="006F7A68">
      <w:headerReference w:type="default" r:id="rId12"/>
      <w:pgSz w:w="11906" w:h="16838" w:code="9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379B7" w14:textId="77777777" w:rsidR="006F7A68" w:rsidRDefault="006F7A68" w:rsidP="009B27BE">
      <w:pPr>
        <w:spacing w:after="0" w:line="240" w:lineRule="auto"/>
      </w:pPr>
      <w:r>
        <w:separator/>
      </w:r>
    </w:p>
  </w:endnote>
  <w:endnote w:type="continuationSeparator" w:id="0">
    <w:p w14:paraId="161DFCBD" w14:textId="77777777" w:rsidR="006F7A68" w:rsidRDefault="006F7A68" w:rsidP="009B2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D09A3" w14:textId="77777777" w:rsidR="006F7A68" w:rsidRDefault="006F7A68" w:rsidP="009B27BE">
      <w:pPr>
        <w:spacing w:after="0" w:line="240" w:lineRule="auto"/>
      </w:pPr>
      <w:r>
        <w:separator/>
      </w:r>
    </w:p>
  </w:footnote>
  <w:footnote w:type="continuationSeparator" w:id="0">
    <w:p w14:paraId="4DD1BB60" w14:textId="77777777" w:rsidR="006F7A68" w:rsidRDefault="006F7A68" w:rsidP="009B2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3890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2A95D45" w14:textId="77777777" w:rsidR="007E313B" w:rsidRPr="007E313B" w:rsidRDefault="007E313B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E313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E313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E313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7E313B">
          <w:rPr>
            <w:rFonts w:ascii="Times New Roman" w:hAnsi="Times New Roman" w:cs="Times New Roman"/>
            <w:sz w:val="20"/>
            <w:szCs w:val="20"/>
          </w:rPr>
          <w:t>2</w:t>
        </w:r>
        <w:r w:rsidRPr="007E313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66BC250" w14:textId="77777777" w:rsidR="007E313B" w:rsidRDefault="007E31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DA5A80"/>
    <w:multiLevelType w:val="hybridMultilevel"/>
    <w:tmpl w:val="D282640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5184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7FC"/>
    <w:rsid w:val="00002605"/>
    <w:rsid w:val="000250FB"/>
    <w:rsid w:val="000263F5"/>
    <w:rsid w:val="00054497"/>
    <w:rsid w:val="000804F8"/>
    <w:rsid w:val="0008510E"/>
    <w:rsid w:val="0009616F"/>
    <w:rsid w:val="000A2EBB"/>
    <w:rsid w:val="000B4E0A"/>
    <w:rsid w:val="000F5379"/>
    <w:rsid w:val="00105F91"/>
    <w:rsid w:val="00122480"/>
    <w:rsid w:val="00132070"/>
    <w:rsid w:val="00133F6A"/>
    <w:rsid w:val="00143A48"/>
    <w:rsid w:val="00173316"/>
    <w:rsid w:val="00183604"/>
    <w:rsid w:val="001A5171"/>
    <w:rsid w:val="001C4C4E"/>
    <w:rsid w:val="001D5F61"/>
    <w:rsid w:val="002006AE"/>
    <w:rsid w:val="00204A15"/>
    <w:rsid w:val="00220B72"/>
    <w:rsid w:val="002269C1"/>
    <w:rsid w:val="00237F5E"/>
    <w:rsid w:val="00242492"/>
    <w:rsid w:val="002778A8"/>
    <w:rsid w:val="002C576C"/>
    <w:rsid w:val="002C7C4D"/>
    <w:rsid w:val="002D4686"/>
    <w:rsid w:val="00311AC6"/>
    <w:rsid w:val="00320602"/>
    <w:rsid w:val="00331220"/>
    <w:rsid w:val="00334282"/>
    <w:rsid w:val="003344C2"/>
    <w:rsid w:val="003611DB"/>
    <w:rsid w:val="00386E91"/>
    <w:rsid w:val="003A4940"/>
    <w:rsid w:val="003B481B"/>
    <w:rsid w:val="003D348B"/>
    <w:rsid w:val="003F1406"/>
    <w:rsid w:val="0049248A"/>
    <w:rsid w:val="00494737"/>
    <w:rsid w:val="004B27FC"/>
    <w:rsid w:val="00520634"/>
    <w:rsid w:val="0055332D"/>
    <w:rsid w:val="005670C7"/>
    <w:rsid w:val="005A066E"/>
    <w:rsid w:val="005A5EBF"/>
    <w:rsid w:val="005B3E28"/>
    <w:rsid w:val="005B5BAA"/>
    <w:rsid w:val="005F4CF6"/>
    <w:rsid w:val="0060016E"/>
    <w:rsid w:val="00610C07"/>
    <w:rsid w:val="00614629"/>
    <w:rsid w:val="00631028"/>
    <w:rsid w:val="00642172"/>
    <w:rsid w:val="0066188D"/>
    <w:rsid w:val="00667FAF"/>
    <w:rsid w:val="0068741F"/>
    <w:rsid w:val="006E2031"/>
    <w:rsid w:val="006F7A68"/>
    <w:rsid w:val="00733FCC"/>
    <w:rsid w:val="00756820"/>
    <w:rsid w:val="00762371"/>
    <w:rsid w:val="00774265"/>
    <w:rsid w:val="0077576E"/>
    <w:rsid w:val="00777CDF"/>
    <w:rsid w:val="00780EA5"/>
    <w:rsid w:val="00783727"/>
    <w:rsid w:val="00790CDB"/>
    <w:rsid w:val="007A47CA"/>
    <w:rsid w:val="007A6267"/>
    <w:rsid w:val="007B6763"/>
    <w:rsid w:val="007E313B"/>
    <w:rsid w:val="0084203B"/>
    <w:rsid w:val="00856756"/>
    <w:rsid w:val="00861ABD"/>
    <w:rsid w:val="00874469"/>
    <w:rsid w:val="0088444E"/>
    <w:rsid w:val="008C37FC"/>
    <w:rsid w:val="008E7ACA"/>
    <w:rsid w:val="00920831"/>
    <w:rsid w:val="00943B84"/>
    <w:rsid w:val="00944A05"/>
    <w:rsid w:val="009A2F99"/>
    <w:rsid w:val="009B27BE"/>
    <w:rsid w:val="009C25A0"/>
    <w:rsid w:val="009D69BC"/>
    <w:rsid w:val="00A0418B"/>
    <w:rsid w:val="00A3121C"/>
    <w:rsid w:val="00A42788"/>
    <w:rsid w:val="00A61C66"/>
    <w:rsid w:val="00A8742F"/>
    <w:rsid w:val="00AA1981"/>
    <w:rsid w:val="00AC292E"/>
    <w:rsid w:val="00B239A5"/>
    <w:rsid w:val="00B62244"/>
    <w:rsid w:val="00B902AA"/>
    <w:rsid w:val="00B95DAB"/>
    <w:rsid w:val="00BB3E96"/>
    <w:rsid w:val="00BC3552"/>
    <w:rsid w:val="00BC6039"/>
    <w:rsid w:val="00C015EE"/>
    <w:rsid w:val="00C039F7"/>
    <w:rsid w:val="00C173D5"/>
    <w:rsid w:val="00C17930"/>
    <w:rsid w:val="00C45806"/>
    <w:rsid w:val="00C4724B"/>
    <w:rsid w:val="00C8367E"/>
    <w:rsid w:val="00C85C34"/>
    <w:rsid w:val="00C91FE7"/>
    <w:rsid w:val="00C978E9"/>
    <w:rsid w:val="00CA28AB"/>
    <w:rsid w:val="00CB00F0"/>
    <w:rsid w:val="00CE16C4"/>
    <w:rsid w:val="00D15599"/>
    <w:rsid w:val="00D17D5D"/>
    <w:rsid w:val="00D26B78"/>
    <w:rsid w:val="00D4415B"/>
    <w:rsid w:val="00D508D3"/>
    <w:rsid w:val="00DA006F"/>
    <w:rsid w:val="00DA45D9"/>
    <w:rsid w:val="00DA57BD"/>
    <w:rsid w:val="00DB29BE"/>
    <w:rsid w:val="00DB3958"/>
    <w:rsid w:val="00DB5953"/>
    <w:rsid w:val="00DF50F2"/>
    <w:rsid w:val="00DF5FC0"/>
    <w:rsid w:val="00E0094D"/>
    <w:rsid w:val="00E04474"/>
    <w:rsid w:val="00E24469"/>
    <w:rsid w:val="00E253DA"/>
    <w:rsid w:val="00E53DE9"/>
    <w:rsid w:val="00E60064"/>
    <w:rsid w:val="00E63890"/>
    <w:rsid w:val="00EB261C"/>
    <w:rsid w:val="00EB6BF6"/>
    <w:rsid w:val="00EF330D"/>
    <w:rsid w:val="00F337C4"/>
    <w:rsid w:val="00F74741"/>
    <w:rsid w:val="00F7627C"/>
    <w:rsid w:val="00F94605"/>
    <w:rsid w:val="00FA3812"/>
    <w:rsid w:val="00FA4B34"/>
    <w:rsid w:val="00FA4B91"/>
    <w:rsid w:val="00FB0E9C"/>
    <w:rsid w:val="00FD05B2"/>
    <w:rsid w:val="00FD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CBC0F1"/>
  <w15:chartTrackingRefBased/>
  <w15:docId w15:val="{D0C662D1-FCD3-4AE9-A7D2-22840D953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D69B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69B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D69B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E3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313B"/>
  </w:style>
  <w:style w:type="paragraph" w:styleId="Footer">
    <w:name w:val="footer"/>
    <w:basedOn w:val="Normal"/>
    <w:link w:val="FooterChar"/>
    <w:uiPriority w:val="99"/>
    <w:unhideWhenUsed/>
    <w:rsid w:val="007E3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313B"/>
  </w:style>
  <w:style w:type="paragraph" w:styleId="Revision">
    <w:name w:val="Revision"/>
    <w:hidden/>
    <w:uiPriority w:val="99"/>
    <w:semiHidden/>
    <w:rsid w:val="00861AB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61A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61A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61A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1A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1AB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5332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5332D"/>
    <w:pPr>
      <w:ind w:left="720"/>
      <w:contextualSpacing/>
    </w:pPr>
  </w:style>
  <w:style w:type="paragraph" w:customStyle="1" w:styleId="Default">
    <w:name w:val="Default"/>
    <w:rsid w:val="008E7AC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04A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ikumi.lv/ta/id/81995-finansu-instrumentu-tirgus-likums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053541E1AFE9DF4983746D949E3FD634" ma:contentTypeVersion="1" ma:contentTypeDescription="Izveidot jaunu dokumentu." ma:contentTypeScope="" ma:versionID="be031df6de0d6d2bc3bcaab97a2398e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3dbecf5d7db408d19abbd440ff5617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ākuma datuma plānošan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Beigu datuma plānošan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DF1749C-DC95-4F12-8C92-9DD9664146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137E8C-5B59-4BC4-B7A2-F07207A077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979904-0F63-4506-91C9-580672D256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4F12AF-0498-425C-B57A-1096A614A4E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2615</Words>
  <Characters>1492</Characters>
  <Application>Microsoft Office Word</Application>
  <DocSecurity>0</DocSecurity>
  <Lines>12</Lines>
  <Paragraphs>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Liene Bergholde</dc:creator>
  <cp:keywords/>
  <dc:description/>
  <cp:lastModifiedBy>Ilze Grava</cp:lastModifiedBy>
  <cp:revision>3</cp:revision>
  <dcterms:created xsi:type="dcterms:W3CDTF">2024-04-12T06:00:00Z</dcterms:created>
  <dcterms:modified xsi:type="dcterms:W3CDTF">2024-04-12T06:51:00Z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0x010100053541E1AFE9DF4983746D949E3FD634</vt:lpwstr>
  </property>
</Properties>
</file>