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DB123" w14:textId="585CA7C4" w:rsidR="006C3828" w:rsidRPr="00894D21" w:rsidRDefault="006C3828" w:rsidP="00894D21">
      <w:pPr>
        <w:spacing w:after="0" w:line="240" w:lineRule="auto"/>
        <w:jc w:val="center"/>
        <w:rPr>
          <w:rFonts w:ascii="Times New Roman" w:hAnsi="Times New Roman" w:cs="Times New Roman"/>
          <w:b/>
          <w:bCs/>
          <w:sz w:val="24"/>
          <w:szCs w:val="24"/>
        </w:rPr>
      </w:pPr>
      <w:r w:rsidRPr="00894D21">
        <w:rPr>
          <w:rFonts w:ascii="Times New Roman" w:hAnsi="Times New Roman" w:cs="Times New Roman"/>
          <w:b/>
          <w:bCs/>
          <w:sz w:val="24"/>
          <w:szCs w:val="24"/>
        </w:rPr>
        <w:t>Latvijas Bankas noteikumu projekta "</w:t>
      </w:r>
      <w:r w:rsidR="006D2A84" w:rsidRPr="00894D21">
        <w:rPr>
          <w:rFonts w:ascii="Times New Roman" w:hAnsi="Times New Roman" w:cs="Times New Roman"/>
          <w:b/>
          <w:bCs/>
          <w:sz w:val="24"/>
          <w:szCs w:val="24"/>
        </w:rPr>
        <w:t>Uzraudzības pārskatu sagatavošanas un iesniegšanas noteikumi</w:t>
      </w:r>
      <w:r w:rsidRPr="00894D21">
        <w:rPr>
          <w:rFonts w:ascii="Times New Roman" w:hAnsi="Times New Roman" w:cs="Times New Roman"/>
          <w:b/>
          <w:bCs/>
          <w:sz w:val="24"/>
          <w:szCs w:val="24"/>
        </w:rPr>
        <w:t>" anotācija</w:t>
      </w:r>
    </w:p>
    <w:p w14:paraId="328163FB" w14:textId="77777777" w:rsidR="006C3828" w:rsidRPr="00894D21" w:rsidRDefault="006C3828" w:rsidP="00AD0DA2">
      <w:pPr>
        <w:spacing w:after="0" w:line="240" w:lineRule="auto"/>
        <w:rPr>
          <w:rFonts w:ascii="Times New Roman" w:hAnsi="Times New Roman" w:cs="Times New Roman"/>
          <w:sz w:val="24"/>
          <w:szCs w:val="24"/>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7220"/>
      </w:tblGrid>
      <w:tr w:rsidR="006C3828" w:rsidRPr="00894D21" w14:paraId="2962AEE1" w14:textId="77777777">
        <w:trPr>
          <w:trHeight w:val="567"/>
        </w:trPr>
        <w:tc>
          <w:tcPr>
            <w:tcW w:w="987" w:type="pct"/>
            <w:shd w:val="clear" w:color="auto" w:fill="auto"/>
            <w:hideMark/>
          </w:tcPr>
          <w:p w14:paraId="28E56CFA"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Nosaukums</w:t>
            </w:r>
          </w:p>
          <w:p w14:paraId="04926FAB"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00D2931F" w14:textId="00DD0989" w:rsidR="006C3828" w:rsidRPr="00894D21" w:rsidRDefault="00DA7B63"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Uzraudzības pārskatu sagatavošanas un iesniegšanas noteikumi</w:t>
            </w:r>
          </w:p>
        </w:tc>
      </w:tr>
      <w:tr w:rsidR="006C3828" w:rsidRPr="00894D21" w14:paraId="7F11A741" w14:textId="77777777">
        <w:trPr>
          <w:trHeight w:val="395"/>
        </w:trPr>
        <w:tc>
          <w:tcPr>
            <w:tcW w:w="987" w:type="pct"/>
            <w:shd w:val="clear" w:color="auto" w:fill="auto"/>
            <w:hideMark/>
          </w:tcPr>
          <w:p w14:paraId="49DBC46E"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Dokumenta veids</w:t>
            </w:r>
          </w:p>
          <w:p w14:paraId="0F0B9B6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4B5460C8" w14:textId="77777777"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Latvijas Bankas noteikumi</w:t>
            </w:r>
          </w:p>
        </w:tc>
      </w:tr>
      <w:tr w:rsidR="006C3828" w:rsidRPr="00894D21" w14:paraId="11B9F009" w14:textId="77777777">
        <w:trPr>
          <w:trHeight w:val="567"/>
        </w:trPr>
        <w:tc>
          <w:tcPr>
            <w:tcW w:w="987" w:type="pct"/>
            <w:shd w:val="clear" w:color="auto" w:fill="auto"/>
            <w:hideMark/>
          </w:tcPr>
          <w:p w14:paraId="634A573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 xml:space="preserve">Izdošanas pamatojums </w:t>
            </w:r>
          </w:p>
          <w:p w14:paraId="360069FD"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48EEF1AA" w14:textId="08DE8839" w:rsidR="006C3828" w:rsidRPr="00894D21" w:rsidRDefault="0083648E"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Kredītiestāžu likuma 6.</w:t>
            </w:r>
            <w:r w:rsidR="002134DD"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panta piektā daļa</w:t>
            </w:r>
            <w:r w:rsidR="00FB0F1F" w:rsidRPr="00894D21">
              <w:rPr>
                <w:rFonts w:ascii="Times New Roman" w:eastAsia="Times New Roman" w:hAnsi="Times New Roman" w:cs="Times New Roman"/>
                <w:sz w:val="24"/>
                <w:szCs w:val="24"/>
                <w:lang w:eastAsia="lv-LV"/>
              </w:rPr>
              <w:t>, 43. panta trešā daļa</w:t>
            </w:r>
            <w:r w:rsidRPr="00894D21">
              <w:rPr>
                <w:rFonts w:ascii="Times New Roman" w:eastAsia="Times New Roman" w:hAnsi="Times New Roman" w:cs="Times New Roman"/>
                <w:sz w:val="24"/>
                <w:szCs w:val="24"/>
                <w:lang w:eastAsia="lv-LV"/>
              </w:rPr>
              <w:t xml:space="preserve"> un 50.</w:t>
            </w:r>
            <w:r w:rsidR="002134DD"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panta</w:t>
            </w:r>
            <w:r w:rsidR="001D15F6" w:rsidRPr="00894D21">
              <w:rPr>
                <w:rFonts w:ascii="Times New Roman" w:eastAsia="Times New Roman" w:hAnsi="Times New Roman" w:cs="Times New Roman"/>
                <w:sz w:val="24"/>
                <w:szCs w:val="24"/>
                <w:lang w:eastAsia="lv-LV"/>
              </w:rPr>
              <w:t xml:space="preserve"> otrā un</w:t>
            </w:r>
            <w:r w:rsidRPr="00894D21">
              <w:rPr>
                <w:rFonts w:ascii="Times New Roman" w:eastAsia="Times New Roman" w:hAnsi="Times New Roman" w:cs="Times New Roman"/>
                <w:sz w:val="24"/>
                <w:szCs w:val="24"/>
                <w:lang w:eastAsia="lv-LV"/>
              </w:rPr>
              <w:t xml:space="preserve"> trešā daļa, Latvijas Bankas likuma 63.</w:t>
            </w:r>
            <w:r w:rsidR="00882736"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panta otrā daļa un 68.</w:t>
            </w:r>
            <w:r w:rsidR="00882736"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panta trešā daļa</w:t>
            </w:r>
          </w:p>
        </w:tc>
      </w:tr>
      <w:tr w:rsidR="006C3828" w:rsidRPr="00894D21" w14:paraId="26D3F596" w14:textId="77777777">
        <w:trPr>
          <w:trHeight w:val="567"/>
        </w:trPr>
        <w:tc>
          <w:tcPr>
            <w:tcW w:w="987" w:type="pct"/>
            <w:shd w:val="clear" w:color="auto" w:fill="auto"/>
            <w:hideMark/>
          </w:tcPr>
          <w:p w14:paraId="253A449D"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Mērķis un būtība</w:t>
            </w:r>
          </w:p>
          <w:p w14:paraId="47670F7B"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p w14:paraId="57C9B05B"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1470A3BB" w14:textId="605B2DFE" w:rsidR="00896DBD" w:rsidRPr="00894D21" w:rsidRDefault="00896DBD" w:rsidP="00D53AC5">
            <w:pPr>
              <w:spacing w:after="120" w:line="240" w:lineRule="auto"/>
              <w:jc w:val="both"/>
              <w:rPr>
                <w:rFonts w:ascii="Times New Roman" w:hAnsi="Times New Roman" w:cs="Times New Roman"/>
                <w:sz w:val="24"/>
                <w:szCs w:val="24"/>
              </w:rPr>
            </w:pPr>
            <w:r w:rsidRPr="00894D21">
              <w:rPr>
                <w:rFonts w:ascii="Times New Roman" w:hAnsi="Times New Roman" w:cs="Times New Roman"/>
                <w:sz w:val="24"/>
                <w:szCs w:val="24"/>
              </w:rPr>
              <w:t>Saskaņā ar Latvijas Bankas likuma pārejas noteikumu 3.</w:t>
            </w:r>
            <w:r w:rsidR="00882736" w:rsidRPr="00894D21">
              <w:rPr>
                <w:rFonts w:ascii="Times New Roman" w:hAnsi="Times New Roman" w:cs="Times New Roman"/>
                <w:sz w:val="24"/>
                <w:szCs w:val="24"/>
              </w:rPr>
              <w:t> </w:t>
            </w:r>
            <w:r w:rsidRPr="00894D21">
              <w:rPr>
                <w:rFonts w:ascii="Times New Roman" w:hAnsi="Times New Roman" w:cs="Times New Roman"/>
                <w:sz w:val="24"/>
                <w:szCs w:val="24"/>
              </w:rPr>
              <w:t>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882736" w:rsidRPr="00894D21">
              <w:rPr>
                <w:rFonts w:ascii="Times New Roman" w:hAnsi="Times New Roman" w:cs="Times New Roman"/>
                <w:sz w:val="24"/>
                <w:szCs w:val="24"/>
              </w:rPr>
              <w:t> </w:t>
            </w:r>
            <w:r w:rsidRPr="00894D21">
              <w:rPr>
                <w:rFonts w:ascii="Times New Roman" w:hAnsi="Times New Roman" w:cs="Times New Roman"/>
                <w:sz w:val="24"/>
                <w:szCs w:val="24"/>
              </w:rPr>
              <w:t>gada 31.</w:t>
            </w:r>
            <w:r w:rsidR="00882736" w:rsidRPr="00894D21">
              <w:rPr>
                <w:rFonts w:ascii="Times New Roman" w:hAnsi="Times New Roman" w:cs="Times New Roman"/>
                <w:sz w:val="24"/>
                <w:szCs w:val="24"/>
              </w:rPr>
              <w:t> </w:t>
            </w:r>
            <w:r w:rsidRPr="00894D21">
              <w:rPr>
                <w:rFonts w:ascii="Times New Roman" w:hAnsi="Times New Roman" w:cs="Times New Roman"/>
                <w:sz w:val="24"/>
                <w:szCs w:val="24"/>
              </w:rPr>
              <w:t>decembrim.</w:t>
            </w:r>
          </w:p>
          <w:p w14:paraId="1D6754F4" w14:textId="3B787DF0" w:rsidR="006A2A11" w:rsidRPr="00894D21" w:rsidRDefault="00896DBD" w:rsidP="00D53AC5">
            <w:pPr>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t>Ņemot vērā minēto, Latvijas Banka ir izstrādājusi noteikumu projektu "</w:t>
            </w:r>
            <w:r w:rsidR="00830C70" w:rsidRPr="00894D21">
              <w:rPr>
                <w:rFonts w:ascii="Times New Roman" w:eastAsia="Times New Roman" w:hAnsi="Times New Roman" w:cs="Times New Roman"/>
                <w:sz w:val="24"/>
                <w:szCs w:val="24"/>
                <w:lang w:eastAsia="lv-LV"/>
              </w:rPr>
              <w:t>Uzraudzības pārskatu sagatavošanas un iesniegšanas noteikumi</w:t>
            </w:r>
            <w:r w:rsidRPr="00894D21">
              <w:rPr>
                <w:rFonts w:ascii="Times New Roman" w:hAnsi="Times New Roman" w:cs="Times New Roman"/>
                <w:sz w:val="24"/>
                <w:szCs w:val="24"/>
              </w:rPr>
              <w:t>" (turpmāk</w:t>
            </w:r>
            <w:r w:rsidR="00882736" w:rsidRPr="00894D21">
              <w:rPr>
                <w:rFonts w:ascii="Times New Roman" w:hAnsi="Times New Roman" w:cs="Times New Roman"/>
                <w:sz w:val="24"/>
                <w:szCs w:val="24"/>
              </w:rPr>
              <w:t> </w:t>
            </w:r>
            <w:r w:rsidRPr="00894D21">
              <w:rPr>
                <w:rFonts w:ascii="Times New Roman" w:hAnsi="Times New Roman" w:cs="Times New Roman"/>
                <w:sz w:val="24"/>
                <w:szCs w:val="24"/>
              </w:rPr>
              <w:t>– noteikumu projekts), kas</w:t>
            </w:r>
            <w:r w:rsidR="00591CBF" w:rsidRPr="00894D21">
              <w:rPr>
                <w:rFonts w:ascii="Times New Roman" w:hAnsi="Times New Roman" w:cs="Times New Roman"/>
                <w:sz w:val="24"/>
                <w:szCs w:val="24"/>
              </w:rPr>
              <w:t xml:space="preserve"> apvienos un</w:t>
            </w:r>
            <w:r w:rsidRPr="00894D21">
              <w:rPr>
                <w:rFonts w:ascii="Times New Roman" w:hAnsi="Times New Roman" w:cs="Times New Roman"/>
                <w:sz w:val="24"/>
                <w:szCs w:val="24"/>
              </w:rPr>
              <w:t xml:space="preserve"> aizstās</w:t>
            </w:r>
            <w:r w:rsidR="006A2A11" w:rsidRPr="00894D21">
              <w:rPr>
                <w:rFonts w:ascii="Times New Roman" w:hAnsi="Times New Roman" w:cs="Times New Roman"/>
                <w:sz w:val="24"/>
                <w:szCs w:val="24"/>
              </w:rPr>
              <w:t xml:space="preserve"> šādus</w:t>
            </w:r>
            <w:r w:rsidRPr="00894D21">
              <w:rPr>
                <w:rFonts w:ascii="Times New Roman" w:hAnsi="Times New Roman" w:cs="Times New Roman"/>
                <w:sz w:val="24"/>
                <w:szCs w:val="24"/>
              </w:rPr>
              <w:t xml:space="preserve"> pašlaik spēkā esošos Finanšu un kapitāla tirgus komisijas </w:t>
            </w:r>
            <w:r w:rsidR="00591CBF" w:rsidRPr="00894D21">
              <w:rPr>
                <w:rFonts w:ascii="Times New Roman" w:hAnsi="Times New Roman" w:cs="Times New Roman"/>
                <w:sz w:val="24"/>
                <w:szCs w:val="24"/>
              </w:rPr>
              <w:t>normatīvos noteikumus</w:t>
            </w:r>
            <w:r w:rsidR="006A2A11" w:rsidRPr="00894D21">
              <w:rPr>
                <w:rFonts w:ascii="Times New Roman" w:hAnsi="Times New Roman" w:cs="Times New Roman"/>
                <w:sz w:val="24"/>
                <w:szCs w:val="24"/>
              </w:rPr>
              <w:t>:</w:t>
            </w:r>
          </w:p>
          <w:p w14:paraId="52560828" w14:textId="4DFD481C" w:rsidR="006A2A11" w:rsidRPr="00894D21" w:rsidRDefault="003A1DB0" w:rsidP="00D53AC5">
            <w:pPr>
              <w:pStyle w:val="ListParagraph"/>
              <w:numPr>
                <w:ilvl w:val="0"/>
                <w:numId w:val="4"/>
              </w:numPr>
              <w:spacing w:line="240" w:lineRule="auto"/>
              <w:jc w:val="both"/>
              <w:rPr>
                <w:rFonts w:ascii="Times New Roman" w:hAnsi="Times New Roman" w:cs="Times New Roman"/>
                <w:sz w:val="24"/>
                <w:szCs w:val="24"/>
              </w:rPr>
            </w:pPr>
            <w:r w:rsidRPr="00894D21">
              <w:rPr>
                <w:rFonts w:ascii="Times New Roman" w:hAnsi="Times New Roman" w:cs="Times New Roman"/>
                <w:sz w:val="24"/>
                <w:szCs w:val="24"/>
              </w:rPr>
              <w:t>2020.</w:t>
            </w:r>
            <w:r w:rsidR="00882736" w:rsidRPr="00894D21">
              <w:rPr>
                <w:rFonts w:ascii="Times New Roman" w:hAnsi="Times New Roman" w:cs="Times New Roman"/>
                <w:sz w:val="24"/>
                <w:szCs w:val="24"/>
              </w:rPr>
              <w:t> </w:t>
            </w:r>
            <w:r w:rsidRPr="00894D21">
              <w:rPr>
                <w:rFonts w:ascii="Times New Roman" w:hAnsi="Times New Roman" w:cs="Times New Roman"/>
                <w:sz w:val="24"/>
                <w:szCs w:val="24"/>
              </w:rPr>
              <w:t>gada 27.</w:t>
            </w:r>
            <w:r w:rsidR="00882736" w:rsidRPr="00894D21">
              <w:rPr>
                <w:rFonts w:ascii="Times New Roman" w:hAnsi="Times New Roman" w:cs="Times New Roman"/>
                <w:sz w:val="24"/>
                <w:szCs w:val="24"/>
              </w:rPr>
              <w:t> </w:t>
            </w:r>
            <w:r w:rsidRPr="00894D21">
              <w:rPr>
                <w:rFonts w:ascii="Times New Roman" w:hAnsi="Times New Roman" w:cs="Times New Roman"/>
                <w:sz w:val="24"/>
                <w:szCs w:val="24"/>
              </w:rPr>
              <w:t>oktobra</w:t>
            </w:r>
            <w:r w:rsidRPr="00D53AC5">
              <w:rPr>
                <w:rFonts w:ascii="Times New Roman" w:hAnsi="Times New Roman" w:cs="Times New Roman"/>
                <w:color w:val="414142"/>
                <w:sz w:val="20"/>
                <w:szCs w:val="20"/>
                <w:shd w:val="clear" w:color="auto" w:fill="FFFFFF"/>
              </w:rPr>
              <w:t xml:space="preserve"> </w:t>
            </w:r>
            <w:r w:rsidR="0048525E" w:rsidRPr="00894D21">
              <w:rPr>
                <w:rFonts w:ascii="Times New Roman" w:hAnsi="Times New Roman" w:cs="Times New Roman"/>
                <w:sz w:val="24"/>
                <w:szCs w:val="24"/>
              </w:rPr>
              <w:t xml:space="preserve">normatīvos noteikumus </w:t>
            </w:r>
            <w:r w:rsidR="002E6B3F" w:rsidRPr="00894D21">
              <w:rPr>
                <w:rFonts w:ascii="Times New Roman" w:hAnsi="Times New Roman" w:cs="Times New Roman"/>
                <w:sz w:val="24"/>
                <w:szCs w:val="24"/>
              </w:rPr>
              <w:t>Nr.</w:t>
            </w:r>
            <w:r w:rsidR="00500796" w:rsidRPr="00894D21">
              <w:rPr>
                <w:rFonts w:ascii="Times New Roman" w:hAnsi="Times New Roman" w:cs="Times New Roman"/>
                <w:sz w:val="24"/>
                <w:szCs w:val="24"/>
              </w:rPr>
              <w:t> </w:t>
            </w:r>
            <w:r w:rsidR="002E6B3F" w:rsidRPr="00894D21">
              <w:rPr>
                <w:rFonts w:ascii="Times New Roman" w:hAnsi="Times New Roman" w:cs="Times New Roman"/>
                <w:sz w:val="24"/>
                <w:szCs w:val="24"/>
              </w:rPr>
              <w:t>203 "Uzraudzības finanšu pārskatu sagatavošanas normatīvie noteikumi"</w:t>
            </w:r>
            <w:r w:rsidR="00FA5CD3" w:rsidRPr="00894D21">
              <w:rPr>
                <w:rFonts w:ascii="Times New Roman" w:hAnsi="Times New Roman" w:cs="Times New Roman"/>
                <w:sz w:val="24"/>
                <w:szCs w:val="24"/>
              </w:rPr>
              <w:t>;</w:t>
            </w:r>
            <w:r w:rsidR="002E6B3F" w:rsidRPr="00894D21">
              <w:rPr>
                <w:rFonts w:ascii="Times New Roman" w:hAnsi="Times New Roman" w:cs="Times New Roman"/>
                <w:sz w:val="24"/>
                <w:szCs w:val="24"/>
              </w:rPr>
              <w:t xml:space="preserve"> </w:t>
            </w:r>
          </w:p>
          <w:p w14:paraId="3B92AA96" w14:textId="7FC76E69" w:rsidR="0048525E" w:rsidRPr="00894D21" w:rsidRDefault="0048525E" w:rsidP="00D53AC5">
            <w:pPr>
              <w:pStyle w:val="ListParagraph"/>
              <w:numPr>
                <w:ilvl w:val="0"/>
                <w:numId w:val="4"/>
              </w:numPr>
              <w:spacing w:line="240" w:lineRule="auto"/>
              <w:jc w:val="both"/>
              <w:rPr>
                <w:rFonts w:ascii="Times New Roman" w:hAnsi="Times New Roman" w:cs="Times New Roman"/>
                <w:sz w:val="24"/>
                <w:szCs w:val="24"/>
              </w:rPr>
            </w:pPr>
            <w:r w:rsidRPr="00894D21">
              <w:rPr>
                <w:rFonts w:ascii="Times New Roman" w:hAnsi="Times New Roman" w:cs="Times New Roman"/>
                <w:sz w:val="24"/>
                <w:szCs w:val="24"/>
              </w:rPr>
              <w:t>2020. gada 1. septembra normatīvos noteikumus Nr. 141 "Informācijas par operacionālā riska notikumu iestāšanās gadījumiem sagatavošanas un iesniegšanas normatīvie noteikumi"</w:t>
            </w:r>
            <w:r w:rsidR="00FA5CD3" w:rsidRPr="00894D21">
              <w:rPr>
                <w:rFonts w:ascii="Times New Roman" w:hAnsi="Times New Roman" w:cs="Times New Roman"/>
                <w:sz w:val="24"/>
                <w:szCs w:val="24"/>
              </w:rPr>
              <w:t>;</w:t>
            </w:r>
            <w:r w:rsidRPr="00894D21">
              <w:rPr>
                <w:rFonts w:ascii="Times New Roman" w:hAnsi="Times New Roman" w:cs="Times New Roman"/>
                <w:sz w:val="24"/>
                <w:szCs w:val="24"/>
              </w:rPr>
              <w:t xml:space="preserve"> </w:t>
            </w:r>
          </w:p>
          <w:p w14:paraId="35B9F2C3" w14:textId="0545AEFD" w:rsidR="0048525E" w:rsidRPr="00894D21" w:rsidRDefault="0048525E" w:rsidP="00D53AC5">
            <w:pPr>
              <w:pStyle w:val="ListParagraph"/>
              <w:numPr>
                <w:ilvl w:val="0"/>
                <w:numId w:val="4"/>
              </w:numPr>
              <w:spacing w:line="240" w:lineRule="auto"/>
              <w:jc w:val="both"/>
              <w:rPr>
                <w:rFonts w:ascii="Times New Roman" w:hAnsi="Times New Roman" w:cs="Times New Roman"/>
                <w:sz w:val="24"/>
                <w:szCs w:val="24"/>
              </w:rPr>
            </w:pPr>
            <w:r w:rsidRPr="00894D21">
              <w:rPr>
                <w:rFonts w:ascii="Times New Roman" w:hAnsi="Times New Roman" w:cs="Times New Roman"/>
                <w:sz w:val="24"/>
                <w:szCs w:val="24"/>
              </w:rPr>
              <w:t>2020. gada 8. decembra normatīvos noteikumus Nr. 233 "Pārskatu par kredītiestāžu finansēšanas plāniem normatīvie noteikumi"</w:t>
            </w:r>
            <w:r w:rsidR="00FA5CD3" w:rsidRPr="00894D21">
              <w:rPr>
                <w:rFonts w:ascii="Times New Roman" w:hAnsi="Times New Roman" w:cs="Times New Roman"/>
                <w:sz w:val="24"/>
                <w:szCs w:val="24"/>
              </w:rPr>
              <w:t>;</w:t>
            </w:r>
          </w:p>
          <w:p w14:paraId="45A8F67A" w14:textId="763D8111" w:rsidR="006A2A11" w:rsidRPr="00894D21" w:rsidRDefault="002E6B3F" w:rsidP="00D53AC5">
            <w:pPr>
              <w:pStyle w:val="ListParagraph"/>
              <w:numPr>
                <w:ilvl w:val="0"/>
                <w:numId w:val="4"/>
              </w:numPr>
              <w:spacing w:line="240" w:lineRule="auto"/>
              <w:jc w:val="both"/>
              <w:rPr>
                <w:rFonts w:ascii="Times New Roman" w:hAnsi="Times New Roman" w:cs="Times New Roman"/>
                <w:sz w:val="24"/>
                <w:szCs w:val="24"/>
              </w:rPr>
            </w:pPr>
            <w:r w:rsidRPr="00894D21">
              <w:rPr>
                <w:rFonts w:ascii="Times New Roman" w:hAnsi="Times New Roman" w:cs="Times New Roman"/>
                <w:sz w:val="24"/>
                <w:szCs w:val="24"/>
              </w:rPr>
              <w:t>2022.</w:t>
            </w:r>
            <w:r w:rsidR="00500796" w:rsidRPr="00894D21">
              <w:rPr>
                <w:rFonts w:ascii="Times New Roman" w:hAnsi="Times New Roman" w:cs="Times New Roman"/>
                <w:sz w:val="24"/>
                <w:szCs w:val="24"/>
              </w:rPr>
              <w:t> </w:t>
            </w:r>
            <w:r w:rsidRPr="00894D21">
              <w:rPr>
                <w:rFonts w:ascii="Times New Roman" w:hAnsi="Times New Roman" w:cs="Times New Roman"/>
                <w:sz w:val="24"/>
                <w:szCs w:val="24"/>
              </w:rPr>
              <w:t>gada 15.</w:t>
            </w:r>
            <w:r w:rsidR="00500796" w:rsidRPr="00894D21">
              <w:rPr>
                <w:rFonts w:ascii="Times New Roman" w:hAnsi="Times New Roman" w:cs="Times New Roman"/>
                <w:sz w:val="24"/>
                <w:szCs w:val="24"/>
              </w:rPr>
              <w:t> </w:t>
            </w:r>
            <w:r w:rsidRPr="00894D21">
              <w:rPr>
                <w:rFonts w:ascii="Times New Roman" w:hAnsi="Times New Roman" w:cs="Times New Roman"/>
                <w:sz w:val="24"/>
                <w:szCs w:val="24"/>
              </w:rPr>
              <w:t>novembra normatīvos noteikumus Nr.</w:t>
            </w:r>
            <w:r w:rsidR="000128D4" w:rsidRPr="00894D21">
              <w:rPr>
                <w:rFonts w:ascii="Times New Roman" w:hAnsi="Times New Roman" w:cs="Times New Roman"/>
                <w:sz w:val="24"/>
                <w:szCs w:val="24"/>
              </w:rPr>
              <w:t> </w:t>
            </w:r>
            <w:r w:rsidRPr="00894D21">
              <w:rPr>
                <w:rFonts w:ascii="Times New Roman" w:hAnsi="Times New Roman" w:cs="Times New Roman"/>
                <w:sz w:val="24"/>
                <w:szCs w:val="24"/>
              </w:rPr>
              <w:t>200 "Uzraudzībai papildus nepieciešamo pārskatu sagatavošanas normatīvie noteikumi"</w:t>
            </w:r>
            <w:r w:rsidR="00FA5CD3" w:rsidRPr="00894D21">
              <w:rPr>
                <w:rFonts w:ascii="Times New Roman" w:hAnsi="Times New Roman" w:cs="Times New Roman"/>
                <w:sz w:val="24"/>
                <w:szCs w:val="24"/>
              </w:rPr>
              <w:t>;</w:t>
            </w:r>
            <w:r w:rsidRPr="00894D21">
              <w:rPr>
                <w:rFonts w:ascii="Times New Roman" w:hAnsi="Times New Roman" w:cs="Times New Roman"/>
                <w:sz w:val="24"/>
                <w:szCs w:val="24"/>
              </w:rPr>
              <w:t xml:space="preserve"> </w:t>
            </w:r>
          </w:p>
          <w:p w14:paraId="1A3FEB1A" w14:textId="77777777" w:rsidR="00D22BCE" w:rsidRPr="00894D21" w:rsidRDefault="002E6B3F" w:rsidP="00D53AC5">
            <w:pPr>
              <w:pStyle w:val="ListParagraph"/>
              <w:numPr>
                <w:ilvl w:val="0"/>
                <w:numId w:val="4"/>
              </w:numPr>
              <w:spacing w:line="240" w:lineRule="auto"/>
              <w:jc w:val="both"/>
              <w:rPr>
                <w:rFonts w:ascii="Times New Roman" w:hAnsi="Times New Roman" w:cs="Times New Roman"/>
                <w:sz w:val="24"/>
                <w:szCs w:val="24"/>
              </w:rPr>
            </w:pPr>
            <w:r w:rsidRPr="00894D21">
              <w:rPr>
                <w:rFonts w:ascii="Times New Roman" w:hAnsi="Times New Roman" w:cs="Times New Roman"/>
                <w:sz w:val="24"/>
                <w:szCs w:val="24"/>
              </w:rPr>
              <w:t>2020.</w:t>
            </w:r>
            <w:r w:rsidR="00500796" w:rsidRPr="00894D21">
              <w:rPr>
                <w:rFonts w:ascii="Times New Roman" w:hAnsi="Times New Roman" w:cs="Times New Roman"/>
                <w:sz w:val="24"/>
                <w:szCs w:val="24"/>
              </w:rPr>
              <w:t> </w:t>
            </w:r>
            <w:r w:rsidRPr="00894D21">
              <w:rPr>
                <w:rFonts w:ascii="Times New Roman" w:hAnsi="Times New Roman" w:cs="Times New Roman"/>
                <w:sz w:val="24"/>
                <w:szCs w:val="24"/>
              </w:rPr>
              <w:t>gada 4.</w:t>
            </w:r>
            <w:r w:rsidR="00500796" w:rsidRPr="00894D21">
              <w:rPr>
                <w:rFonts w:ascii="Times New Roman" w:hAnsi="Times New Roman" w:cs="Times New Roman"/>
                <w:sz w:val="24"/>
                <w:szCs w:val="24"/>
              </w:rPr>
              <w:t> </w:t>
            </w:r>
            <w:r w:rsidRPr="00894D21">
              <w:rPr>
                <w:rFonts w:ascii="Times New Roman" w:hAnsi="Times New Roman" w:cs="Times New Roman"/>
                <w:sz w:val="24"/>
                <w:szCs w:val="24"/>
              </w:rPr>
              <w:t>augusta normatīvos noteikumus Nr.</w:t>
            </w:r>
            <w:r w:rsidR="00500796" w:rsidRPr="00894D21">
              <w:rPr>
                <w:rFonts w:ascii="Times New Roman" w:hAnsi="Times New Roman" w:cs="Times New Roman"/>
                <w:sz w:val="24"/>
                <w:szCs w:val="24"/>
              </w:rPr>
              <w:t> </w:t>
            </w:r>
            <w:r w:rsidRPr="00894D21">
              <w:rPr>
                <w:rFonts w:ascii="Times New Roman" w:hAnsi="Times New Roman" w:cs="Times New Roman"/>
                <w:sz w:val="24"/>
                <w:szCs w:val="24"/>
              </w:rPr>
              <w:t xml:space="preserve">124 </w:t>
            </w:r>
            <w:r w:rsidR="00FA5CD3" w:rsidRPr="00894D21">
              <w:rPr>
                <w:rFonts w:ascii="Times New Roman" w:hAnsi="Times New Roman" w:cs="Times New Roman"/>
                <w:sz w:val="24"/>
                <w:szCs w:val="24"/>
              </w:rPr>
              <w:t>"</w:t>
            </w:r>
            <w:r w:rsidRPr="00894D21">
              <w:rPr>
                <w:rFonts w:ascii="Times New Roman" w:hAnsi="Times New Roman" w:cs="Times New Roman"/>
                <w:sz w:val="24"/>
                <w:szCs w:val="24"/>
              </w:rPr>
              <w:t>Informācijas par pārņemto nekustamo īpašumu sagatavošanas normatīvie noteikumi</w:t>
            </w:r>
            <w:r w:rsidR="00FA5CD3" w:rsidRPr="00894D21">
              <w:rPr>
                <w:rFonts w:ascii="Times New Roman" w:hAnsi="Times New Roman" w:cs="Times New Roman"/>
                <w:sz w:val="24"/>
                <w:szCs w:val="24"/>
              </w:rPr>
              <w:t>"</w:t>
            </w:r>
            <w:r w:rsidR="00D22BCE" w:rsidRPr="00894D21">
              <w:rPr>
                <w:rFonts w:ascii="Times New Roman" w:hAnsi="Times New Roman" w:cs="Times New Roman"/>
                <w:sz w:val="24"/>
                <w:szCs w:val="24"/>
              </w:rPr>
              <w:t>;</w:t>
            </w:r>
          </w:p>
          <w:p w14:paraId="46569086" w14:textId="59B6EA09" w:rsidR="006A2A11" w:rsidRPr="00894D21" w:rsidRDefault="00660A87" w:rsidP="00D53AC5">
            <w:pPr>
              <w:pStyle w:val="ListParagraph"/>
              <w:numPr>
                <w:ilvl w:val="0"/>
                <w:numId w:val="4"/>
              </w:numPr>
              <w:spacing w:line="240" w:lineRule="auto"/>
              <w:jc w:val="both"/>
              <w:rPr>
                <w:rFonts w:ascii="Times New Roman" w:hAnsi="Times New Roman" w:cs="Times New Roman"/>
                <w:sz w:val="24"/>
                <w:szCs w:val="24"/>
              </w:rPr>
            </w:pPr>
            <w:r w:rsidRPr="00894D21">
              <w:rPr>
                <w:rFonts w:ascii="Times New Roman" w:hAnsi="Times New Roman" w:cs="Times New Roman"/>
                <w:sz w:val="24"/>
                <w:szCs w:val="24"/>
              </w:rPr>
              <w:t>2020. gada 20. oktobra normatīvos noteikumus Nr. 191 "Ar iestādi saistīto personu riska darījumu ierobežojuma izpildes normatīvie noteikumi"</w:t>
            </w:r>
            <w:r w:rsidR="00F37FD2" w:rsidRPr="00894D21">
              <w:rPr>
                <w:rFonts w:ascii="Times New Roman" w:hAnsi="Times New Roman" w:cs="Times New Roman"/>
                <w:sz w:val="24"/>
                <w:szCs w:val="24"/>
              </w:rPr>
              <w:t xml:space="preserve"> (turpmāk </w:t>
            </w:r>
            <w:r w:rsidR="00894480" w:rsidRPr="00894D21">
              <w:rPr>
                <w:rFonts w:ascii="Times New Roman" w:eastAsia="Times New Roman" w:hAnsi="Times New Roman" w:cs="Times New Roman"/>
                <w:sz w:val="24"/>
                <w:szCs w:val="24"/>
                <w:lang w:eastAsia="lv-LV"/>
              </w:rPr>
              <w:t>– noteikumi Nr. 191)</w:t>
            </w:r>
            <w:r w:rsidR="00FA5CD3" w:rsidRPr="00894D21">
              <w:rPr>
                <w:rFonts w:ascii="Times New Roman" w:hAnsi="Times New Roman" w:cs="Times New Roman"/>
                <w:sz w:val="24"/>
                <w:szCs w:val="24"/>
              </w:rPr>
              <w:t>.</w:t>
            </w:r>
          </w:p>
          <w:p w14:paraId="0E424DD6" w14:textId="770E0E88" w:rsidR="00FB62D3" w:rsidRPr="00D53AC5" w:rsidRDefault="00DD54AE" w:rsidP="00D53AC5">
            <w:pPr>
              <w:spacing w:after="120" w:line="240" w:lineRule="auto"/>
              <w:jc w:val="both"/>
              <w:rPr>
                <w:rFonts w:ascii="Times New Roman" w:hAnsi="Times New Roman" w:cs="Times New Roman"/>
              </w:rPr>
            </w:pPr>
            <w:r w:rsidRPr="00894D21">
              <w:rPr>
                <w:rFonts w:ascii="Times New Roman" w:eastAsia="Times New Roman" w:hAnsi="Times New Roman" w:cs="Times New Roman"/>
                <w:sz w:val="24"/>
                <w:szCs w:val="24"/>
                <w:lang w:eastAsia="lv-LV"/>
              </w:rPr>
              <w:t xml:space="preserve">Noteikumu projekta prasības būs saistošas Latvijā reģistrētām kredītiestādēm </w:t>
            </w:r>
            <w:r w:rsidR="007E452C" w:rsidRPr="00894D21">
              <w:rPr>
                <w:rFonts w:ascii="Times New Roman" w:eastAsia="Times New Roman" w:hAnsi="Times New Roman" w:cs="Times New Roman"/>
                <w:sz w:val="24"/>
                <w:szCs w:val="24"/>
                <w:lang w:eastAsia="lv-LV"/>
              </w:rPr>
              <w:t>(turpmāk</w:t>
            </w:r>
            <w:r w:rsidR="00842DAA" w:rsidRPr="00894D21">
              <w:rPr>
                <w:rFonts w:ascii="Times New Roman" w:eastAsia="Times New Roman" w:hAnsi="Times New Roman" w:cs="Times New Roman"/>
                <w:sz w:val="24"/>
                <w:szCs w:val="24"/>
                <w:lang w:eastAsia="lv-LV"/>
              </w:rPr>
              <w:t> </w:t>
            </w:r>
            <w:r w:rsidR="007E452C" w:rsidRPr="00894D21">
              <w:rPr>
                <w:rFonts w:ascii="Times New Roman" w:eastAsia="Times New Roman" w:hAnsi="Times New Roman" w:cs="Times New Roman"/>
                <w:sz w:val="24"/>
                <w:szCs w:val="24"/>
                <w:lang w:eastAsia="lv-LV"/>
              </w:rPr>
              <w:t xml:space="preserve">– kredītiestādes) </w:t>
            </w:r>
            <w:r w:rsidRPr="00894D21">
              <w:rPr>
                <w:rFonts w:ascii="Times New Roman" w:eastAsia="Times New Roman" w:hAnsi="Times New Roman" w:cs="Times New Roman"/>
                <w:sz w:val="24"/>
                <w:szCs w:val="24"/>
                <w:lang w:eastAsia="lv-LV"/>
              </w:rPr>
              <w:t>un citu dalībvalstu un ārvalstu kredītiestāžu filiālēm</w:t>
            </w:r>
            <w:r w:rsidR="00BC41FD" w:rsidRPr="00894D21">
              <w:rPr>
                <w:rFonts w:ascii="Times New Roman" w:eastAsia="Times New Roman" w:hAnsi="Times New Roman" w:cs="Times New Roman"/>
                <w:sz w:val="24"/>
                <w:szCs w:val="24"/>
                <w:lang w:eastAsia="lv-LV"/>
              </w:rPr>
              <w:t xml:space="preserve"> (turpmāk</w:t>
            </w:r>
            <w:r w:rsidR="00842DAA" w:rsidRPr="00894D21">
              <w:rPr>
                <w:rFonts w:ascii="Times New Roman" w:eastAsia="Times New Roman" w:hAnsi="Times New Roman" w:cs="Times New Roman"/>
                <w:sz w:val="24"/>
                <w:szCs w:val="24"/>
                <w:lang w:eastAsia="lv-LV"/>
              </w:rPr>
              <w:t> </w:t>
            </w:r>
            <w:r w:rsidR="00BC41FD" w:rsidRPr="00894D21">
              <w:rPr>
                <w:rFonts w:ascii="Times New Roman" w:eastAsia="Times New Roman" w:hAnsi="Times New Roman" w:cs="Times New Roman"/>
                <w:sz w:val="24"/>
                <w:szCs w:val="24"/>
                <w:lang w:eastAsia="lv-LV"/>
              </w:rPr>
              <w:t>– filiāles)</w:t>
            </w:r>
            <w:r w:rsidRPr="00894D21">
              <w:rPr>
                <w:rFonts w:ascii="Times New Roman" w:eastAsia="Times New Roman" w:hAnsi="Times New Roman" w:cs="Times New Roman"/>
                <w:sz w:val="24"/>
                <w:szCs w:val="24"/>
                <w:lang w:eastAsia="lv-LV"/>
              </w:rPr>
              <w:t>, savukārt katram pārskatam sniedzēju loks</w:t>
            </w:r>
            <w:r w:rsidR="0079577C" w:rsidRPr="00894D21">
              <w:rPr>
                <w:rFonts w:ascii="Times New Roman" w:eastAsia="Times New Roman" w:hAnsi="Times New Roman" w:cs="Times New Roman"/>
                <w:sz w:val="24"/>
                <w:szCs w:val="24"/>
                <w:lang w:eastAsia="lv-LV"/>
              </w:rPr>
              <w:t xml:space="preserve">, </w:t>
            </w:r>
            <w:r w:rsidR="00E7294C" w:rsidRPr="00894D21">
              <w:rPr>
                <w:rFonts w:ascii="Times New Roman" w:eastAsia="Times New Roman" w:hAnsi="Times New Roman" w:cs="Times New Roman"/>
                <w:sz w:val="24"/>
                <w:szCs w:val="24"/>
                <w:lang w:eastAsia="lv-LV"/>
              </w:rPr>
              <w:t xml:space="preserve">iesniegšanas biežums un termiņi </w:t>
            </w:r>
            <w:r w:rsidR="00AA5AB1" w:rsidRPr="00894D21">
              <w:rPr>
                <w:rFonts w:ascii="Times New Roman" w:eastAsia="Times New Roman" w:hAnsi="Times New Roman" w:cs="Times New Roman"/>
                <w:sz w:val="24"/>
                <w:szCs w:val="24"/>
                <w:lang w:eastAsia="lv-LV"/>
              </w:rPr>
              <w:t xml:space="preserve">ir </w:t>
            </w:r>
            <w:r w:rsidR="00306230" w:rsidRPr="00894D21">
              <w:rPr>
                <w:rFonts w:ascii="Times New Roman" w:eastAsia="Times New Roman" w:hAnsi="Times New Roman" w:cs="Times New Roman"/>
                <w:sz w:val="24"/>
                <w:szCs w:val="24"/>
                <w:lang w:eastAsia="lv-LV"/>
              </w:rPr>
              <w:t>atšķirīgi</w:t>
            </w:r>
            <w:r w:rsidRPr="00894D21">
              <w:rPr>
                <w:rFonts w:ascii="Times New Roman" w:eastAsia="Times New Roman" w:hAnsi="Times New Roman" w:cs="Times New Roman"/>
                <w:sz w:val="24"/>
                <w:szCs w:val="24"/>
                <w:lang w:eastAsia="lv-LV"/>
              </w:rPr>
              <w:t xml:space="preserve">, un </w:t>
            </w:r>
            <w:r w:rsidR="00E36ABE" w:rsidRPr="00894D21">
              <w:rPr>
                <w:rFonts w:ascii="Times New Roman" w:eastAsia="Times New Roman" w:hAnsi="Times New Roman" w:cs="Times New Roman"/>
                <w:sz w:val="24"/>
                <w:szCs w:val="24"/>
                <w:lang w:eastAsia="lv-LV"/>
              </w:rPr>
              <w:t xml:space="preserve">tie </w:t>
            </w:r>
            <w:r w:rsidRPr="00894D21">
              <w:rPr>
                <w:rFonts w:ascii="Times New Roman" w:eastAsia="Times New Roman" w:hAnsi="Times New Roman" w:cs="Times New Roman"/>
                <w:sz w:val="24"/>
                <w:szCs w:val="24"/>
                <w:lang w:eastAsia="lv-LV"/>
              </w:rPr>
              <w:t xml:space="preserve">ir </w:t>
            </w:r>
            <w:r w:rsidR="00E36ABE" w:rsidRPr="00894D21">
              <w:rPr>
                <w:rFonts w:ascii="Times New Roman" w:eastAsia="Times New Roman" w:hAnsi="Times New Roman" w:cs="Times New Roman"/>
                <w:sz w:val="24"/>
                <w:szCs w:val="24"/>
                <w:lang w:eastAsia="lv-LV"/>
              </w:rPr>
              <w:t xml:space="preserve">noteikti </w:t>
            </w:r>
            <w:r w:rsidR="002E2076" w:rsidRPr="00894D21">
              <w:rPr>
                <w:rFonts w:ascii="Times New Roman" w:eastAsia="Times New Roman" w:hAnsi="Times New Roman" w:cs="Times New Roman"/>
                <w:sz w:val="24"/>
                <w:szCs w:val="24"/>
                <w:lang w:eastAsia="lv-LV"/>
              </w:rPr>
              <w:t>katram pārskatam</w:t>
            </w:r>
            <w:r w:rsidRPr="00894D21">
              <w:rPr>
                <w:rFonts w:ascii="Times New Roman" w:eastAsia="Times New Roman" w:hAnsi="Times New Roman" w:cs="Times New Roman"/>
                <w:sz w:val="24"/>
                <w:szCs w:val="24"/>
                <w:lang w:eastAsia="lv-LV"/>
              </w:rPr>
              <w:t xml:space="preserve"> </w:t>
            </w:r>
            <w:r w:rsidR="002E2076" w:rsidRPr="00894D21">
              <w:rPr>
                <w:rFonts w:ascii="Times New Roman" w:eastAsia="Times New Roman" w:hAnsi="Times New Roman" w:cs="Times New Roman"/>
                <w:sz w:val="24"/>
                <w:szCs w:val="24"/>
                <w:lang w:eastAsia="lv-LV"/>
              </w:rPr>
              <w:t xml:space="preserve">atsevišķi </w:t>
            </w:r>
            <w:r w:rsidRPr="00894D21">
              <w:rPr>
                <w:rFonts w:ascii="Times New Roman" w:eastAsia="Times New Roman" w:hAnsi="Times New Roman" w:cs="Times New Roman"/>
                <w:sz w:val="24"/>
                <w:szCs w:val="24"/>
                <w:lang w:eastAsia="lv-LV"/>
              </w:rPr>
              <w:t>noteikumu projekta attiecīgajā nodaļā.</w:t>
            </w:r>
            <w:r w:rsidR="00FB62D3" w:rsidRPr="00D53AC5">
              <w:rPr>
                <w:rFonts w:ascii="Times New Roman" w:hAnsi="Times New Roman" w:cs="Times New Roman"/>
              </w:rPr>
              <w:t xml:space="preserve"> </w:t>
            </w:r>
          </w:p>
          <w:p w14:paraId="2B013449" w14:textId="22C8037C" w:rsidR="00DD54AE" w:rsidRPr="00894D21" w:rsidRDefault="00FB62D3"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prasības, kas saistošas kredītiestādēm</w:t>
            </w:r>
            <w:r w:rsidR="007B315A" w:rsidRPr="00894D21">
              <w:rPr>
                <w:rFonts w:ascii="Times New Roman" w:eastAsia="Times New Roman" w:hAnsi="Times New Roman" w:cs="Times New Roman"/>
                <w:sz w:val="24"/>
                <w:szCs w:val="24"/>
                <w:lang w:eastAsia="lv-LV"/>
              </w:rPr>
              <w:t>,</w:t>
            </w:r>
            <w:r w:rsidRPr="00894D21">
              <w:rPr>
                <w:rFonts w:ascii="Times New Roman" w:eastAsia="Times New Roman" w:hAnsi="Times New Roman" w:cs="Times New Roman"/>
                <w:sz w:val="24"/>
                <w:szCs w:val="24"/>
                <w:lang w:eastAsia="lv-LV"/>
              </w:rPr>
              <w:t xml:space="preserve"> būs </w:t>
            </w:r>
            <w:r w:rsidR="007B315A" w:rsidRPr="00894D21">
              <w:rPr>
                <w:rFonts w:ascii="Times New Roman" w:eastAsia="Times New Roman" w:hAnsi="Times New Roman" w:cs="Times New Roman"/>
                <w:sz w:val="24"/>
                <w:szCs w:val="24"/>
                <w:lang w:eastAsia="lv-LV"/>
              </w:rPr>
              <w:t xml:space="preserve">piemērojamas arī </w:t>
            </w:r>
            <w:r w:rsidRPr="00894D21">
              <w:rPr>
                <w:rFonts w:ascii="Times New Roman" w:eastAsia="Times New Roman" w:hAnsi="Times New Roman" w:cs="Times New Roman"/>
                <w:sz w:val="24"/>
                <w:szCs w:val="24"/>
                <w:lang w:eastAsia="lv-LV"/>
              </w:rPr>
              <w:t>Kredītiestāžu likuma 11.</w:t>
            </w:r>
            <w:r w:rsidRPr="00894D21">
              <w:rPr>
                <w:rFonts w:ascii="Times New Roman" w:eastAsia="Times New Roman" w:hAnsi="Times New Roman" w:cs="Times New Roman"/>
                <w:sz w:val="24"/>
                <w:szCs w:val="24"/>
                <w:vertAlign w:val="superscript"/>
                <w:lang w:eastAsia="lv-LV"/>
              </w:rPr>
              <w:t>2</w:t>
            </w:r>
            <w:r w:rsidR="00842DAA" w:rsidRPr="00894D21">
              <w:rPr>
                <w:rFonts w:ascii="Times New Roman" w:eastAsia="Times New Roman" w:hAnsi="Times New Roman" w:cs="Times New Roman"/>
                <w:sz w:val="24"/>
                <w:szCs w:val="24"/>
                <w:vertAlign w:val="superscript"/>
                <w:lang w:eastAsia="lv-LV"/>
              </w:rPr>
              <w:t> </w:t>
            </w:r>
            <w:r w:rsidRPr="00894D21">
              <w:rPr>
                <w:rFonts w:ascii="Times New Roman" w:eastAsia="Times New Roman" w:hAnsi="Times New Roman" w:cs="Times New Roman"/>
                <w:sz w:val="24"/>
                <w:szCs w:val="24"/>
                <w:lang w:eastAsia="lv-LV"/>
              </w:rPr>
              <w:t>pantā minētajām ieguldījumu brokeru sabiedrībām un tām ieguldījumu brokeru sabiedrībām, kas minētas Eiropas Parlamenta un Padomes 2019.</w:t>
            </w:r>
            <w:r w:rsidR="00842DAA"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gada 27.</w:t>
            </w:r>
            <w:r w:rsidR="00842DAA"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novembra </w:t>
            </w:r>
            <w:r w:rsidRPr="00894D21">
              <w:rPr>
                <w:rFonts w:ascii="Times New Roman" w:eastAsia="Times New Roman" w:hAnsi="Times New Roman" w:cs="Times New Roman"/>
                <w:sz w:val="24"/>
                <w:szCs w:val="24"/>
                <w:lang w:eastAsia="lv-LV"/>
              </w:rPr>
              <w:lastRenderedPageBreak/>
              <w:t>regulas (ES) 2019/2033 par prudenciālajām prasībām ieguldījumu brokeru sabiedrībām un ar ko groza regulas (ES) Nr.</w:t>
            </w:r>
            <w:r w:rsidR="00842DAA"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1093/2010, (ES) Nr.</w:t>
            </w:r>
            <w:r w:rsidR="00842DAA"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575/2013, (ES) Nr.</w:t>
            </w:r>
            <w:r w:rsidR="00842DAA"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600/2014 un (ES) Nr.</w:t>
            </w:r>
            <w:r w:rsidR="00842DAA"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806/2014 1.</w:t>
            </w:r>
            <w:r w:rsidR="00842DAA"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panta 2.</w:t>
            </w:r>
            <w:r w:rsidR="000C0D4C"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un 5.</w:t>
            </w:r>
            <w:r w:rsidR="00842DAA"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punktā. Šobrīd nav tādu Latvijas Republikā reģistrētu ieguldījumu brokeru sabiedrību, kuras norādītas Kredītiestāžu likuma 11.</w:t>
            </w:r>
            <w:r w:rsidRPr="00894D21">
              <w:rPr>
                <w:rFonts w:ascii="Times New Roman" w:eastAsia="Times New Roman" w:hAnsi="Times New Roman" w:cs="Times New Roman"/>
                <w:sz w:val="24"/>
                <w:szCs w:val="24"/>
                <w:vertAlign w:val="superscript"/>
                <w:lang w:eastAsia="lv-LV"/>
              </w:rPr>
              <w:t>2</w:t>
            </w:r>
            <w:r w:rsidR="000916EA" w:rsidRPr="00894D21">
              <w:rPr>
                <w:rFonts w:ascii="Times New Roman" w:eastAsia="Times New Roman" w:hAnsi="Times New Roman" w:cs="Times New Roman"/>
                <w:sz w:val="24"/>
                <w:szCs w:val="24"/>
                <w:vertAlign w:val="superscript"/>
                <w:lang w:eastAsia="lv-LV"/>
              </w:rPr>
              <w:t> </w:t>
            </w:r>
            <w:r w:rsidRPr="00894D21">
              <w:rPr>
                <w:rFonts w:ascii="Times New Roman" w:eastAsia="Times New Roman" w:hAnsi="Times New Roman" w:cs="Times New Roman"/>
                <w:sz w:val="24"/>
                <w:szCs w:val="24"/>
                <w:lang w:eastAsia="lv-LV"/>
              </w:rPr>
              <w:t>pantā un minētās regulas (ES) 2019/2033 1.</w:t>
            </w:r>
            <w:r w:rsidR="000916EA"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panta 2.</w:t>
            </w:r>
            <w:r w:rsidR="000916EA"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un 5.</w:t>
            </w:r>
            <w:r w:rsidR="000916EA"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punktā.</w:t>
            </w:r>
          </w:p>
          <w:p w14:paraId="00248A00" w14:textId="31CC9283" w:rsidR="009A2505" w:rsidRPr="00894D21" w:rsidRDefault="00E87AFC" w:rsidP="00D53AC5">
            <w:pPr>
              <w:pStyle w:val="Heading2"/>
              <w:tabs>
                <w:tab w:val="clear" w:pos="576"/>
                <w:tab w:val="num" w:pos="0"/>
              </w:tabs>
              <w:spacing w:after="120"/>
              <w:ind w:left="0" w:firstLine="0"/>
              <w:rPr>
                <w:color w:val="auto"/>
                <w:lang w:val="lv-LV" w:eastAsia="lv-LV"/>
              </w:rPr>
            </w:pPr>
            <w:r w:rsidRPr="00894D21">
              <w:rPr>
                <w:rFonts w:eastAsia="Times New Roman"/>
                <w:lang w:val="lv-LV" w:eastAsia="lv-LV"/>
              </w:rPr>
              <w:t>Kredītiestāžu likuma 6.</w:t>
            </w:r>
            <w:r w:rsidR="00E97FDB" w:rsidRPr="00894D21">
              <w:rPr>
                <w:rFonts w:eastAsia="Times New Roman"/>
                <w:lang w:val="lv-LV" w:eastAsia="lv-LV"/>
              </w:rPr>
              <w:t> </w:t>
            </w:r>
            <w:r w:rsidRPr="00894D21">
              <w:rPr>
                <w:rFonts w:eastAsia="Times New Roman"/>
                <w:lang w:val="lv-LV" w:eastAsia="lv-LV"/>
              </w:rPr>
              <w:t>panta piektā daļa</w:t>
            </w:r>
            <w:r w:rsidR="00646AD1" w:rsidRPr="00894D21">
              <w:rPr>
                <w:rFonts w:eastAsia="Times New Roman"/>
                <w:lang w:val="lv-LV" w:eastAsia="lv-LV"/>
              </w:rPr>
              <w:t xml:space="preserve"> nosaka, ka Latvijas Banka ir tiesīga pieprasīt, lai citā dalībvalstī reģistrētas kredītiestādes filiāle, kas šajā likumā noteiktajā kārtībā uzsākusi finanšu pakalpojumu sniegšanu Latvijas Republikas teritorijā, sniedz tai informāciju par savu darbību Latvijas Republikas teritorijā statistiskās informācijas un uzraudzības vajadzībām</w:t>
            </w:r>
            <w:r w:rsidR="00643F90" w:rsidRPr="00894D21">
              <w:rPr>
                <w:rFonts w:eastAsia="Times New Roman"/>
                <w:lang w:val="lv-LV" w:eastAsia="lv-LV"/>
              </w:rPr>
              <w:t>.</w:t>
            </w:r>
          </w:p>
          <w:p w14:paraId="70C63FC9" w14:textId="6FD67307" w:rsidR="009A2505" w:rsidRPr="00894D21" w:rsidRDefault="006C3828" w:rsidP="00D53AC5">
            <w:pPr>
              <w:pStyle w:val="Heading2"/>
              <w:tabs>
                <w:tab w:val="clear" w:pos="576"/>
                <w:tab w:val="num" w:pos="0"/>
              </w:tabs>
              <w:spacing w:after="120"/>
              <w:ind w:left="0" w:firstLine="0"/>
              <w:rPr>
                <w:lang w:val="lv-LV" w:eastAsia="lv-LV"/>
              </w:rPr>
            </w:pPr>
            <w:r w:rsidRPr="00894D21">
              <w:rPr>
                <w:rFonts w:eastAsia="Times New Roman"/>
                <w:lang w:val="lv-LV" w:eastAsia="lv-LV"/>
              </w:rPr>
              <w:t>Kredītiestāžu likuma 50.</w:t>
            </w:r>
            <w:r w:rsidR="00E97FDB" w:rsidRPr="00894D21">
              <w:rPr>
                <w:rFonts w:eastAsia="Times New Roman"/>
                <w:lang w:val="lv-LV" w:eastAsia="lv-LV"/>
              </w:rPr>
              <w:t> </w:t>
            </w:r>
            <w:r w:rsidR="00643F90" w:rsidRPr="00894D21">
              <w:rPr>
                <w:rFonts w:eastAsia="Times New Roman"/>
                <w:lang w:val="lv-LV" w:eastAsia="lv-LV"/>
              </w:rPr>
              <w:t>p</w:t>
            </w:r>
            <w:r w:rsidRPr="00894D21">
              <w:rPr>
                <w:rFonts w:eastAsia="Times New Roman"/>
                <w:lang w:val="lv-LV" w:eastAsia="lv-LV"/>
              </w:rPr>
              <w:t>anta</w:t>
            </w:r>
            <w:r w:rsidR="007B1B00" w:rsidRPr="00894D21">
              <w:rPr>
                <w:rFonts w:eastAsia="Times New Roman"/>
                <w:lang w:val="lv-LV" w:eastAsia="lv-LV"/>
              </w:rPr>
              <w:t xml:space="preserve"> otrā daļa </w:t>
            </w:r>
            <w:r w:rsidR="009607EA" w:rsidRPr="00894D21">
              <w:rPr>
                <w:rFonts w:eastAsia="Times New Roman"/>
                <w:lang w:val="lv-LV" w:eastAsia="lv-LV"/>
              </w:rPr>
              <w:t xml:space="preserve">dod Latvijas Bankai tiesības </w:t>
            </w:r>
            <w:r w:rsidR="00E037FB" w:rsidRPr="00894D21">
              <w:rPr>
                <w:rFonts w:eastAsia="Times New Roman"/>
                <w:lang w:val="lv-LV" w:eastAsia="lv-LV"/>
              </w:rPr>
              <w:t>noteikt prasības, kas izriet no Eiropas Centrālās bankas vai Eiropas Banku iestādes pieņemtajiem lēmumiem, pamatnostādnēm un ieteikumiem</w:t>
            </w:r>
            <w:r w:rsidR="009607EA" w:rsidRPr="00894D21">
              <w:rPr>
                <w:rFonts w:eastAsia="Times New Roman"/>
                <w:lang w:val="lv-LV" w:eastAsia="lv-LV"/>
              </w:rPr>
              <w:t>, savukārt 50.</w:t>
            </w:r>
            <w:r w:rsidR="00D42BCE" w:rsidRPr="00894D21">
              <w:rPr>
                <w:rFonts w:eastAsia="Times New Roman"/>
                <w:lang w:val="lv-LV" w:eastAsia="lv-LV"/>
              </w:rPr>
              <w:t> </w:t>
            </w:r>
            <w:r w:rsidR="009607EA" w:rsidRPr="00894D21">
              <w:rPr>
                <w:rFonts w:eastAsia="Times New Roman"/>
                <w:lang w:val="lv-LV" w:eastAsia="lv-LV"/>
              </w:rPr>
              <w:t>panta</w:t>
            </w:r>
            <w:r w:rsidRPr="00894D21">
              <w:rPr>
                <w:rFonts w:eastAsia="Times New Roman"/>
                <w:lang w:val="lv-LV" w:eastAsia="lv-LV"/>
              </w:rPr>
              <w:t xml:space="preserve"> trešā daļa nosaka Latvijas Bankai tiesības </w:t>
            </w:r>
            <w:r w:rsidR="000E3AFF" w:rsidRPr="00894D21">
              <w:rPr>
                <w:rFonts w:eastAsia="Times New Roman"/>
                <w:lang w:val="lv-LV" w:eastAsia="lv-LV"/>
              </w:rPr>
              <w:t xml:space="preserve">noteikt </w:t>
            </w:r>
            <w:r w:rsidRPr="00894D21">
              <w:rPr>
                <w:rFonts w:eastAsia="Times New Roman"/>
                <w:lang w:val="lv-LV" w:eastAsia="lv-LV"/>
              </w:rPr>
              <w:t>pārskatu sagatavošanas un iesniegšanas noteikumus, kā arī kredītiestāžu uzraudzībai nepieciešamās informācijas sagatavošanas, sniegšanas un nepieciešamo atļauju saņemšanas kārtību, ja to nav noteikusi Eiropas Komisija.</w:t>
            </w:r>
          </w:p>
          <w:p w14:paraId="2682B8A7" w14:textId="3E83DBF0" w:rsidR="007B2A2B" w:rsidRPr="00894D21" w:rsidRDefault="00227386" w:rsidP="00D53AC5">
            <w:pPr>
              <w:pStyle w:val="Heading2"/>
              <w:tabs>
                <w:tab w:val="clear" w:pos="576"/>
                <w:tab w:val="num" w:pos="0"/>
              </w:tabs>
              <w:spacing w:after="120"/>
              <w:ind w:left="0" w:firstLine="0"/>
              <w:rPr>
                <w:lang w:val="lv-LV" w:eastAsia="lv-LV"/>
              </w:rPr>
            </w:pPr>
            <w:r w:rsidRPr="00894D21">
              <w:rPr>
                <w:rFonts w:eastAsia="Times New Roman"/>
                <w:lang w:val="lv-LV" w:eastAsia="lv-LV"/>
              </w:rPr>
              <w:t>Savukārt Kredītiestāžu likuma 43.</w:t>
            </w:r>
            <w:r w:rsidR="00D42BCE" w:rsidRPr="00894D21">
              <w:rPr>
                <w:rFonts w:eastAsia="Times New Roman"/>
                <w:lang w:val="lv-LV" w:eastAsia="lv-LV"/>
              </w:rPr>
              <w:t> </w:t>
            </w:r>
            <w:r w:rsidRPr="00894D21">
              <w:rPr>
                <w:rFonts w:eastAsia="Times New Roman"/>
                <w:lang w:val="lv-LV" w:eastAsia="lv-LV"/>
              </w:rPr>
              <w:t>panta trešā daļa paredz deleģējumu Latvijas Bankai noteikt kārtību, kādā nosakāms riska darījumu ar Kredītiestāžu likuma 43.</w:t>
            </w:r>
            <w:r w:rsidR="00D42BCE" w:rsidRPr="00894D21">
              <w:rPr>
                <w:rFonts w:eastAsia="Times New Roman"/>
                <w:lang w:val="lv-LV" w:eastAsia="lv-LV"/>
              </w:rPr>
              <w:t> </w:t>
            </w:r>
            <w:r w:rsidRPr="00894D21">
              <w:rPr>
                <w:rFonts w:eastAsia="Times New Roman"/>
                <w:lang w:val="lv-LV" w:eastAsia="lv-LV"/>
              </w:rPr>
              <w:t>panta pirmajā daļā minētajām personām (turpmāk</w:t>
            </w:r>
            <w:r w:rsidR="00D42BCE" w:rsidRPr="00894D21">
              <w:rPr>
                <w:rFonts w:eastAsia="Times New Roman"/>
                <w:lang w:val="lv-LV" w:eastAsia="lv-LV"/>
              </w:rPr>
              <w:t> </w:t>
            </w:r>
            <w:r w:rsidRPr="00894D21">
              <w:rPr>
                <w:rFonts w:eastAsia="Times New Roman"/>
                <w:lang w:val="lv-LV" w:eastAsia="lv-LV"/>
              </w:rPr>
              <w:t>– personas, kas saistītas ar kredītiestādi) apmērs.</w:t>
            </w:r>
          </w:p>
          <w:p w14:paraId="29E9FC39" w14:textId="68E33294" w:rsidR="00561BA6" w:rsidRPr="00894D21" w:rsidRDefault="007B2A2B" w:rsidP="00D53AC5">
            <w:pPr>
              <w:pStyle w:val="Heading2"/>
              <w:tabs>
                <w:tab w:val="clear" w:pos="576"/>
                <w:tab w:val="num" w:pos="0"/>
              </w:tabs>
              <w:spacing w:after="120"/>
              <w:ind w:left="0" w:firstLine="0"/>
              <w:rPr>
                <w:lang w:val="lv-LV" w:eastAsia="en-US"/>
              </w:rPr>
            </w:pPr>
            <w:r w:rsidRPr="00894D21">
              <w:rPr>
                <w:rFonts w:eastAsia="Times New Roman"/>
                <w:b/>
                <w:bCs/>
                <w:lang w:val="lv-LV"/>
              </w:rPr>
              <w:t xml:space="preserve">Attiecībā uz </w:t>
            </w:r>
            <w:r w:rsidR="003D2EFB" w:rsidRPr="00894D21">
              <w:rPr>
                <w:rFonts w:eastAsia="Times New Roman"/>
                <w:b/>
                <w:bCs/>
                <w:lang w:val="lv-LV"/>
              </w:rPr>
              <w:t>uzraudzības finanšu pārskatu (FINREP)</w:t>
            </w:r>
            <w:r w:rsidR="003D2EFB" w:rsidRPr="00894D21">
              <w:rPr>
                <w:rFonts w:eastAsia="Times New Roman"/>
                <w:lang w:val="lv-LV"/>
              </w:rPr>
              <w:t xml:space="preserve"> sagatavošanu </w:t>
            </w:r>
            <w:r w:rsidR="00B55483" w:rsidRPr="00894D21">
              <w:rPr>
                <w:lang w:val="lv-LV" w:eastAsia="en-US"/>
              </w:rPr>
              <w:t xml:space="preserve">Komisijas </w:t>
            </w:r>
            <w:r w:rsidR="00492A77" w:rsidRPr="00894D21">
              <w:rPr>
                <w:lang w:val="lv-LV" w:eastAsia="en-US"/>
              </w:rPr>
              <w:t>2020.</w:t>
            </w:r>
            <w:r w:rsidR="00D42BCE" w:rsidRPr="00894D21">
              <w:rPr>
                <w:lang w:val="lv-LV" w:eastAsia="en-US"/>
              </w:rPr>
              <w:t> </w:t>
            </w:r>
            <w:r w:rsidR="00492A77" w:rsidRPr="00894D21">
              <w:rPr>
                <w:lang w:val="lv-LV" w:eastAsia="en-US"/>
              </w:rPr>
              <w:t>gada 17.</w:t>
            </w:r>
            <w:r w:rsidR="00D42BCE" w:rsidRPr="00894D21">
              <w:rPr>
                <w:lang w:val="lv-LV" w:eastAsia="en-US"/>
              </w:rPr>
              <w:t> </w:t>
            </w:r>
            <w:r w:rsidR="00492A77" w:rsidRPr="00894D21">
              <w:rPr>
                <w:lang w:val="lv-LV" w:eastAsia="en-US"/>
              </w:rPr>
              <w:t xml:space="preserve">decembra </w:t>
            </w:r>
            <w:r w:rsidR="00017EBF" w:rsidRPr="00894D21">
              <w:rPr>
                <w:lang w:val="lv-LV" w:eastAsia="en-US"/>
              </w:rPr>
              <w:t>ī</w:t>
            </w:r>
            <w:r w:rsidR="00B55483" w:rsidRPr="00894D21">
              <w:rPr>
                <w:lang w:val="lv-LV" w:eastAsia="en-US"/>
              </w:rPr>
              <w:t>stenošanas regulā (ES) Nr.</w:t>
            </w:r>
            <w:r w:rsidR="00500796" w:rsidRPr="00894D21">
              <w:rPr>
                <w:lang w:val="lv-LV" w:eastAsia="en-US"/>
              </w:rPr>
              <w:t> </w:t>
            </w:r>
            <w:hyperlink r:id="rId11" w:tgtFrame="_blank" w:history="1">
              <w:r w:rsidR="008730EE" w:rsidRPr="00894D21">
                <w:rPr>
                  <w:lang w:val="lv-LV"/>
                </w:rPr>
                <w:t>2021/451</w:t>
              </w:r>
            </w:hyperlink>
            <w:r w:rsidR="008730EE" w:rsidRPr="00894D21">
              <w:rPr>
                <w:lang w:val="lv-LV"/>
              </w:rPr>
              <w:t xml:space="preserve">, ar ko nosaka īstenošanas tehniskos standartus Eiropas Parlamenta un Padomes </w:t>
            </w:r>
            <w:r w:rsidR="00017EBF" w:rsidRPr="00894D21">
              <w:rPr>
                <w:lang w:val="lv-LV"/>
              </w:rPr>
              <w:t>r</w:t>
            </w:r>
            <w:r w:rsidR="008730EE" w:rsidRPr="00894D21">
              <w:rPr>
                <w:lang w:val="lv-LV"/>
              </w:rPr>
              <w:t>egulas (ES) Nr.</w:t>
            </w:r>
            <w:r w:rsidR="00C96BDD" w:rsidRPr="00894D21">
              <w:rPr>
                <w:lang w:val="lv-LV"/>
              </w:rPr>
              <w:t> </w:t>
            </w:r>
            <w:r w:rsidR="008730EE" w:rsidRPr="00894D21">
              <w:rPr>
                <w:lang w:val="lv-LV"/>
              </w:rPr>
              <w:t xml:space="preserve">575/2013 piemērošanai attiecībā uz iestāžu sniegtajiem uzraudzības pārskatiem un atceļ </w:t>
            </w:r>
            <w:r w:rsidR="00017EBF" w:rsidRPr="00894D21">
              <w:rPr>
                <w:lang w:val="lv-LV"/>
              </w:rPr>
              <w:t>ī</w:t>
            </w:r>
            <w:r w:rsidR="008730EE" w:rsidRPr="00894D21">
              <w:rPr>
                <w:lang w:val="lv-LV"/>
              </w:rPr>
              <w:t>stenošanas regulu (ES) Nr.</w:t>
            </w:r>
            <w:r w:rsidR="00E32B51" w:rsidRPr="00894D21">
              <w:rPr>
                <w:lang w:val="lv-LV"/>
              </w:rPr>
              <w:t> </w:t>
            </w:r>
            <w:hyperlink r:id="rId12" w:tgtFrame="_blank" w:history="1">
              <w:r w:rsidR="008730EE" w:rsidRPr="00894D21">
                <w:rPr>
                  <w:lang w:val="lv-LV"/>
                </w:rPr>
                <w:t>680/2014</w:t>
              </w:r>
            </w:hyperlink>
            <w:r w:rsidR="00662AB8" w:rsidRPr="00894D21">
              <w:rPr>
                <w:lang w:val="lv-LV"/>
              </w:rPr>
              <w:t xml:space="preserve"> </w:t>
            </w:r>
            <w:r w:rsidR="008730EE" w:rsidRPr="00894D21">
              <w:rPr>
                <w:lang w:val="lv-LV"/>
              </w:rPr>
              <w:t>(turpmāk</w:t>
            </w:r>
            <w:r w:rsidR="00C15D72" w:rsidRPr="00894D21">
              <w:rPr>
                <w:lang w:val="lv-LV"/>
              </w:rPr>
              <w:t> </w:t>
            </w:r>
            <w:r w:rsidR="008730EE" w:rsidRPr="00894D21">
              <w:rPr>
                <w:lang w:val="lv-LV"/>
              </w:rPr>
              <w:t xml:space="preserve">– ES </w:t>
            </w:r>
            <w:r w:rsidR="0055074B" w:rsidRPr="00894D21">
              <w:rPr>
                <w:lang w:val="lv-LV"/>
              </w:rPr>
              <w:t>r</w:t>
            </w:r>
            <w:r w:rsidR="008730EE" w:rsidRPr="00894D21">
              <w:rPr>
                <w:lang w:val="lv-LV"/>
              </w:rPr>
              <w:t>egula Nr. </w:t>
            </w:r>
            <w:hyperlink r:id="rId13" w:tgtFrame="_blank" w:history="1">
              <w:r w:rsidR="008730EE" w:rsidRPr="00894D21">
                <w:rPr>
                  <w:lang w:val="lv-LV"/>
                </w:rPr>
                <w:t>2021/451</w:t>
              </w:r>
            </w:hyperlink>
            <w:r w:rsidR="008730EE" w:rsidRPr="00894D21">
              <w:rPr>
                <w:lang w:val="lv-LV"/>
              </w:rPr>
              <w:t xml:space="preserve">) </w:t>
            </w:r>
            <w:r w:rsidR="0097512B" w:rsidRPr="00894D21">
              <w:rPr>
                <w:lang w:val="lv-LV" w:eastAsia="en-US"/>
              </w:rPr>
              <w:t xml:space="preserve">ir noteiktas vienotas prasības attiecībā uz uzraudzības pārskatu sniegšanu </w:t>
            </w:r>
            <w:r w:rsidR="00830973" w:rsidRPr="00894D21">
              <w:rPr>
                <w:lang w:val="lv-LV" w:eastAsia="en-US"/>
              </w:rPr>
              <w:t xml:space="preserve">prudenciālās </w:t>
            </w:r>
            <w:r w:rsidR="0097512B" w:rsidRPr="00894D21">
              <w:rPr>
                <w:lang w:val="lv-LV" w:eastAsia="en-US"/>
              </w:rPr>
              <w:t xml:space="preserve">konsolidācijas </w:t>
            </w:r>
            <w:r w:rsidR="00830973" w:rsidRPr="00894D21">
              <w:rPr>
                <w:lang w:val="lv-LV" w:eastAsia="en-US"/>
              </w:rPr>
              <w:t xml:space="preserve">grupas </w:t>
            </w:r>
            <w:r w:rsidR="0097512B" w:rsidRPr="00894D21">
              <w:rPr>
                <w:lang w:val="lv-LV" w:eastAsia="en-US"/>
              </w:rPr>
              <w:t>līmenī</w:t>
            </w:r>
            <w:r w:rsidR="006A4A2E" w:rsidRPr="00894D21">
              <w:rPr>
                <w:lang w:val="lv-LV" w:eastAsia="en-US"/>
              </w:rPr>
              <w:t xml:space="preserve">. Tā kā </w:t>
            </w:r>
            <w:r w:rsidR="0055074B" w:rsidRPr="00894D21">
              <w:rPr>
                <w:lang w:val="lv-LV" w:eastAsia="en-US"/>
              </w:rPr>
              <w:t>ES r</w:t>
            </w:r>
            <w:r w:rsidR="006A4A2E" w:rsidRPr="00894D21">
              <w:rPr>
                <w:lang w:val="lv-LV" w:eastAsia="en-US"/>
              </w:rPr>
              <w:t>egula Nr.</w:t>
            </w:r>
            <w:r w:rsidR="00E32B51" w:rsidRPr="00894D21">
              <w:rPr>
                <w:lang w:val="lv-LV" w:eastAsia="en-US"/>
              </w:rPr>
              <w:t> </w:t>
            </w:r>
            <w:hyperlink r:id="rId14" w:tgtFrame="_blank" w:history="1">
              <w:r w:rsidR="006A4A2E" w:rsidRPr="00894D21">
                <w:rPr>
                  <w:lang w:val="lv-LV"/>
                </w:rPr>
                <w:t>2021/451</w:t>
              </w:r>
            </w:hyperlink>
            <w:r w:rsidR="006A4A2E" w:rsidRPr="00894D21">
              <w:rPr>
                <w:lang w:val="lv-LV"/>
              </w:rPr>
              <w:t xml:space="preserve"> </w:t>
            </w:r>
            <w:r w:rsidR="006A4A2E" w:rsidRPr="00894D21">
              <w:rPr>
                <w:lang w:val="lv-LV" w:eastAsia="en-US"/>
              </w:rPr>
              <w:t xml:space="preserve">neattiecas uz uzraudzības finanšu </w:t>
            </w:r>
            <w:r w:rsidR="00830973" w:rsidRPr="00894D21">
              <w:rPr>
                <w:lang w:val="lv-LV" w:eastAsia="en-US"/>
              </w:rPr>
              <w:t>pārskatu</w:t>
            </w:r>
            <w:r w:rsidR="003978C0" w:rsidRPr="00894D21">
              <w:rPr>
                <w:lang w:val="lv-LV" w:eastAsia="en-US"/>
              </w:rPr>
              <w:t xml:space="preserve"> </w:t>
            </w:r>
            <w:r w:rsidR="006A4A2E" w:rsidRPr="00894D21">
              <w:rPr>
                <w:lang w:val="lv-LV" w:eastAsia="en-US"/>
              </w:rPr>
              <w:t>sniegšanu</w:t>
            </w:r>
            <w:r w:rsidR="00830973" w:rsidRPr="00894D21">
              <w:rPr>
                <w:lang w:val="lv-LV" w:eastAsia="en-US"/>
              </w:rPr>
              <w:t xml:space="preserve"> individuāli</w:t>
            </w:r>
            <w:r w:rsidR="006A4A2E" w:rsidRPr="00894D21">
              <w:rPr>
                <w:lang w:val="lv-LV" w:eastAsia="en-US"/>
              </w:rPr>
              <w:t xml:space="preserve">, </w:t>
            </w:r>
            <w:r w:rsidR="00883EEF" w:rsidRPr="00894D21">
              <w:rPr>
                <w:lang w:val="lv-LV" w:eastAsia="en-US"/>
              </w:rPr>
              <w:t xml:space="preserve">ir pieņemta </w:t>
            </w:r>
            <w:r w:rsidR="006A4A2E" w:rsidRPr="00894D21">
              <w:rPr>
                <w:lang w:val="lv-LV" w:eastAsia="en-US"/>
              </w:rPr>
              <w:t>Eiropas Centrālā</w:t>
            </w:r>
            <w:r w:rsidR="00883EEF" w:rsidRPr="00894D21">
              <w:rPr>
                <w:lang w:val="lv-LV" w:eastAsia="en-US"/>
              </w:rPr>
              <w:t>s</w:t>
            </w:r>
            <w:r w:rsidR="006A4A2E" w:rsidRPr="00894D21">
              <w:rPr>
                <w:lang w:val="lv-LV" w:eastAsia="en-US"/>
              </w:rPr>
              <w:t xml:space="preserve"> banka</w:t>
            </w:r>
            <w:r w:rsidR="00883EEF" w:rsidRPr="00894D21">
              <w:rPr>
                <w:lang w:val="lv-LV" w:eastAsia="en-US"/>
              </w:rPr>
              <w:t>s</w:t>
            </w:r>
            <w:r w:rsidR="006A4A2E" w:rsidRPr="00894D21">
              <w:rPr>
                <w:lang w:val="lv-LV" w:eastAsia="en-US"/>
              </w:rPr>
              <w:t xml:space="preserve"> (turpmāk – ECB)</w:t>
            </w:r>
            <w:r w:rsidR="00883EEF" w:rsidRPr="00894D21">
              <w:rPr>
                <w:lang w:val="lv-LV"/>
              </w:rPr>
              <w:t xml:space="preserve"> </w:t>
            </w:r>
            <w:r w:rsidR="00883EEF" w:rsidRPr="00894D21">
              <w:rPr>
                <w:lang w:val="lv-LV" w:eastAsia="en-US"/>
              </w:rPr>
              <w:t>2015.</w:t>
            </w:r>
            <w:r w:rsidR="00C15D72" w:rsidRPr="00894D21">
              <w:rPr>
                <w:lang w:val="lv-LV" w:eastAsia="en-US"/>
              </w:rPr>
              <w:t> </w:t>
            </w:r>
            <w:r w:rsidR="00883EEF" w:rsidRPr="00894D21">
              <w:rPr>
                <w:lang w:val="lv-LV" w:eastAsia="en-US"/>
              </w:rPr>
              <w:t>gada 17.</w:t>
            </w:r>
            <w:r w:rsidR="00C15D72" w:rsidRPr="00894D21">
              <w:rPr>
                <w:lang w:val="lv-LV" w:eastAsia="en-US"/>
              </w:rPr>
              <w:t> </w:t>
            </w:r>
            <w:r w:rsidR="00883EEF" w:rsidRPr="00894D21">
              <w:rPr>
                <w:lang w:val="lv-LV" w:eastAsia="en-US"/>
              </w:rPr>
              <w:t>marta</w:t>
            </w:r>
            <w:r w:rsidR="006A4A2E" w:rsidRPr="00894D21">
              <w:rPr>
                <w:lang w:val="lv-LV" w:eastAsia="en-US"/>
              </w:rPr>
              <w:t xml:space="preserve"> </w:t>
            </w:r>
            <w:r w:rsidR="00A06E04" w:rsidRPr="00894D21">
              <w:rPr>
                <w:lang w:val="lv-LV" w:eastAsia="en-US"/>
              </w:rPr>
              <w:t>r</w:t>
            </w:r>
            <w:r w:rsidR="00CF2312" w:rsidRPr="00894D21">
              <w:rPr>
                <w:lang w:val="lv-LV" w:eastAsia="en-US"/>
              </w:rPr>
              <w:t>egul</w:t>
            </w:r>
            <w:r w:rsidR="00883EEF" w:rsidRPr="00894D21">
              <w:rPr>
                <w:lang w:val="lv-LV" w:eastAsia="en-US"/>
              </w:rPr>
              <w:t>a</w:t>
            </w:r>
            <w:r w:rsidR="00CF2312" w:rsidRPr="00894D21">
              <w:rPr>
                <w:lang w:val="lv-LV" w:eastAsia="en-US"/>
              </w:rPr>
              <w:t xml:space="preserve"> (ES) 2015/534 par uzraudzības finanšu informācijas sniegšanu (ECB/2015/13)</w:t>
            </w:r>
            <w:r w:rsidR="00114B2A" w:rsidRPr="00894D21">
              <w:rPr>
                <w:lang w:val="lv-LV" w:eastAsia="en-US"/>
              </w:rPr>
              <w:t>.</w:t>
            </w:r>
            <w:r w:rsidR="006A4A2E" w:rsidRPr="00894D21">
              <w:rPr>
                <w:lang w:val="lv-LV" w:eastAsia="en-US"/>
              </w:rPr>
              <w:t xml:space="preserve"> </w:t>
            </w:r>
            <w:r w:rsidR="00114B2A" w:rsidRPr="00894D21">
              <w:rPr>
                <w:lang w:val="lv-LV" w:eastAsia="en-US"/>
              </w:rPr>
              <w:t xml:space="preserve">Minētā regula </w:t>
            </w:r>
            <w:r w:rsidR="006A4A2E" w:rsidRPr="00894D21">
              <w:rPr>
                <w:lang w:val="lv-LV" w:eastAsia="en-US"/>
              </w:rPr>
              <w:t xml:space="preserve">nosaka minimālās prasības </w:t>
            </w:r>
            <w:r w:rsidR="008D0DC2" w:rsidRPr="00894D21">
              <w:rPr>
                <w:lang w:val="lv-LV" w:eastAsia="en-US"/>
              </w:rPr>
              <w:t>nozīmīg</w:t>
            </w:r>
            <w:r w:rsidR="00AD0DA2" w:rsidRPr="00894D21">
              <w:rPr>
                <w:lang w:val="lv-LV" w:eastAsia="en-US"/>
              </w:rPr>
              <w:t>aj</w:t>
            </w:r>
            <w:r w:rsidR="008D0DC2" w:rsidRPr="00894D21">
              <w:rPr>
                <w:lang w:val="lv-LV" w:eastAsia="en-US"/>
              </w:rPr>
              <w:t>ām uzraudzīt</w:t>
            </w:r>
            <w:r w:rsidR="00AD0DA2" w:rsidRPr="00894D21">
              <w:rPr>
                <w:lang w:val="lv-LV" w:eastAsia="en-US"/>
              </w:rPr>
              <w:t>aj</w:t>
            </w:r>
            <w:r w:rsidR="008D0DC2" w:rsidRPr="00894D21">
              <w:rPr>
                <w:lang w:val="lv-LV" w:eastAsia="en-US"/>
              </w:rPr>
              <w:t xml:space="preserve">ām </w:t>
            </w:r>
            <w:r w:rsidR="006A4A2E" w:rsidRPr="00894D21">
              <w:rPr>
                <w:lang w:val="lv-LV" w:eastAsia="en-US"/>
              </w:rPr>
              <w:t>kredītiestādēm attiecībā uz uzraudzības finanšu informācijas sniegšanu individuāl</w:t>
            </w:r>
            <w:r w:rsidR="00B71E28" w:rsidRPr="00894D21">
              <w:rPr>
                <w:lang w:val="lv-LV" w:eastAsia="en-US"/>
              </w:rPr>
              <w:t>i</w:t>
            </w:r>
            <w:r w:rsidR="006A4A2E" w:rsidRPr="00894D21">
              <w:rPr>
                <w:lang w:val="lv-LV" w:eastAsia="en-US"/>
              </w:rPr>
              <w:t xml:space="preserve"> un paredz iespēju </w:t>
            </w:r>
            <w:r w:rsidR="00B87348" w:rsidRPr="00894D21">
              <w:rPr>
                <w:lang w:val="lv-LV" w:eastAsia="en-US"/>
              </w:rPr>
              <w:t xml:space="preserve">nacionālajām </w:t>
            </w:r>
            <w:r w:rsidR="006A4A2E" w:rsidRPr="00894D21">
              <w:rPr>
                <w:lang w:val="lv-LV" w:eastAsia="en-US"/>
              </w:rPr>
              <w:t>kompetentajām iestādēm papildus pieprasīt nepieciešamos pārskatus individuāl</w:t>
            </w:r>
            <w:r w:rsidR="00207DA3" w:rsidRPr="00894D21">
              <w:rPr>
                <w:lang w:val="lv-LV" w:eastAsia="en-US"/>
              </w:rPr>
              <w:t>i</w:t>
            </w:r>
            <w:r w:rsidR="006A4A2E" w:rsidRPr="00894D21">
              <w:rPr>
                <w:lang w:val="lv-LV" w:eastAsia="en-US"/>
              </w:rPr>
              <w:t>.</w:t>
            </w:r>
            <w:r w:rsidR="00561BA6" w:rsidRPr="00894D21">
              <w:rPr>
                <w:lang w:val="lv-LV" w:eastAsia="en-US"/>
              </w:rPr>
              <w:t xml:space="preserve"> </w:t>
            </w:r>
            <w:r w:rsidR="007F1630" w:rsidRPr="00894D21">
              <w:rPr>
                <w:lang w:val="lv-LV" w:eastAsia="en-US"/>
              </w:rPr>
              <w:t>Šo iespēju Latvijas Banka izmanto</w:t>
            </w:r>
            <w:r w:rsidR="00025657" w:rsidRPr="00894D21">
              <w:rPr>
                <w:lang w:val="lv-LV" w:eastAsia="en-US"/>
              </w:rPr>
              <w:t xml:space="preserve">, nosakot prasības </w:t>
            </w:r>
            <w:r w:rsidR="00B25316" w:rsidRPr="00894D21">
              <w:rPr>
                <w:lang w:val="lv-LV"/>
              </w:rPr>
              <w:t xml:space="preserve">filiālēm un </w:t>
            </w:r>
            <w:r w:rsidR="009A1427" w:rsidRPr="00894D21">
              <w:rPr>
                <w:lang w:val="lv-LV" w:eastAsia="en-US"/>
              </w:rPr>
              <w:t>k</w:t>
            </w:r>
            <w:r w:rsidR="009A1427" w:rsidRPr="00894D21">
              <w:rPr>
                <w:lang w:val="lv-LV"/>
              </w:rPr>
              <w:t xml:space="preserve">redītiestādēm, kas ir mazāk nozīmīgās uzraudzītās iestādes, </w:t>
            </w:r>
            <w:r w:rsidR="00530FE0" w:rsidRPr="00894D21">
              <w:rPr>
                <w:lang w:val="lv-LV"/>
              </w:rPr>
              <w:t xml:space="preserve">sniegt </w:t>
            </w:r>
            <w:r w:rsidR="009A1427" w:rsidRPr="00894D21">
              <w:rPr>
                <w:lang w:val="lv-LV"/>
              </w:rPr>
              <w:t>uzraudzības finanšu pārskatus individuāl</w:t>
            </w:r>
            <w:r w:rsidR="002522C7" w:rsidRPr="00894D21">
              <w:rPr>
                <w:lang w:val="lv-LV"/>
              </w:rPr>
              <w:t>i</w:t>
            </w:r>
            <w:r w:rsidR="00B25316" w:rsidRPr="00894D21">
              <w:rPr>
                <w:lang w:val="lv-LV"/>
              </w:rPr>
              <w:t xml:space="preserve">, </w:t>
            </w:r>
            <w:r w:rsidR="00C46EFD" w:rsidRPr="00894D21">
              <w:rPr>
                <w:lang w:val="lv-LV"/>
              </w:rPr>
              <w:t xml:space="preserve">izmantojot </w:t>
            </w:r>
            <w:r w:rsidR="0055074B" w:rsidRPr="00894D21">
              <w:rPr>
                <w:lang w:val="lv-LV"/>
              </w:rPr>
              <w:t>ES r</w:t>
            </w:r>
            <w:r w:rsidR="00C46EFD" w:rsidRPr="00894D21">
              <w:rPr>
                <w:lang w:val="lv-LV" w:eastAsia="en-US"/>
              </w:rPr>
              <w:t>egulā Nr. 2021/451 noteiktās pārskatu veidnes.</w:t>
            </w:r>
          </w:p>
          <w:p w14:paraId="6452C3B3" w14:textId="56998535" w:rsidR="007223D9" w:rsidRPr="00894D21" w:rsidRDefault="00E22CBD" w:rsidP="00D53AC5">
            <w:pPr>
              <w:pStyle w:val="BodyText"/>
              <w:spacing w:line="240" w:lineRule="auto"/>
              <w:jc w:val="both"/>
              <w:rPr>
                <w:rFonts w:ascii="Times New Roman" w:hAnsi="Times New Roman" w:cs="Times New Roman"/>
                <w:sz w:val="24"/>
                <w:szCs w:val="24"/>
              </w:rPr>
            </w:pPr>
            <w:r w:rsidRPr="00894D21">
              <w:rPr>
                <w:rFonts w:ascii="Times New Roman" w:hAnsi="Times New Roman" w:cs="Times New Roman"/>
                <w:b/>
                <w:bCs/>
                <w:sz w:val="24"/>
                <w:szCs w:val="24"/>
              </w:rPr>
              <w:t>P</w:t>
            </w:r>
            <w:r w:rsidR="008A3794" w:rsidRPr="00894D21">
              <w:rPr>
                <w:rFonts w:ascii="Times New Roman" w:hAnsi="Times New Roman" w:cs="Times New Roman"/>
                <w:b/>
                <w:bCs/>
                <w:sz w:val="24"/>
                <w:szCs w:val="24"/>
              </w:rPr>
              <w:t>ārskat</w:t>
            </w:r>
            <w:r w:rsidRPr="00894D21">
              <w:rPr>
                <w:rFonts w:ascii="Times New Roman" w:hAnsi="Times New Roman" w:cs="Times New Roman"/>
                <w:b/>
                <w:bCs/>
                <w:sz w:val="24"/>
                <w:szCs w:val="24"/>
              </w:rPr>
              <w:t>s</w:t>
            </w:r>
            <w:r w:rsidR="00F46960" w:rsidRPr="00894D21">
              <w:rPr>
                <w:rFonts w:ascii="Times New Roman" w:hAnsi="Times New Roman" w:cs="Times New Roman"/>
                <w:b/>
                <w:bCs/>
                <w:sz w:val="24"/>
                <w:szCs w:val="24"/>
              </w:rPr>
              <w:t xml:space="preserve"> par</w:t>
            </w:r>
            <w:r w:rsidR="00F46960" w:rsidRPr="00894D21">
              <w:rPr>
                <w:rFonts w:ascii="Times New Roman" w:hAnsi="Times New Roman" w:cs="Times New Roman"/>
                <w:sz w:val="24"/>
                <w:szCs w:val="24"/>
              </w:rPr>
              <w:t xml:space="preserve"> </w:t>
            </w:r>
            <w:r w:rsidR="00F46960" w:rsidRPr="00894D21">
              <w:rPr>
                <w:rFonts w:ascii="Times New Roman" w:hAnsi="Times New Roman" w:cs="Times New Roman"/>
                <w:b/>
                <w:bCs/>
                <w:sz w:val="24"/>
                <w:szCs w:val="24"/>
              </w:rPr>
              <w:t>operacionālā riska zaudējumiem</w:t>
            </w:r>
            <w:r w:rsidR="00002BCB" w:rsidRPr="00894D21">
              <w:rPr>
                <w:rFonts w:ascii="Times New Roman" w:hAnsi="Times New Roman" w:cs="Times New Roman"/>
                <w:b/>
                <w:bCs/>
                <w:sz w:val="24"/>
                <w:szCs w:val="24"/>
              </w:rPr>
              <w:t xml:space="preserve"> </w:t>
            </w:r>
            <w:r w:rsidR="00002BCB" w:rsidRPr="00894D21">
              <w:rPr>
                <w:rFonts w:ascii="Times New Roman" w:hAnsi="Times New Roman" w:cs="Times New Roman"/>
                <w:sz w:val="24"/>
                <w:szCs w:val="24"/>
              </w:rPr>
              <w:t xml:space="preserve">ieviests, pamatojoties uz Kredītiestāžu likumā noteikto deleģējumu, lai </w:t>
            </w:r>
            <w:r w:rsidR="0022224A" w:rsidRPr="00894D21">
              <w:rPr>
                <w:rFonts w:ascii="Times New Roman" w:hAnsi="Times New Roman" w:cs="Times New Roman"/>
                <w:sz w:val="24"/>
                <w:szCs w:val="24"/>
              </w:rPr>
              <w:t>nodrošinātu Latvijas Bankai tās uzraudzības funkciju veikšanai nepieciešamo informāciju par katras atsevišķas kredītiestādes un kredītiestāžu sektora pakļautību operacionālajam</w:t>
            </w:r>
            <w:r w:rsidR="009F58E5" w:rsidRPr="00894D21">
              <w:rPr>
                <w:rFonts w:ascii="Times New Roman" w:hAnsi="Times New Roman" w:cs="Times New Roman"/>
                <w:sz w:val="24"/>
                <w:szCs w:val="24"/>
              </w:rPr>
              <w:t xml:space="preserve"> riskam</w:t>
            </w:r>
            <w:r w:rsidR="00F067E6" w:rsidRPr="00894D21">
              <w:rPr>
                <w:rFonts w:ascii="Times New Roman" w:hAnsi="Times New Roman" w:cs="Times New Roman"/>
                <w:sz w:val="24"/>
                <w:szCs w:val="24"/>
              </w:rPr>
              <w:t xml:space="preserve">, </w:t>
            </w:r>
            <w:r w:rsidR="007E4051" w:rsidRPr="00894D21">
              <w:rPr>
                <w:rFonts w:ascii="Times New Roman" w:hAnsi="Times New Roman" w:cs="Times New Roman"/>
                <w:sz w:val="24"/>
                <w:szCs w:val="24"/>
              </w:rPr>
              <w:t>izmantojot</w:t>
            </w:r>
            <w:r w:rsidR="007E4051" w:rsidRPr="00D53AC5">
              <w:rPr>
                <w:rFonts w:ascii="Times New Roman" w:hAnsi="Times New Roman" w:cs="Times New Roman"/>
              </w:rPr>
              <w:t xml:space="preserve"> </w:t>
            </w:r>
            <w:r w:rsidR="00D66869" w:rsidRPr="00894D21">
              <w:rPr>
                <w:rFonts w:ascii="Times New Roman" w:hAnsi="Times New Roman" w:cs="Times New Roman"/>
                <w:sz w:val="24"/>
                <w:szCs w:val="24"/>
              </w:rPr>
              <w:t>ES r</w:t>
            </w:r>
            <w:r w:rsidR="007E4051" w:rsidRPr="00894D21">
              <w:rPr>
                <w:rFonts w:ascii="Times New Roman" w:hAnsi="Times New Roman" w:cs="Times New Roman"/>
                <w:sz w:val="24"/>
                <w:szCs w:val="24"/>
              </w:rPr>
              <w:t>egulā Nr.</w:t>
            </w:r>
            <w:r w:rsidR="00A11613" w:rsidRPr="00894D21">
              <w:rPr>
                <w:rFonts w:ascii="Times New Roman" w:hAnsi="Times New Roman" w:cs="Times New Roman"/>
                <w:sz w:val="24"/>
                <w:szCs w:val="24"/>
              </w:rPr>
              <w:t> </w:t>
            </w:r>
            <w:r w:rsidR="007E4051" w:rsidRPr="00894D21">
              <w:rPr>
                <w:rFonts w:ascii="Times New Roman" w:hAnsi="Times New Roman" w:cs="Times New Roman"/>
                <w:sz w:val="24"/>
                <w:szCs w:val="24"/>
              </w:rPr>
              <w:t>2021/451 noteikto pārskata veidni</w:t>
            </w:r>
            <w:r w:rsidR="009F58E5" w:rsidRPr="00894D21">
              <w:rPr>
                <w:rFonts w:ascii="Times New Roman" w:hAnsi="Times New Roman" w:cs="Times New Roman"/>
                <w:sz w:val="24"/>
                <w:szCs w:val="24"/>
              </w:rPr>
              <w:t>.</w:t>
            </w:r>
          </w:p>
          <w:p w14:paraId="46CD6735" w14:textId="70522845" w:rsidR="00561BA6" w:rsidRPr="00894D21" w:rsidRDefault="00E44E45" w:rsidP="00D53AC5">
            <w:pPr>
              <w:spacing w:after="120" w:line="240" w:lineRule="auto"/>
              <w:jc w:val="both"/>
              <w:rPr>
                <w:rFonts w:ascii="Times New Roman" w:eastAsia="Times New Roman" w:hAnsi="Times New Roman" w:cs="Times New Roman"/>
                <w:iCs/>
                <w:sz w:val="24"/>
                <w:szCs w:val="24"/>
                <w:lang w:eastAsia="lv-LV"/>
              </w:rPr>
            </w:pPr>
            <w:r w:rsidRPr="00894D21">
              <w:rPr>
                <w:rFonts w:ascii="Times New Roman" w:hAnsi="Times New Roman" w:cs="Times New Roman"/>
                <w:b/>
                <w:bCs/>
                <w:sz w:val="24"/>
                <w:szCs w:val="24"/>
              </w:rPr>
              <w:lastRenderedPageBreak/>
              <w:t>Pārskat</w:t>
            </w:r>
            <w:r w:rsidR="00E83C44" w:rsidRPr="00894D21">
              <w:rPr>
                <w:rFonts w:ascii="Times New Roman" w:hAnsi="Times New Roman" w:cs="Times New Roman"/>
                <w:b/>
                <w:bCs/>
                <w:sz w:val="24"/>
                <w:szCs w:val="24"/>
              </w:rPr>
              <w:t>s</w:t>
            </w:r>
            <w:r w:rsidRPr="00894D21">
              <w:rPr>
                <w:rFonts w:ascii="Times New Roman" w:hAnsi="Times New Roman" w:cs="Times New Roman"/>
                <w:b/>
                <w:bCs/>
                <w:sz w:val="24"/>
                <w:szCs w:val="24"/>
              </w:rPr>
              <w:t xml:space="preserve"> par finansēšanas plāniem</w:t>
            </w:r>
            <w:r w:rsidRPr="00894D21">
              <w:rPr>
                <w:rFonts w:ascii="Times New Roman" w:hAnsi="Times New Roman" w:cs="Times New Roman"/>
                <w:sz w:val="24"/>
                <w:szCs w:val="24"/>
              </w:rPr>
              <w:t xml:space="preserve"> </w:t>
            </w:r>
            <w:r w:rsidR="00BA7271" w:rsidRPr="00894D21">
              <w:rPr>
                <w:rFonts w:ascii="Times New Roman" w:hAnsi="Times New Roman" w:cs="Times New Roman"/>
                <w:sz w:val="24"/>
                <w:szCs w:val="24"/>
              </w:rPr>
              <w:t>ieviests</w:t>
            </w:r>
            <w:r w:rsidRPr="00894D21">
              <w:rPr>
                <w:rFonts w:ascii="Times New Roman" w:hAnsi="Times New Roman" w:cs="Times New Roman"/>
                <w:sz w:val="24"/>
                <w:szCs w:val="24"/>
              </w:rPr>
              <w:t xml:space="preserve">, </w:t>
            </w:r>
            <w:r w:rsidRPr="00894D21">
              <w:rPr>
                <w:rFonts w:ascii="Times New Roman" w:eastAsia="Calibri" w:hAnsi="Times New Roman" w:cs="Times New Roman"/>
                <w:color w:val="000000"/>
                <w:sz w:val="24"/>
                <w:szCs w:val="24"/>
              </w:rPr>
              <w:t xml:space="preserve">pamatojoties uz Kredītiestāžu likumā noteikto deleģējumu, lai atbilstoši </w:t>
            </w:r>
            <w:r w:rsidRPr="00894D21">
              <w:rPr>
                <w:rFonts w:ascii="Times New Roman" w:hAnsi="Times New Roman" w:cs="Times New Roman"/>
                <w:sz w:val="24"/>
                <w:szCs w:val="24"/>
              </w:rPr>
              <w:t>Eiropas Banku iestādes 2019.</w:t>
            </w:r>
            <w:r w:rsidR="00A11613" w:rsidRPr="00894D21">
              <w:rPr>
                <w:rFonts w:ascii="Times New Roman" w:hAnsi="Times New Roman" w:cs="Times New Roman"/>
                <w:sz w:val="24"/>
                <w:szCs w:val="24"/>
              </w:rPr>
              <w:t> </w:t>
            </w:r>
            <w:r w:rsidRPr="00894D21">
              <w:rPr>
                <w:rFonts w:ascii="Times New Roman" w:hAnsi="Times New Roman" w:cs="Times New Roman"/>
                <w:sz w:val="24"/>
                <w:szCs w:val="24"/>
              </w:rPr>
              <w:t>gada 9.</w:t>
            </w:r>
            <w:r w:rsidR="00A11613" w:rsidRPr="00894D21">
              <w:rPr>
                <w:rFonts w:ascii="Times New Roman" w:hAnsi="Times New Roman" w:cs="Times New Roman"/>
                <w:sz w:val="24"/>
                <w:szCs w:val="24"/>
              </w:rPr>
              <w:t> </w:t>
            </w:r>
            <w:r w:rsidRPr="00894D21">
              <w:rPr>
                <w:rFonts w:ascii="Times New Roman" w:hAnsi="Times New Roman" w:cs="Times New Roman"/>
                <w:sz w:val="24"/>
                <w:szCs w:val="24"/>
              </w:rPr>
              <w:t>decembra pamatnostādnēs EBI/GL/2019/05 "</w:t>
            </w:r>
            <w:r w:rsidRPr="00894D21">
              <w:rPr>
                <w:rFonts w:ascii="Times New Roman" w:hAnsi="Times New Roman" w:cs="Times New Roman"/>
                <w:iCs/>
                <w:sz w:val="24"/>
                <w:szCs w:val="24"/>
              </w:rPr>
              <w:t>Pamatnostādnes par saskaņotām definīcijām un veidnēm kredītiestāžu finansēšanas plāniem saskaņā ar Eiropas Sistēmisko risku kolēģijas 2012.</w:t>
            </w:r>
            <w:r w:rsidR="009226BF" w:rsidRPr="00894D21">
              <w:rPr>
                <w:rFonts w:ascii="Times New Roman" w:hAnsi="Times New Roman" w:cs="Times New Roman"/>
                <w:iCs/>
                <w:sz w:val="24"/>
                <w:szCs w:val="24"/>
              </w:rPr>
              <w:t> </w:t>
            </w:r>
            <w:r w:rsidRPr="00894D21">
              <w:rPr>
                <w:rFonts w:ascii="Times New Roman" w:hAnsi="Times New Roman" w:cs="Times New Roman"/>
                <w:iCs/>
                <w:sz w:val="24"/>
                <w:szCs w:val="24"/>
              </w:rPr>
              <w:t>gada 20.</w:t>
            </w:r>
            <w:r w:rsidR="009226BF" w:rsidRPr="00894D21">
              <w:rPr>
                <w:rFonts w:ascii="Times New Roman" w:hAnsi="Times New Roman" w:cs="Times New Roman"/>
                <w:iCs/>
                <w:sz w:val="24"/>
                <w:szCs w:val="24"/>
              </w:rPr>
              <w:t> </w:t>
            </w:r>
            <w:r w:rsidRPr="00894D21">
              <w:rPr>
                <w:rFonts w:ascii="Times New Roman" w:hAnsi="Times New Roman" w:cs="Times New Roman"/>
                <w:iCs/>
                <w:sz w:val="24"/>
                <w:szCs w:val="24"/>
              </w:rPr>
              <w:t>decembra ieteikumu (ESRB/2012/2)</w:t>
            </w:r>
            <w:r w:rsidRPr="00894D21">
              <w:rPr>
                <w:rFonts w:ascii="Times New Roman" w:hAnsi="Times New Roman" w:cs="Times New Roman"/>
                <w:sz w:val="24"/>
                <w:szCs w:val="24"/>
              </w:rPr>
              <w:t>" noteiktajām prasībām nodrošinātu vienotu pieeju pārskatu par finansēšanas plāniem sagatavošanai</w:t>
            </w:r>
            <w:r w:rsidR="00CE1BD6" w:rsidRPr="00894D21">
              <w:rPr>
                <w:rFonts w:ascii="Times New Roman" w:hAnsi="Times New Roman" w:cs="Times New Roman"/>
                <w:sz w:val="24"/>
                <w:szCs w:val="24"/>
              </w:rPr>
              <w:t>, t.</w:t>
            </w:r>
            <w:r w:rsidR="00AD0DA2" w:rsidRPr="00894D21">
              <w:rPr>
                <w:rFonts w:ascii="Times New Roman" w:hAnsi="Times New Roman" w:cs="Times New Roman"/>
                <w:sz w:val="24"/>
                <w:szCs w:val="24"/>
              </w:rPr>
              <w:t> </w:t>
            </w:r>
            <w:r w:rsidR="00CE1BD6" w:rsidRPr="00894D21">
              <w:rPr>
                <w:rFonts w:ascii="Times New Roman" w:hAnsi="Times New Roman" w:cs="Times New Roman"/>
                <w:sz w:val="24"/>
                <w:szCs w:val="24"/>
              </w:rPr>
              <w:t>i.</w:t>
            </w:r>
            <w:r w:rsidR="00AD0DA2" w:rsidRPr="00894D21">
              <w:rPr>
                <w:rFonts w:ascii="Times New Roman" w:hAnsi="Times New Roman" w:cs="Times New Roman"/>
                <w:sz w:val="24"/>
                <w:szCs w:val="24"/>
              </w:rPr>
              <w:t>,</w:t>
            </w:r>
            <w:r w:rsidR="00CE1BD6" w:rsidRPr="00894D21">
              <w:rPr>
                <w:rFonts w:ascii="Times New Roman" w:hAnsi="Times New Roman" w:cs="Times New Roman"/>
                <w:sz w:val="24"/>
                <w:szCs w:val="24"/>
              </w:rPr>
              <w:t xml:space="preserve"> </w:t>
            </w:r>
            <w:r w:rsidR="00CE1BD6" w:rsidRPr="00894D21">
              <w:rPr>
                <w:rFonts w:ascii="Times New Roman" w:eastAsia="Calibri" w:hAnsi="Times New Roman" w:cs="Times New Roman"/>
                <w:color w:val="000000"/>
                <w:sz w:val="24"/>
                <w:szCs w:val="24"/>
              </w:rPr>
              <w:t>n</w:t>
            </w:r>
            <w:r w:rsidR="0090232B" w:rsidRPr="00894D21">
              <w:rPr>
                <w:rFonts w:ascii="Times New Roman" w:eastAsia="Times New Roman" w:hAnsi="Times New Roman" w:cs="Times New Roman"/>
                <w:iCs/>
                <w:sz w:val="24"/>
                <w:szCs w:val="24"/>
                <w:lang w:eastAsia="lv-LV"/>
              </w:rPr>
              <w:t>oteikumu projek</w:t>
            </w:r>
            <w:r w:rsidR="007E125A" w:rsidRPr="00894D21">
              <w:rPr>
                <w:rFonts w:ascii="Times New Roman" w:eastAsia="Times New Roman" w:hAnsi="Times New Roman" w:cs="Times New Roman"/>
                <w:iCs/>
                <w:sz w:val="24"/>
                <w:szCs w:val="24"/>
                <w:lang w:eastAsia="lv-LV"/>
              </w:rPr>
              <w:t xml:space="preserve">ts </w:t>
            </w:r>
            <w:r w:rsidR="00016559" w:rsidRPr="00894D21">
              <w:rPr>
                <w:rFonts w:ascii="Times New Roman" w:eastAsia="Times New Roman" w:hAnsi="Times New Roman" w:cs="Times New Roman"/>
                <w:iCs/>
                <w:sz w:val="24"/>
                <w:szCs w:val="24"/>
                <w:lang w:eastAsia="lv-LV"/>
              </w:rPr>
              <w:t xml:space="preserve">ievieš </w:t>
            </w:r>
            <w:r w:rsidRPr="00894D21">
              <w:rPr>
                <w:rFonts w:ascii="Times New Roman" w:eastAsia="Times New Roman" w:hAnsi="Times New Roman" w:cs="Times New Roman"/>
                <w:iCs/>
                <w:sz w:val="24"/>
                <w:szCs w:val="24"/>
                <w:lang w:eastAsia="lv-LV"/>
              </w:rPr>
              <w:t xml:space="preserve">harmonizētas pārskata </w:t>
            </w:r>
            <w:r w:rsidR="00D76833" w:rsidRPr="00894D21">
              <w:rPr>
                <w:rFonts w:ascii="Times New Roman" w:eastAsia="Times New Roman" w:hAnsi="Times New Roman" w:cs="Times New Roman"/>
                <w:iCs/>
                <w:sz w:val="24"/>
                <w:szCs w:val="24"/>
                <w:lang w:eastAsia="lv-LV"/>
              </w:rPr>
              <w:t>veidnes</w:t>
            </w:r>
            <w:r w:rsidRPr="00894D21">
              <w:rPr>
                <w:rFonts w:ascii="Times New Roman" w:eastAsia="Times New Roman" w:hAnsi="Times New Roman" w:cs="Times New Roman"/>
                <w:iCs/>
                <w:sz w:val="24"/>
                <w:szCs w:val="24"/>
                <w:lang w:eastAsia="lv-LV"/>
              </w:rPr>
              <w:t>, kuras</w:t>
            </w:r>
            <w:r w:rsidR="001C6278" w:rsidRPr="00894D21">
              <w:rPr>
                <w:rFonts w:ascii="Times New Roman" w:eastAsia="Times New Roman" w:hAnsi="Times New Roman" w:cs="Times New Roman"/>
                <w:iCs/>
                <w:sz w:val="24"/>
                <w:szCs w:val="24"/>
                <w:lang w:eastAsia="lv-LV"/>
              </w:rPr>
              <w:t xml:space="preserve"> kredītiestādes</w:t>
            </w:r>
            <w:r w:rsidRPr="00894D21">
              <w:rPr>
                <w:rFonts w:ascii="Times New Roman" w:eastAsia="Times New Roman" w:hAnsi="Times New Roman" w:cs="Times New Roman"/>
                <w:iCs/>
                <w:sz w:val="24"/>
                <w:szCs w:val="24"/>
                <w:lang w:eastAsia="lv-LV"/>
              </w:rPr>
              <w:t xml:space="preserve"> izmanto ziņošanai par finansēšanas plāniem uzraudzības iestādēm, nodrošinot, ka tiek ievērots Eiropas Sistēmisko risku kolēģijas 2012. gada 20. decembra ieteikumu par kredītiestāžu finansējumu A ieteikuma 4. punkts</w:t>
            </w:r>
            <w:r w:rsidR="00376741" w:rsidRPr="00894D21">
              <w:rPr>
                <w:rFonts w:ascii="Times New Roman" w:eastAsia="Times New Roman" w:hAnsi="Times New Roman" w:cs="Times New Roman"/>
                <w:iCs/>
                <w:sz w:val="24"/>
                <w:szCs w:val="24"/>
                <w:lang w:eastAsia="lv-LV"/>
              </w:rPr>
              <w:t>.</w:t>
            </w:r>
          </w:p>
          <w:p w14:paraId="2C9F294A" w14:textId="79C78948" w:rsidR="0065104E" w:rsidRPr="00894D21" w:rsidRDefault="0065104E" w:rsidP="00D53AC5">
            <w:pPr>
              <w:spacing w:after="120" w:line="240" w:lineRule="auto"/>
              <w:jc w:val="both"/>
              <w:rPr>
                <w:rFonts w:ascii="Times New Roman" w:eastAsia="Times New Roman" w:hAnsi="Times New Roman" w:cs="Times New Roman"/>
                <w:iCs/>
                <w:sz w:val="24"/>
                <w:szCs w:val="24"/>
                <w:lang w:eastAsia="lv-LV"/>
              </w:rPr>
            </w:pPr>
            <w:r w:rsidRPr="00894D21">
              <w:rPr>
                <w:rFonts w:ascii="Times New Roman" w:eastAsia="Times New Roman" w:hAnsi="Times New Roman" w:cs="Times New Roman"/>
                <w:b/>
                <w:bCs/>
                <w:iCs/>
                <w:sz w:val="24"/>
                <w:szCs w:val="24"/>
                <w:lang w:eastAsia="lv-LV"/>
              </w:rPr>
              <w:t>Pārskat</w:t>
            </w:r>
            <w:r w:rsidR="00AD0DA2" w:rsidRPr="00894D21">
              <w:rPr>
                <w:rFonts w:ascii="Times New Roman" w:eastAsia="Times New Roman" w:hAnsi="Times New Roman" w:cs="Times New Roman"/>
                <w:b/>
                <w:bCs/>
                <w:iCs/>
                <w:sz w:val="24"/>
                <w:szCs w:val="24"/>
                <w:lang w:eastAsia="lv-LV"/>
              </w:rPr>
              <w:t>s</w:t>
            </w:r>
            <w:r w:rsidRPr="00894D21">
              <w:rPr>
                <w:rFonts w:ascii="Times New Roman" w:eastAsia="Times New Roman" w:hAnsi="Times New Roman" w:cs="Times New Roman"/>
                <w:b/>
                <w:bCs/>
                <w:iCs/>
                <w:sz w:val="24"/>
                <w:szCs w:val="24"/>
                <w:lang w:eastAsia="lv-LV"/>
              </w:rPr>
              <w:t xml:space="preserve"> par saņemtajām sūdzībām</w:t>
            </w:r>
            <w:r w:rsidR="00B8646A" w:rsidRPr="00894D21">
              <w:rPr>
                <w:rFonts w:ascii="Times New Roman" w:eastAsia="Times New Roman" w:hAnsi="Times New Roman" w:cs="Times New Roman"/>
                <w:iCs/>
                <w:sz w:val="24"/>
                <w:szCs w:val="24"/>
                <w:lang w:eastAsia="lv-LV"/>
              </w:rPr>
              <w:t xml:space="preserve"> </w:t>
            </w:r>
            <w:r w:rsidR="00897A62" w:rsidRPr="00894D21">
              <w:rPr>
                <w:rFonts w:ascii="Times New Roman" w:eastAsia="Times New Roman" w:hAnsi="Times New Roman" w:cs="Times New Roman"/>
                <w:iCs/>
                <w:sz w:val="24"/>
                <w:szCs w:val="24"/>
                <w:lang w:eastAsia="lv-LV"/>
              </w:rPr>
              <w:t>noteikumu projektā ievie</w:t>
            </w:r>
            <w:r w:rsidR="00AD0DA2" w:rsidRPr="00894D21">
              <w:rPr>
                <w:rFonts w:ascii="Times New Roman" w:eastAsia="Times New Roman" w:hAnsi="Times New Roman" w:cs="Times New Roman"/>
                <w:iCs/>
                <w:sz w:val="24"/>
                <w:szCs w:val="24"/>
                <w:lang w:eastAsia="lv-LV"/>
              </w:rPr>
              <w:t>sts</w:t>
            </w:r>
            <w:r w:rsidR="00897A62" w:rsidRPr="00894D21">
              <w:rPr>
                <w:rFonts w:ascii="Times New Roman" w:eastAsia="Times New Roman" w:hAnsi="Times New Roman" w:cs="Times New Roman"/>
                <w:iCs/>
                <w:sz w:val="24"/>
                <w:szCs w:val="24"/>
                <w:lang w:eastAsia="lv-LV"/>
              </w:rPr>
              <w:t xml:space="preserve">, jo </w:t>
            </w:r>
            <w:r w:rsidR="00B8646A" w:rsidRPr="00894D21">
              <w:rPr>
                <w:rFonts w:ascii="Times New Roman" w:eastAsia="Times New Roman" w:hAnsi="Times New Roman" w:cs="Times New Roman"/>
                <w:iCs/>
                <w:sz w:val="24"/>
                <w:szCs w:val="24"/>
                <w:lang w:eastAsia="lv-LV"/>
              </w:rPr>
              <w:t>Latvijas Banka</w:t>
            </w:r>
            <w:r w:rsidR="001F069D" w:rsidRPr="00894D21">
              <w:rPr>
                <w:rFonts w:ascii="Times New Roman" w:eastAsia="Times New Roman" w:hAnsi="Times New Roman" w:cs="Times New Roman"/>
                <w:iCs/>
                <w:sz w:val="24"/>
                <w:szCs w:val="24"/>
                <w:lang w:eastAsia="lv-LV"/>
              </w:rPr>
              <w:t xml:space="preserve"> </w:t>
            </w:r>
            <w:r w:rsidR="004F7AA5" w:rsidRPr="00894D21">
              <w:rPr>
                <w:rFonts w:ascii="Times New Roman" w:eastAsia="Times New Roman" w:hAnsi="Times New Roman" w:cs="Times New Roman"/>
                <w:iCs/>
                <w:sz w:val="24"/>
                <w:szCs w:val="24"/>
                <w:lang w:eastAsia="lv-LV"/>
              </w:rPr>
              <w:t>(iepriekš</w:t>
            </w:r>
            <w:r w:rsidR="009F4C41" w:rsidRPr="00894D21">
              <w:rPr>
                <w:rFonts w:ascii="Times New Roman" w:eastAsia="Times New Roman" w:hAnsi="Times New Roman" w:cs="Times New Roman"/>
                <w:iCs/>
                <w:sz w:val="24"/>
                <w:szCs w:val="24"/>
                <w:lang w:eastAsia="lv-LV"/>
              </w:rPr>
              <w:t> –</w:t>
            </w:r>
            <w:r w:rsidR="004F7AA5" w:rsidRPr="00894D21">
              <w:rPr>
                <w:rFonts w:ascii="Times New Roman" w:eastAsia="Times New Roman" w:hAnsi="Times New Roman" w:cs="Times New Roman"/>
                <w:iCs/>
                <w:sz w:val="24"/>
                <w:szCs w:val="24"/>
                <w:lang w:eastAsia="lv-LV"/>
              </w:rPr>
              <w:t xml:space="preserve"> </w:t>
            </w:r>
            <w:r w:rsidR="007357DC" w:rsidRPr="00894D21">
              <w:rPr>
                <w:rFonts w:ascii="Times New Roman" w:eastAsia="Times New Roman" w:hAnsi="Times New Roman" w:cs="Times New Roman"/>
                <w:iCs/>
                <w:sz w:val="24"/>
                <w:szCs w:val="24"/>
                <w:lang w:eastAsia="lv-LV"/>
              </w:rPr>
              <w:t>Finanšu un kapitāla tirgus komisija</w:t>
            </w:r>
            <w:r w:rsidR="004F7AA5" w:rsidRPr="00894D21">
              <w:rPr>
                <w:rFonts w:ascii="Times New Roman" w:eastAsia="Times New Roman" w:hAnsi="Times New Roman" w:cs="Times New Roman"/>
                <w:iCs/>
                <w:sz w:val="24"/>
                <w:szCs w:val="24"/>
                <w:lang w:eastAsia="lv-LV"/>
              </w:rPr>
              <w:t>)</w:t>
            </w:r>
            <w:r w:rsidRPr="00894D21">
              <w:rPr>
                <w:rFonts w:ascii="Times New Roman" w:eastAsia="Times New Roman" w:hAnsi="Times New Roman" w:cs="Times New Roman"/>
                <w:iCs/>
                <w:sz w:val="24"/>
                <w:szCs w:val="24"/>
                <w:lang w:eastAsia="lv-LV"/>
              </w:rPr>
              <w:t xml:space="preserve"> </w:t>
            </w:r>
            <w:r w:rsidR="00897A62" w:rsidRPr="00894D21">
              <w:rPr>
                <w:rFonts w:ascii="Times New Roman" w:eastAsia="Times New Roman" w:hAnsi="Times New Roman" w:cs="Times New Roman"/>
                <w:iCs/>
                <w:sz w:val="24"/>
                <w:szCs w:val="24"/>
                <w:lang w:eastAsia="lv-LV"/>
              </w:rPr>
              <w:t>šādu informāciju saņ</w:t>
            </w:r>
            <w:r w:rsidR="004F7AA5" w:rsidRPr="00894D21">
              <w:rPr>
                <w:rFonts w:ascii="Times New Roman" w:eastAsia="Times New Roman" w:hAnsi="Times New Roman" w:cs="Times New Roman"/>
                <w:iCs/>
                <w:sz w:val="24"/>
                <w:szCs w:val="24"/>
                <w:lang w:eastAsia="lv-LV"/>
              </w:rPr>
              <w:t>em</w:t>
            </w:r>
            <w:r w:rsidR="00897A62" w:rsidRPr="00894D21">
              <w:rPr>
                <w:rFonts w:ascii="Times New Roman" w:eastAsia="Times New Roman" w:hAnsi="Times New Roman" w:cs="Times New Roman"/>
                <w:iCs/>
                <w:sz w:val="24"/>
                <w:szCs w:val="24"/>
                <w:lang w:eastAsia="lv-LV"/>
              </w:rPr>
              <w:t xml:space="preserve"> ik ceturksni </w:t>
            </w:r>
            <w:r w:rsidRPr="00894D21">
              <w:rPr>
                <w:rFonts w:ascii="Times New Roman" w:eastAsia="Times New Roman" w:hAnsi="Times New Roman" w:cs="Times New Roman"/>
                <w:iCs/>
                <w:sz w:val="24"/>
                <w:szCs w:val="24"/>
                <w:lang w:eastAsia="lv-LV"/>
              </w:rPr>
              <w:t xml:space="preserve">pēc pieprasījuma (uz pieprasījuma vēstules pamata), taču finanšu tirgus attīstības tendences liecina, ka </w:t>
            </w:r>
            <w:r w:rsidR="007C300A" w:rsidRPr="00894D21">
              <w:rPr>
                <w:rFonts w:ascii="Times New Roman" w:eastAsia="Times New Roman" w:hAnsi="Times New Roman" w:cs="Times New Roman"/>
                <w:iCs/>
                <w:sz w:val="24"/>
                <w:szCs w:val="24"/>
                <w:lang w:eastAsia="lv-LV"/>
              </w:rPr>
              <w:t>Latvijas Bankai</w:t>
            </w:r>
            <w:r w:rsidRPr="00894D21">
              <w:rPr>
                <w:rFonts w:ascii="Times New Roman" w:eastAsia="Times New Roman" w:hAnsi="Times New Roman" w:cs="Times New Roman"/>
                <w:iCs/>
                <w:sz w:val="24"/>
                <w:szCs w:val="24"/>
                <w:lang w:eastAsia="lv-LV"/>
              </w:rPr>
              <w:t xml:space="preserve"> šī informācija ir nepieciešama regulāri un pastāvīgi</w:t>
            </w:r>
            <w:r w:rsidR="007C300A" w:rsidRPr="00894D21">
              <w:rPr>
                <w:rFonts w:ascii="Times New Roman" w:eastAsia="Times New Roman" w:hAnsi="Times New Roman" w:cs="Times New Roman"/>
                <w:iCs/>
                <w:sz w:val="24"/>
                <w:szCs w:val="24"/>
                <w:lang w:eastAsia="lv-LV"/>
              </w:rPr>
              <w:t>, t</w:t>
            </w:r>
            <w:r w:rsidRPr="00894D21">
              <w:rPr>
                <w:rFonts w:ascii="Times New Roman" w:eastAsia="Times New Roman" w:hAnsi="Times New Roman" w:cs="Times New Roman"/>
                <w:iCs/>
                <w:sz w:val="24"/>
                <w:szCs w:val="24"/>
                <w:lang w:eastAsia="lv-LV"/>
              </w:rPr>
              <w:t>urklāt dati ir nepieciešami vienotā formātā un ar standartizētām datu kvalitātes pārbaudēm.</w:t>
            </w:r>
          </w:p>
          <w:p w14:paraId="6F8AAF4F" w14:textId="400191D0" w:rsidR="006C3828" w:rsidRPr="00894D21" w:rsidRDefault="00D902AB" w:rsidP="00D53AC5">
            <w:pPr>
              <w:pStyle w:val="Heading2"/>
              <w:tabs>
                <w:tab w:val="clear" w:pos="576"/>
                <w:tab w:val="num" w:pos="0"/>
              </w:tabs>
              <w:spacing w:after="120"/>
              <w:ind w:left="0" w:firstLine="0"/>
              <w:rPr>
                <w:rFonts w:eastAsia="Times New Roman"/>
                <w:lang w:eastAsia="lv-LV"/>
              </w:rPr>
            </w:pPr>
            <w:r w:rsidRPr="00894D21">
              <w:rPr>
                <w:rFonts w:eastAsia="Times New Roman"/>
                <w:lang w:val="lv-LV"/>
              </w:rPr>
              <w:t>S</w:t>
            </w:r>
            <w:r w:rsidR="00E016F6" w:rsidRPr="00894D21">
              <w:rPr>
                <w:rFonts w:eastAsia="Times New Roman"/>
                <w:lang w:val="lv-LV"/>
              </w:rPr>
              <w:t>avukārt attiecībā uz citiem noteikumu projektā minētajiem pārskatiem</w:t>
            </w:r>
            <w:r w:rsidR="001B08A2" w:rsidRPr="00894D21">
              <w:rPr>
                <w:rFonts w:eastAsia="Times New Roman"/>
                <w:lang w:val="lv-LV"/>
              </w:rPr>
              <w:t> </w:t>
            </w:r>
            <w:r w:rsidR="009F4C41" w:rsidRPr="00894D21">
              <w:rPr>
                <w:lang w:val="lv-LV"/>
              </w:rPr>
              <w:t>norādāms, ka</w:t>
            </w:r>
            <w:r w:rsidR="00BB4163" w:rsidRPr="00894D21">
              <w:rPr>
                <w:rFonts w:eastAsia="Times New Roman"/>
                <w:lang w:val="lv-LV"/>
              </w:rPr>
              <w:t xml:space="preserve"> pārskatos</w:t>
            </w:r>
            <w:r w:rsidR="00D91FF5" w:rsidRPr="00894D21">
              <w:rPr>
                <w:bCs/>
                <w:lang w:val="lv-LV" w:eastAsia="lv-LV"/>
              </w:rPr>
              <w:t xml:space="preserve"> pieprasītā informācija </w:t>
            </w:r>
            <w:r w:rsidR="00BB4163" w:rsidRPr="00894D21">
              <w:rPr>
                <w:bCs/>
                <w:lang w:val="lv-LV" w:eastAsia="lv-LV"/>
              </w:rPr>
              <w:t xml:space="preserve">ir </w:t>
            </w:r>
            <w:r w:rsidR="00D91FF5" w:rsidRPr="00894D21">
              <w:rPr>
                <w:bCs/>
                <w:lang w:val="lv-LV" w:eastAsia="lv-LV"/>
              </w:rPr>
              <w:t>nepieciešam</w:t>
            </w:r>
            <w:r w:rsidR="00BB4163" w:rsidRPr="00894D21">
              <w:rPr>
                <w:bCs/>
                <w:lang w:val="lv-LV" w:eastAsia="lv-LV"/>
              </w:rPr>
              <w:t>a</w:t>
            </w:r>
            <w:r w:rsidR="00D91FF5" w:rsidRPr="00894D21">
              <w:rPr>
                <w:bCs/>
                <w:lang w:val="lv-LV" w:eastAsia="lv-LV"/>
              </w:rPr>
              <w:t xml:space="preserve"> uzraudzības vajadzībām</w:t>
            </w:r>
            <w:r w:rsidR="009F4C41" w:rsidRPr="00894D21">
              <w:rPr>
                <w:bCs/>
                <w:lang w:val="lv-LV" w:eastAsia="lv-LV"/>
              </w:rPr>
              <w:t xml:space="preserve"> un</w:t>
            </w:r>
            <w:r w:rsidR="00D64A47" w:rsidRPr="00894D21">
              <w:rPr>
                <w:bCs/>
                <w:lang w:val="lv-LV" w:eastAsia="lv-LV"/>
              </w:rPr>
              <w:t xml:space="preserve"> </w:t>
            </w:r>
            <w:r w:rsidR="00FB2570" w:rsidRPr="00894D21">
              <w:rPr>
                <w:bCs/>
                <w:lang w:val="lv-LV" w:eastAsia="lv-LV"/>
              </w:rPr>
              <w:t>Kredītiestāžu likumā noteiktais</w:t>
            </w:r>
            <w:r w:rsidR="0055241A" w:rsidRPr="00894D21">
              <w:rPr>
                <w:bCs/>
                <w:lang w:val="lv-LV" w:eastAsia="lv-LV"/>
              </w:rPr>
              <w:t xml:space="preserve"> deleģējums</w:t>
            </w:r>
            <w:r w:rsidR="00BB4163" w:rsidRPr="00894D21">
              <w:rPr>
                <w:bCs/>
                <w:lang w:val="lv-LV" w:eastAsia="lv-LV"/>
              </w:rPr>
              <w:t xml:space="preserve"> dod</w:t>
            </w:r>
            <w:r w:rsidR="00D91FF5" w:rsidRPr="00894D21">
              <w:rPr>
                <w:bCs/>
                <w:lang w:val="lv-LV" w:eastAsia="lv-LV"/>
              </w:rPr>
              <w:t xml:space="preserve"> tiesības </w:t>
            </w:r>
            <w:r w:rsidR="00FB2570" w:rsidRPr="00894D21">
              <w:rPr>
                <w:bCs/>
                <w:lang w:val="lv-LV" w:eastAsia="lv-LV"/>
              </w:rPr>
              <w:t xml:space="preserve">Latvijas Bankai </w:t>
            </w:r>
            <w:r w:rsidR="00D91FF5" w:rsidRPr="00894D21">
              <w:rPr>
                <w:bCs/>
                <w:lang w:val="lv-LV" w:eastAsia="lv-LV"/>
              </w:rPr>
              <w:t>noteikt sniedzamās informācijas sagatavošanas un iesniegšanas kārtību.</w:t>
            </w:r>
            <w:r w:rsidR="00C05B30">
              <w:rPr>
                <w:bCs/>
                <w:lang w:val="lv-LV" w:eastAsia="lv-LV"/>
              </w:rPr>
              <w:t xml:space="preserve"> </w:t>
            </w:r>
            <w:r w:rsidR="006C3828" w:rsidRPr="00894D21">
              <w:rPr>
                <w:rFonts w:eastAsia="Times New Roman"/>
                <w:lang w:eastAsia="lv-LV"/>
              </w:rPr>
              <w:t>Noteikumu projekts</w:t>
            </w:r>
            <w:r w:rsidR="003F7A1F" w:rsidRPr="00894D21">
              <w:rPr>
                <w:rFonts w:eastAsia="Times New Roman"/>
                <w:lang w:eastAsia="lv-LV"/>
              </w:rPr>
              <w:t xml:space="preserve"> </w:t>
            </w:r>
            <w:r w:rsidR="006C3828" w:rsidRPr="00894D21">
              <w:rPr>
                <w:rFonts w:eastAsia="Times New Roman"/>
                <w:lang w:eastAsia="lv-LV"/>
              </w:rPr>
              <w:t>nosaka</w:t>
            </w:r>
            <w:r w:rsidR="003F7A1F" w:rsidRPr="00894D21">
              <w:rPr>
                <w:rFonts w:eastAsia="Times New Roman"/>
                <w:lang w:eastAsia="lv-LV"/>
              </w:rPr>
              <w:t xml:space="preserve"> </w:t>
            </w:r>
            <w:r w:rsidR="00624231" w:rsidRPr="00894D21">
              <w:rPr>
                <w:rFonts w:eastAsia="Times New Roman"/>
                <w:lang w:eastAsia="lv-LV"/>
              </w:rPr>
              <w:t>prasības šādu</w:t>
            </w:r>
            <w:r w:rsidR="007D1EBF" w:rsidRPr="00894D21">
              <w:rPr>
                <w:rFonts w:eastAsia="Times New Roman"/>
                <w:lang w:eastAsia="lv-LV"/>
              </w:rPr>
              <w:t xml:space="preserve"> uzraudzības pārskatu sagatavošanai un iesniegšanai</w:t>
            </w:r>
            <w:r w:rsidR="006C3828" w:rsidRPr="00894D21">
              <w:rPr>
                <w:rFonts w:eastAsia="Times New Roman"/>
                <w:lang w:eastAsia="lv-LV"/>
              </w:rPr>
              <w:t>:</w:t>
            </w:r>
          </w:p>
          <w:p w14:paraId="367464BB" w14:textId="4B91DDAC" w:rsidR="006C3828" w:rsidRPr="00FA721C" w:rsidRDefault="00690481" w:rsidP="00FA721C">
            <w:pPr>
              <w:pStyle w:val="ListParagraph"/>
              <w:numPr>
                <w:ilvl w:val="0"/>
                <w:numId w:val="7"/>
              </w:numPr>
              <w:spacing w:after="0" w:line="240" w:lineRule="auto"/>
              <w:ind w:left="945" w:hanging="425"/>
              <w:jc w:val="both"/>
              <w:rPr>
                <w:rFonts w:ascii="Times New Roman" w:eastAsia="Times New Roman" w:hAnsi="Times New Roman" w:cs="Times New Roman"/>
                <w:sz w:val="24"/>
                <w:szCs w:val="24"/>
                <w:lang w:eastAsia="lv-LV"/>
              </w:rPr>
            </w:pPr>
            <w:r w:rsidRPr="00FA721C">
              <w:rPr>
                <w:rFonts w:ascii="Times New Roman" w:eastAsia="Times New Roman" w:hAnsi="Times New Roman" w:cs="Times New Roman"/>
                <w:sz w:val="24"/>
                <w:szCs w:val="24"/>
                <w:lang w:eastAsia="lv-LV"/>
              </w:rPr>
              <w:t xml:space="preserve">uzraudzības finanšu pārskati </w:t>
            </w:r>
            <w:r w:rsidR="005B26BA" w:rsidRPr="00FA721C">
              <w:rPr>
                <w:rFonts w:ascii="Times New Roman" w:eastAsia="Times New Roman" w:hAnsi="Times New Roman" w:cs="Times New Roman"/>
                <w:sz w:val="24"/>
                <w:szCs w:val="24"/>
                <w:lang w:eastAsia="lv-LV"/>
              </w:rPr>
              <w:t xml:space="preserve">(FINREP) </w:t>
            </w:r>
            <w:r w:rsidRPr="00FA721C">
              <w:rPr>
                <w:rFonts w:ascii="Times New Roman" w:eastAsia="Times New Roman" w:hAnsi="Times New Roman" w:cs="Times New Roman"/>
                <w:sz w:val="24"/>
                <w:szCs w:val="24"/>
                <w:lang w:eastAsia="lv-LV"/>
              </w:rPr>
              <w:t>individuāl</w:t>
            </w:r>
            <w:r w:rsidR="00773EED" w:rsidRPr="00FA721C">
              <w:rPr>
                <w:rFonts w:ascii="Times New Roman" w:eastAsia="Times New Roman" w:hAnsi="Times New Roman" w:cs="Times New Roman"/>
                <w:sz w:val="24"/>
                <w:szCs w:val="24"/>
                <w:lang w:eastAsia="lv-LV"/>
              </w:rPr>
              <w:t>i</w:t>
            </w:r>
            <w:r w:rsidR="006C3828" w:rsidRPr="00FA721C">
              <w:rPr>
                <w:rFonts w:ascii="Times New Roman" w:eastAsia="Times New Roman" w:hAnsi="Times New Roman" w:cs="Times New Roman"/>
                <w:sz w:val="24"/>
                <w:szCs w:val="24"/>
                <w:lang w:eastAsia="lv-LV"/>
              </w:rPr>
              <w:t>;</w:t>
            </w:r>
          </w:p>
          <w:p w14:paraId="37BB5C95" w14:textId="1D26601A" w:rsidR="006C3828" w:rsidRPr="00FA721C" w:rsidRDefault="00E055AC" w:rsidP="00FA721C">
            <w:pPr>
              <w:pStyle w:val="ListParagraph"/>
              <w:numPr>
                <w:ilvl w:val="0"/>
                <w:numId w:val="7"/>
              </w:numPr>
              <w:spacing w:after="0" w:line="240" w:lineRule="auto"/>
              <w:ind w:left="945" w:hanging="425"/>
              <w:jc w:val="both"/>
              <w:rPr>
                <w:rFonts w:ascii="Times New Roman" w:eastAsia="Times New Roman" w:hAnsi="Times New Roman" w:cs="Times New Roman"/>
                <w:sz w:val="24"/>
                <w:szCs w:val="24"/>
                <w:lang w:eastAsia="lv-LV"/>
              </w:rPr>
            </w:pPr>
            <w:r w:rsidRPr="00FA721C">
              <w:rPr>
                <w:rFonts w:ascii="Times New Roman" w:eastAsia="Times New Roman" w:hAnsi="Times New Roman" w:cs="Times New Roman"/>
                <w:sz w:val="24"/>
                <w:szCs w:val="24"/>
                <w:lang w:eastAsia="lv-LV"/>
              </w:rPr>
              <w:t>pārskats</w:t>
            </w:r>
            <w:r w:rsidR="00A54733" w:rsidRPr="00FA721C">
              <w:rPr>
                <w:rFonts w:ascii="Times New Roman" w:eastAsia="Times New Roman" w:hAnsi="Times New Roman" w:cs="Times New Roman"/>
                <w:sz w:val="24"/>
                <w:szCs w:val="24"/>
                <w:lang w:eastAsia="lv-LV"/>
              </w:rPr>
              <w:t xml:space="preserve"> par</w:t>
            </w:r>
            <w:r w:rsidR="006C3828" w:rsidRPr="00FA721C">
              <w:rPr>
                <w:rFonts w:ascii="Times New Roman" w:eastAsia="Times New Roman" w:hAnsi="Times New Roman" w:cs="Times New Roman"/>
                <w:sz w:val="24"/>
                <w:szCs w:val="24"/>
                <w:lang w:eastAsia="lv-LV"/>
              </w:rPr>
              <w:t xml:space="preserve"> </w:t>
            </w:r>
            <w:r w:rsidR="00E4131F" w:rsidRPr="00FA721C">
              <w:rPr>
                <w:rFonts w:ascii="Times New Roman" w:eastAsia="Times New Roman" w:hAnsi="Times New Roman" w:cs="Times New Roman"/>
                <w:sz w:val="24"/>
                <w:szCs w:val="24"/>
                <w:lang w:eastAsia="lv-LV"/>
              </w:rPr>
              <w:t xml:space="preserve">operacionālā riska </w:t>
            </w:r>
            <w:r w:rsidR="00A54733" w:rsidRPr="00FA721C">
              <w:rPr>
                <w:rFonts w:ascii="Times New Roman" w:eastAsia="Times New Roman" w:hAnsi="Times New Roman" w:cs="Times New Roman"/>
                <w:sz w:val="24"/>
                <w:szCs w:val="24"/>
                <w:lang w:eastAsia="lv-LV"/>
              </w:rPr>
              <w:t>zaudējumiem</w:t>
            </w:r>
            <w:r w:rsidR="009D13B7" w:rsidRPr="00FA721C">
              <w:rPr>
                <w:rFonts w:ascii="Times New Roman" w:eastAsia="Times New Roman" w:hAnsi="Times New Roman" w:cs="Times New Roman"/>
                <w:sz w:val="24"/>
                <w:szCs w:val="24"/>
                <w:lang w:eastAsia="lv-LV"/>
              </w:rPr>
              <w:t>;</w:t>
            </w:r>
          </w:p>
          <w:p w14:paraId="1A4ABFC4" w14:textId="6441885B" w:rsidR="003930E2" w:rsidRPr="00FA721C" w:rsidRDefault="00535960" w:rsidP="00FA721C">
            <w:pPr>
              <w:pStyle w:val="ListParagraph"/>
              <w:numPr>
                <w:ilvl w:val="0"/>
                <w:numId w:val="7"/>
              </w:numPr>
              <w:spacing w:after="0" w:line="240" w:lineRule="auto"/>
              <w:ind w:left="945" w:hanging="425"/>
              <w:jc w:val="both"/>
              <w:rPr>
                <w:rFonts w:ascii="Times New Roman" w:eastAsia="Times New Roman" w:hAnsi="Times New Roman" w:cs="Times New Roman"/>
                <w:sz w:val="24"/>
                <w:szCs w:val="24"/>
                <w:lang w:eastAsia="lv-LV"/>
              </w:rPr>
            </w:pPr>
            <w:r w:rsidRPr="00FA721C">
              <w:rPr>
                <w:rFonts w:ascii="Times New Roman" w:eastAsia="Times New Roman" w:hAnsi="Times New Roman" w:cs="Times New Roman"/>
                <w:sz w:val="24"/>
                <w:szCs w:val="24"/>
                <w:lang w:eastAsia="lv-LV"/>
              </w:rPr>
              <w:t>pārskats par finansēšanas plāniem;</w:t>
            </w:r>
          </w:p>
          <w:p w14:paraId="45A6E364" w14:textId="743FEFA5" w:rsidR="00B60307" w:rsidRPr="00FA721C" w:rsidRDefault="00B60307" w:rsidP="00FA721C">
            <w:pPr>
              <w:pStyle w:val="ListParagraph"/>
              <w:numPr>
                <w:ilvl w:val="0"/>
                <w:numId w:val="7"/>
              </w:numPr>
              <w:spacing w:after="0" w:line="240" w:lineRule="auto"/>
              <w:ind w:left="945" w:hanging="425"/>
              <w:jc w:val="both"/>
              <w:rPr>
                <w:rFonts w:ascii="Times New Roman" w:eastAsia="Times New Roman" w:hAnsi="Times New Roman" w:cs="Times New Roman"/>
                <w:sz w:val="24"/>
                <w:szCs w:val="24"/>
                <w:lang w:eastAsia="lv-LV"/>
              </w:rPr>
            </w:pPr>
            <w:r w:rsidRPr="00FA721C">
              <w:rPr>
                <w:rFonts w:ascii="Times New Roman" w:eastAsia="Times New Roman" w:hAnsi="Times New Roman" w:cs="Times New Roman"/>
                <w:sz w:val="24"/>
                <w:szCs w:val="24"/>
                <w:lang w:eastAsia="lv-LV"/>
              </w:rPr>
              <w:t>ikdienas noguldījumu pārskats;</w:t>
            </w:r>
          </w:p>
          <w:p w14:paraId="76246D05" w14:textId="5A5C4988" w:rsidR="00B60307" w:rsidRPr="00FA721C" w:rsidRDefault="00D65F70" w:rsidP="00FA721C">
            <w:pPr>
              <w:pStyle w:val="ListParagraph"/>
              <w:numPr>
                <w:ilvl w:val="0"/>
                <w:numId w:val="7"/>
              </w:numPr>
              <w:spacing w:after="0" w:line="240" w:lineRule="auto"/>
              <w:ind w:left="945" w:hanging="425"/>
              <w:jc w:val="both"/>
              <w:rPr>
                <w:rFonts w:ascii="Times New Roman" w:eastAsia="Times New Roman" w:hAnsi="Times New Roman" w:cs="Times New Roman"/>
                <w:sz w:val="24"/>
                <w:szCs w:val="24"/>
                <w:lang w:eastAsia="lv-LV"/>
              </w:rPr>
            </w:pPr>
            <w:r w:rsidRPr="00FA721C">
              <w:rPr>
                <w:rFonts w:ascii="Times New Roman" w:eastAsia="Times New Roman" w:hAnsi="Times New Roman" w:cs="Times New Roman"/>
                <w:sz w:val="24"/>
                <w:szCs w:val="24"/>
                <w:lang w:eastAsia="lv-LV"/>
              </w:rPr>
              <w:t>n</w:t>
            </w:r>
            <w:r w:rsidR="00556D06" w:rsidRPr="00FA721C">
              <w:rPr>
                <w:rFonts w:ascii="Times New Roman" w:eastAsia="Times New Roman" w:hAnsi="Times New Roman" w:cs="Times New Roman"/>
                <w:sz w:val="24"/>
                <w:szCs w:val="24"/>
                <w:lang w:eastAsia="lv-LV"/>
              </w:rPr>
              <w:t>oguldījumu, kas piesaistīti noguldījumu platformās, pārskats</w:t>
            </w:r>
            <w:r w:rsidR="00BF3363" w:rsidRPr="00FA721C">
              <w:rPr>
                <w:rFonts w:ascii="Times New Roman" w:eastAsia="Times New Roman" w:hAnsi="Times New Roman" w:cs="Times New Roman"/>
                <w:sz w:val="24"/>
                <w:szCs w:val="24"/>
                <w:lang w:eastAsia="lv-LV"/>
              </w:rPr>
              <w:t>;</w:t>
            </w:r>
          </w:p>
          <w:p w14:paraId="31C994CD" w14:textId="76D5B354" w:rsidR="00556D06" w:rsidRPr="00FA721C" w:rsidRDefault="00D65F70" w:rsidP="00FA721C">
            <w:pPr>
              <w:pStyle w:val="ListParagraph"/>
              <w:numPr>
                <w:ilvl w:val="0"/>
                <w:numId w:val="7"/>
              </w:numPr>
              <w:spacing w:after="0" w:line="240" w:lineRule="auto"/>
              <w:ind w:left="945" w:hanging="425"/>
              <w:jc w:val="both"/>
              <w:rPr>
                <w:rFonts w:ascii="Times New Roman" w:eastAsia="Times New Roman" w:hAnsi="Times New Roman" w:cs="Times New Roman"/>
                <w:sz w:val="24"/>
                <w:szCs w:val="24"/>
                <w:lang w:eastAsia="lv-LV"/>
              </w:rPr>
            </w:pPr>
            <w:r w:rsidRPr="00FA721C">
              <w:rPr>
                <w:rFonts w:ascii="Times New Roman" w:eastAsia="Times New Roman" w:hAnsi="Times New Roman" w:cs="Times New Roman"/>
                <w:sz w:val="24"/>
                <w:szCs w:val="24"/>
                <w:lang w:eastAsia="lv-LV"/>
              </w:rPr>
              <w:t>k</w:t>
            </w:r>
            <w:r w:rsidR="00BF3363" w:rsidRPr="00FA721C">
              <w:rPr>
                <w:rFonts w:ascii="Times New Roman" w:eastAsia="Times New Roman" w:hAnsi="Times New Roman" w:cs="Times New Roman"/>
                <w:sz w:val="24"/>
                <w:szCs w:val="24"/>
                <w:lang w:eastAsia="lv-LV"/>
              </w:rPr>
              <w:t>redītiestādes bilancē atspoguļoto trešo personu līdzekļu un arestēto naudas līdzekļu pārskats;</w:t>
            </w:r>
          </w:p>
          <w:p w14:paraId="12987DB2" w14:textId="5CB18FBB" w:rsidR="00CA24FD" w:rsidRPr="00FA721C" w:rsidRDefault="00D65F70" w:rsidP="00FA721C">
            <w:pPr>
              <w:pStyle w:val="ListParagraph"/>
              <w:numPr>
                <w:ilvl w:val="0"/>
                <w:numId w:val="7"/>
              </w:numPr>
              <w:spacing w:after="0" w:line="240" w:lineRule="auto"/>
              <w:ind w:left="945" w:hanging="425"/>
              <w:jc w:val="both"/>
              <w:rPr>
                <w:rFonts w:ascii="Times New Roman" w:eastAsia="Times New Roman" w:hAnsi="Times New Roman" w:cs="Times New Roman"/>
                <w:sz w:val="24"/>
                <w:szCs w:val="24"/>
                <w:lang w:eastAsia="lv-LV"/>
              </w:rPr>
            </w:pPr>
            <w:r w:rsidRPr="00FA721C">
              <w:rPr>
                <w:rFonts w:ascii="Times New Roman" w:eastAsia="Times New Roman" w:hAnsi="Times New Roman" w:cs="Times New Roman"/>
                <w:sz w:val="24"/>
                <w:szCs w:val="24"/>
                <w:lang w:eastAsia="lv-LV"/>
              </w:rPr>
              <w:t>pārņemto nekustamo īpašumu pārskats</w:t>
            </w:r>
            <w:r w:rsidR="00CA24FD" w:rsidRPr="00FA721C">
              <w:rPr>
                <w:rFonts w:ascii="Times New Roman" w:eastAsia="Times New Roman" w:hAnsi="Times New Roman" w:cs="Times New Roman"/>
                <w:sz w:val="24"/>
                <w:szCs w:val="24"/>
                <w:lang w:eastAsia="lv-LV"/>
              </w:rPr>
              <w:t>;</w:t>
            </w:r>
          </w:p>
          <w:p w14:paraId="1E326D81" w14:textId="1C27A46D" w:rsidR="00296A1E" w:rsidRPr="00FA721C" w:rsidRDefault="00FB0F1F" w:rsidP="00FA721C">
            <w:pPr>
              <w:pStyle w:val="ListParagraph"/>
              <w:numPr>
                <w:ilvl w:val="0"/>
                <w:numId w:val="7"/>
              </w:numPr>
              <w:spacing w:after="0" w:line="240" w:lineRule="auto"/>
              <w:ind w:left="945" w:hanging="425"/>
              <w:jc w:val="both"/>
              <w:rPr>
                <w:rFonts w:ascii="Times New Roman" w:eastAsia="Times New Roman" w:hAnsi="Times New Roman" w:cs="Times New Roman"/>
                <w:sz w:val="24"/>
                <w:szCs w:val="24"/>
                <w:lang w:eastAsia="lv-LV"/>
              </w:rPr>
            </w:pPr>
            <w:r w:rsidRPr="00FA721C">
              <w:rPr>
                <w:rFonts w:ascii="Times New Roman" w:eastAsia="Times New Roman" w:hAnsi="Times New Roman" w:cs="Times New Roman"/>
                <w:sz w:val="24"/>
                <w:szCs w:val="24"/>
                <w:lang w:eastAsia="lv-LV"/>
              </w:rPr>
              <w:t>pārskat</w:t>
            </w:r>
            <w:r w:rsidR="005079B0" w:rsidRPr="00FA721C">
              <w:rPr>
                <w:rFonts w:ascii="Times New Roman" w:eastAsia="Times New Roman" w:hAnsi="Times New Roman" w:cs="Times New Roman"/>
                <w:sz w:val="24"/>
                <w:szCs w:val="24"/>
                <w:lang w:eastAsia="lv-LV"/>
              </w:rPr>
              <w:t>s</w:t>
            </w:r>
            <w:r w:rsidRPr="00FA721C">
              <w:rPr>
                <w:rFonts w:ascii="Times New Roman" w:eastAsia="Times New Roman" w:hAnsi="Times New Roman" w:cs="Times New Roman"/>
                <w:sz w:val="24"/>
                <w:szCs w:val="24"/>
                <w:lang w:eastAsia="lv-LV"/>
              </w:rPr>
              <w:t xml:space="preserve"> par riska darījumiem ar personām, kas saistītas ar kredītiestādi</w:t>
            </w:r>
            <w:r w:rsidR="00296A1E" w:rsidRPr="00FA721C">
              <w:rPr>
                <w:rFonts w:ascii="Times New Roman" w:eastAsia="Times New Roman" w:hAnsi="Times New Roman" w:cs="Times New Roman"/>
                <w:sz w:val="24"/>
                <w:szCs w:val="24"/>
                <w:lang w:eastAsia="lv-LV"/>
              </w:rPr>
              <w:t>;</w:t>
            </w:r>
          </w:p>
          <w:p w14:paraId="46463754" w14:textId="37DBBA99" w:rsidR="00556D06" w:rsidRPr="00D53AC5" w:rsidRDefault="00BB43FE" w:rsidP="00FA721C">
            <w:pPr>
              <w:pStyle w:val="ListParagraph"/>
              <w:numPr>
                <w:ilvl w:val="0"/>
                <w:numId w:val="7"/>
              </w:numPr>
              <w:spacing w:after="120" w:line="240" w:lineRule="auto"/>
              <w:ind w:left="945" w:hanging="425"/>
              <w:jc w:val="both"/>
              <w:rPr>
                <w:rFonts w:ascii="Times New Roman" w:eastAsia="Times New Roman" w:hAnsi="Times New Roman" w:cs="Times New Roman"/>
                <w:sz w:val="24"/>
                <w:szCs w:val="24"/>
                <w:lang w:eastAsia="lv-LV"/>
              </w:rPr>
            </w:pPr>
            <w:r w:rsidRPr="00FA721C">
              <w:rPr>
                <w:rFonts w:ascii="Times New Roman" w:eastAsia="Times New Roman" w:hAnsi="Times New Roman" w:cs="Times New Roman"/>
                <w:sz w:val="24"/>
                <w:szCs w:val="24"/>
                <w:lang w:eastAsia="lv-LV"/>
              </w:rPr>
              <w:t xml:space="preserve">pārskats par </w:t>
            </w:r>
            <w:r w:rsidRPr="00D53AC5">
              <w:rPr>
                <w:rFonts w:ascii="Times New Roman" w:eastAsia="Times New Roman" w:hAnsi="Times New Roman" w:cs="Times New Roman"/>
                <w:sz w:val="24"/>
                <w:szCs w:val="24"/>
                <w:lang w:eastAsia="lv-LV"/>
              </w:rPr>
              <w:t>saņemtajām sūdzībām.</w:t>
            </w:r>
          </w:p>
          <w:p w14:paraId="67DF9A13" w14:textId="44541CD7" w:rsidR="006C3828" w:rsidRPr="00894D21" w:rsidRDefault="006C3828" w:rsidP="00894D21">
            <w:pPr>
              <w:spacing w:after="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projekts satur identiskas tiesību normas kā Finanšu un kapitāla tirgus komisijas</w:t>
            </w:r>
            <w:r w:rsidR="00E9512C" w:rsidRPr="00894D21">
              <w:rPr>
                <w:rFonts w:ascii="Times New Roman" w:eastAsia="Times New Roman" w:hAnsi="Times New Roman" w:cs="Times New Roman"/>
                <w:sz w:val="24"/>
                <w:szCs w:val="24"/>
                <w:lang w:eastAsia="lv-LV"/>
              </w:rPr>
              <w:t xml:space="preserve"> normatīvie noteikumi, kuri zaudē spēku</w:t>
            </w:r>
            <w:r w:rsidR="00E23A37" w:rsidRPr="00894D21">
              <w:rPr>
                <w:rFonts w:ascii="Times New Roman" w:eastAsia="Times New Roman" w:hAnsi="Times New Roman" w:cs="Times New Roman"/>
                <w:sz w:val="24"/>
                <w:szCs w:val="24"/>
                <w:lang w:eastAsia="lv-LV"/>
              </w:rPr>
              <w:t xml:space="preserve"> ar noteikumu</w:t>
            </w:r>
            <w:r w:rsidR="00CA2A0A" w:rsidRPr="00894D21">
              <w:rPr>
                <w:rFonts w:ascii="Times New Roman" w:eastAsia="Times New Roman" w:hAnsi="Times New Roman" w:cs="Times New Roman"/>
                <w:sz w:val="24"/>
                <w:szCs w:val="24"/>
                <w:lang w:eastAsia="lv-LV"/>
              </w:rPr>
              <w:t xml:space="preserve"> projekta</w:t>
            </w:r>
            <w:r w:rsidR="00E23A37" w:rsidRPr="00894D21">
              <w:rPr>
                <w:rFonts w:ascii="Times New Roman" w:eastAsia="Times New Roman" w:hAnsi="Times New Roman" w:cs="Times New Roman"/>
                <w:sz w:val="24"/>
                <w:szCs w:val="24"/>
                <w:lang w:eastAsia="lv-LV"/>
              </w:rPr>
              <w:t xml:space="preserve"> spēkā stāšanās brīdi</w:t>
            </w:r>
            <w:r w:rsidRPr="00894D21">
              <w:rPr>
                <w:rFonts w:ascii="Times New Roman" w:eastAsia="Times New Roman" w:hAnsi="Times New Roman" w:cs="Times New Roman"/>
                <w:sz w:val="24"/>
                <w:szCs w:val="24"/>
                <w:lang w:eastAsia="lv-LV"/>
              </w:rPr>
              <w:t xml:space="preserve">, izņemot šādas izmaiņas, kas izriet no </w:t>
            </w:r>
            <w:r w:rsidR="00BA7799" w:rsidRPr="00894D21">
              <w:rPr>
                <w:rFonts w:ascii="Times New Roman" w:eastAsia="Times New Roman" w:hAnsi="Times New Roman" w:cs="Times New Roman"/>
                <w:sz w:val="24"/>
                <w:szCs w:val="24"/>
                <w:lang w:eastAsia="lv-LV"/>
              </w:rPr>
              <w:t xml:space="preserve">ziņošanas sloga kredītiestādēm </w:t>
            </w:r>
            <w:r w:rsidR="00D135C9" w:rsidRPr="00894D21">
              <w:rPr>
                <w:rFonts w:ascii="Times New Roman" w:eastAsia="Times New Roman" w:hAnsi="Times New Roman" w:cs="Times New Roman"/>
                <w:sz w:val="24"/>
                <w:szCs w:val="24"/>
                <w:lang w:eastAsia="lv-LV"/>
              </w:rPr>
              <w:t>pārskatīšanas</w:t>
            </w:r>
            <w:r w:rsidR="00BA7799" w:rsidRPr="00894D21">
              <w:rPr>
                <w:rFonts w:ascii="Times New Roman" w:eastAsia="Times New Roman" w:hAnsi="Times New Roman" w:cs="Times New Roman"/>
                <w:sz w:val="24"/>
                <w:szCs w:val="24"/>
                <w:lang w:eastAsia="lv-LV"/>
              </w:rPr>
              <w:t xml:space="preserve"> </w:t>
            </w:r>
            <w:r w:rsidR="00AD5BE6" w:rsidRPr="00894D21">
              <w:rPr>
                <w:rFonts w:ascii="Times New Roman" w:eastAsia="Times New Roman" w:hAnsi="Times New Roman" w:cs="Times New Roman"/>
                <w:sz w:val="24"/>
                <w:szCs w:val="24"/>
                <w:lang w:eastAsia="lv-LV"/>
              </w:rPr>
              <w:t xml:space="preserve">un </w:t>
            </w:r>
            <w:r w:rsidRPr="00894D21">
              <w:rPr>
                <w:rFonts w:ascii="Times New Roman" w:eastAsia="Times New Roman" w:hAnsi="Times New Roman" w:cs="Times New Roman"/>
                <w:sz w:val="24"/>
                <w:szCs w:val="24"/>
                <w:lang w:eastAsia="lv-LV"/>
              </w:rPr>
              <w:t>Latvijas Bankas uzraudzības praksē novērotā:</w:t>
            </w:r>
          </w:p>
          <w:p w14:paraId="19A947F4" w14:textId="4494AF3D" w:rsidR="00901061" w:rsidRPr="00894D21" w:rsidRDefault="00901061" w:rsidP="00894D21">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uzraudzības finanšu pārskatiem</w:t>
            </w:r>
            <w:r w:rsidR="00026C7F" w:rsidRPr="00894D21">
              <w:rPr>
                <w:rFonts w:ascii="Times New Roman" w:eastAsia="Times New Roman" w:hAnsi="Times New Roman" w:cs="Times New Roman"/>
                <w:sz w:val="24"/>
                <w:szCs w:val="24"/>
                <w:lang w:eastAsia="lv-LV"/>
              </w:rPr>
              <w:t xml:space="preserve"> samazināts sniedzamo datu apjoms, atceļot prasību</w:t>
            </w:r>
            <w:r w:rsidR="00E40201" w:rsidRPr="00894D21">
              <w:rPr>
                <w:rFonts w:ascii="Times New Roman" w:eastAsia="Times New Roman" w:hAnsi="Times New Roman" w:cs="Times New Roman"/>
                <w:sz w:val="24"/>
                <w:szCs w:val="24"/>
                <w:lang w:eastAsia="lv-LV"/>
              </w:rPr>
              <w:t xml:space="preserve"> kredītiestādēm turpmāk sniegt šādas veidnes: </w:t>
            </w:r>
            <w:r w:rsidR="00EE3D3F" w:rsidRPr="00894D21">
              <w:rPr>
                <w:rFonts w:ascii="Times New Roman" w:eastAsia="Times New Roman" w:hAnsi="Times New Roman" w:cs="Times New Roman"/>
                <w:sz w:val="24"/>
                <w:szCs w:val="24"/>
                <w:lang w:eastAsia="lv-LV"/>
              </w:rPr>
              <w:t>F16.02</w:t>
            </w:r>
            <w:r w:rsidR="00616F84" w:rsidRPr="00894D21">
              <w:rPr>
                <w:rFonts w:ascii="Times New Roman" w:eastAsia="Times New Roman" w:hAnsi="Times New Roman" w:cs="Times New Roman"/>
                <w:sz w:val="24"/>
                <w:szCs w:val="24"/>
                <w:lang w:eastAsia="lv-LV"/>
              </w:rPr>
              <w:t>,</w:t>
            </w:r>
            <w:r w:rsidR="00EE3D3F" w:rsidRPr="00894D21">
              <w:rPr>
                <w:rFonts w:ascii="Times New Roman" w:eastAsia="Times New Roman" w:hAnsi="Times New Roman" w:cs="Times New Roman"/>
                <w:sz w:val="24"/>
                <w:szCs w:val="24"/>
                <w:lang w:eastAsia="lv-LV"/>
              </w:rPr>
              <w:t xml:space="preserve"> F16.04.1</w:t>
            </w:r>
            <w:r w:rsidR="00616F84" w:rsidRPr="00894D21">
              <w:rPr>
                <w:rFonts w:ascii="Times New Roman" w:eastAsia="Times New Roman" w:hAnsi="Times New Roman" w:cs="Times New Roman"/>
                <w:sz w:val="24"/>
                <w:szCs w:val="24"/>
                <w:lang w:eastAsia="lv-LV"/>
              </w:rPr>
              <w:t>,</w:t>
            </w:r>
            <w:r w:rsidR="00EE3D3F" w:rsidRPr="00894D21">
              <w:rPr>
                <w:rFonts w:ascii="Times New Roman" w:eastAsia="Times New Roman" w:hAnsi="Times New Roman" w:cs="Times New Roman"/>
                <w:sz w:val="24"/>
                <w:szCs w:val="24"/>
                <w:lang w:eastAsia="lv-LV"/>
              </w:rPr>
              <w:t xml:space="preserve"> F16.05</w:t>
            </w:r>
            <w:r w:rsidR="00E6677A" w:rsidRPr="00894D21">
              <w:rPr>
                <w:rFonts w:ascii="Times New Roman" w:eastAsia="Times New Roman" w:hAnsi="Times New Roman" w:cs="Times New Roman"/>
                <w:sz w:val="24"/>
                <w:szCs w:val="24"/>
                <w:lang w:eastAsia="lv-LV"/>
              </w:rPr>
              <w:t xml:space="preserve">, F16.06, F16.07, </w:t>
            </w:r>
            <w:r w:rsidR="00020E1E" w:rsidRPr="00894D21">
              <w:rPr>
                <w:rFonts w:ascii="Times New Roman" w:eastAsia="Times New Roman" w:hAnsi="Times New Roman" w:cs="Times New Roman"/>
                <w:sz w:val="24"/>
                <w:szCs w:val="24"/>
                <w:lang w:eastAsia="lv-LV"/>
              </w:rPr>
              <w:t xml:space="preserve">F25.02, F25.03, </w:t>
            </w:r>
            <w:r w:rsidR="008C6EEC" w:rsidRPr="00894D21">
              <w:rPr>
                <w:rFonts w:ascii="Times New Roman" w:eastAsia="Times New Roman" w:hAnsi="Times New Roman" w:cs="Times New Roman"/>
                <w:sz w:val="24"/>
                <w:szCs w:val="24"/>
                <w:lang w:eastAsia="lv-LV"/>
              </w:rPr>
              <w:t>F26.</w:t>
            </w:r>
            <w:r w:rsidR="00616F84" w:rsidRPr="00894D21">
              <w:rPr>
                <w:rFonts w:ascii="Times New Roman" w:eastAsia="Times New Roman" w:hAnsi="Times New Roman" w:cs="Times New Roman"/>
                <w:sz w:val="24"/>
                <w:szCs w:val="24"/>
                <w:lang w:eastAsia="lv-LV"/>
              </w:rPr>
              <w:t>00, F43.00, F44.01, F44.02, F44.03, F44.04, F45.01, F45.02, F45.03</w:t>
            </w:r>
            <w:r w:rsidR="00C05B30">
              <w:rPr>
                <w:rFonts w:ascii="Times New Roman" w:eastAsia="Times New Roman" w:hAnsi="Times New Roman" w:cs="Times New Roman"/>
                <w:sz w:val="24"/>
                <w:szCs w:val="24"/>
                <w:lang w:eastAsia="lv-LV"/>
              </w:rPr>
              <w:t>.</w:t>
            </w:r>
            <w:r w:rsidR="00E40201" w:rsidRPr="00894D21">
              <w:rPr>
                <w:rFonts w:ascii="Times New Roman" w:eastAsia="Times New Roman" w:hAnsi="Times New Roman" w:cs="Times New Roman"/>
                <w:sz w:val="24"/>
                <w:szCs w:val="24"/>
                <w:lang w:eastAsia="lv-LV"/>
              </w:rPr>
              <w:t xml:space="preserve"> </w:t>
            </w:r>
            <w:r w:rsidR="00C05B30">
              <w:rPr>
                <w:rFonts w:ascii="Times New Roman" w:eastAsia="Times New Roman" w:hAnsi="Times New Roman" w:cs="Times New Roman"/>
                <w:sz w:val="24"/>
                <w:szCs w:val="24"/>
                <w:lang w:eastAsia="lv-LV"/>
              </w:rPr>
              <w:t>S</w:t>
            </w:r>
            <w:r w:rsidR="00E40201" w:rsidRPr="00894D21">
              <w:rPr>
                <w:rFonts w:ascii="Times New Roman" w:eastAsia="Times New Roman" w:hAnsi="Times New Roman" w:cs="Times New Roman"/>
                <w:sz w:val="24"/>
                <w:szCs w:val="24"/>
                <w:lang w:eastAsia="lv-LV"/>
              </w:rPr>
              <w:t>avukārt filiā</w:t>
            </w:r>
            <w:r w:rsidR="0015034B" w:rsidRPr="00894D21">
              <w:rPr>
                <w:rFonts w:ascii="Times New Roman" w:eastAsia="Times New Roman" w:hAnsi="Times New Roman" w:cs="Times New Roman"/>
                <w:sz w:val="24"/>
                <w:szCs w:val="24"/>
                <w:lang w:eastAsia="lv-LV"/>
              </w:rPr>
              <w:t xml:space="preserve">lēm turpmāk nebūs pienākuma sniegt šādas veidnes: </w:t>
            </w:r>
            <w:r w:rsidR="00616F84" w:rsidRPr="00894D21">
              <w:rPr>
                <w:rFonts w:ascii="Times New Roman" w:eastAsia="Times New Roman" w:hAnsi="Times New Roman" w:cs="Times New Roman"/>
                <w:sz w:val="24"/>
                <w:szCs w:val="24"/>
                <w:lang w:eastAsia="lv-LV"/>
              </w:rPr>
              <w:t>F16.02, F16.04.1, F16.05, F16.06, F16.07, F20.01, F20.02, F20.03</w:t>
            </w:r>
            <w:r w:rsidR="004228C1" w:rsidRPr="00894D21">
              <w:rPr>
                <w:rFonts w:ascii="Times New Roman" w:eastAsia="Times New Roman" w:hAnsi="Times New Roman" w:cs="Times New Roman"/>
                <w:sz w:val="24"/>
                <w:szCs w:val="24"/>
                <w:lang w:eastAsia="lv-LV"/>
              </w:rPr>
              <w:t>;</w:t>
            </w:r>
          </w:p>
          <w:p w14:paraId="338BC5CC" w14:textId="6A9112B9" w:rsidR="00F02B94" w:rsidRPr="00894D21" w:rsidRDefault="009F58E5" w:rsidP="00894D21">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kredītiestāde, kas ir mazāk nozīmīgā uzraudzītā iestāde un kas saskaņā ar Latvijas Bankas padomes lēmumu nav identificēta </w:t>
            </w:r>
            <w:r w:rsidRPr="00894D21">
              <w:rPr>
                <w:rFonts w:ascii="Times New Roman" w:eastAsia="Times New Roman" w:hAnsi="Times New Roman" w:cs="Times New Roman"/>
                <w:sz w:val="24"/>
                <w:szCs w:val="24"/>
                <w:lang w:eastAsia="lv-LV"/>
              </w:rPr>
              <w:lastRenderedPageBreak/>
              <w:t xml:space="preserve">kā cita sistēmiski nozīmīga iestāde, sagatavo </w:t>
            </w:r>
            <w:r w:rsidR="000F4375" w:rsidRPr="00894D21">
              <w:rPr>
                <w:rFonts w:ascii="Times New Roman" w:eastAsia="Times New Roman" w:hAnsi="Times New Roman" w:cs="Times New Roman"/>
                <w:sz w:val="24"/>
                <w:szCs w:val="24"/>
                <w:lang w:eastAsia="lv-LV"/>
              </w:rPr>
              <w:t xml:space="preserve">pārskatu par operacionālā riska zaudējumiem </w:t>
            </w:r>
            <w:r w:rsidR="00DA40EA" w:rsidRPr="00894D21">
              <w:rPr>
                <w:rFonts w:ascii="Times New Roman" w:eastAsia="Times New Roman" w:hAnsi="Times New Roman" w:cs="Times New Roman"/>
                <w:sz w:val="24"/>
                <w:szCs w:val="24"/>
                <w:lang w:eastAsia="lv-LV"/>
              </w:rPr>
              <w:t>atbilstoši ES regulas Nr.</w:t>
            </w:r>
            <w:r w:rsidR="00C46E8B" w:rsidRPr="00894D21">
              <w:rPr>
                <w:rFonts w:ascii="Times New Roman" w:eastAsia="Times New Roman" w:hAnsi="Times New Roman" w:cs="Times New Roman"/>
                <w:sz w:val="24"/>
                <w:szCs w:val="24"/>
                <w:lang w:eastAsia="lv-LV"/>
              </w:rPr>
              <w:t> </w:t>
            </w:r>
            <w:r w:rsidR="00DA40EA" w:rsidRPr="00894D21">
              <w:rPr>
                <w:rFonts w:ascii="Times New Roman" w:eastAsia="Times New Roman" w:hAnsi="Times New Roman" w:cs="Times New Roman"/>
                <w:sz w:val="24"/>
                <w:szCs w:val="24"/>
                <w:lang w:eastAsia="lv-LV"/>
              </w:rPr>
              <w:t>2021/451 I</w:t>
            </w:r>
            <w:r w:rsidR="00C46E8B" w:rsidRPr="00894D21">
              <w:rPr>
                <w:rFonts w:ascii="Times New Roman" w:eastAsia="Times New Roman" w:hAnsi="Times New Roman" w:cs="Times New Roman"/>
                <w:sz w:val="24"/>
                <w:szCs w:val="24"/>
                <w:lang w:eastAsia="lv-LV"/>
              </w:rPr>
              <w:t> </w:t>
            </w:r>
            <w:r w:rsidR="00DA40EA" w:rsidRPr="00894D21">
              <w:rPr>
                <w:rFonts w:ascii="Times New Roman" w:eastAsia="Times New Roman" w:hAnsi="Times New Roman" w:cs="Times New Roman"/>
                <w:sz w:val="24"/>
                <w:szCs w:val="24"/>
                <w:lang w:eastAsia="lv-LV"/>
              </w:rPr>
              <w:t>pielikuma 17.01</w:t>
            </w:r>
            <w:r w:rsidR="00C46E8B" w:rsidRPr="00894D21">
              <w:rPr>
                <w:rFonts w:ascii="Times New Roman" w:eastAsia="Times New Roman" w:hAnsi="Times New Roman" w:cs="Times New Roman"/>
                <w:sz w:val="24"/>
                <w:szCs w:val="24"/>
                <w:lang w:eastAsia="lv-LV"/>
              </w:rPr>
              <w:t> </w:t>
            </w:r>
            <w:r w:rsidR="00DA40EA" w:rsidRPr="00894D21">
              <w:rPr>
                <w:rFonts w:ascii="Times New Roman" w:eastAsia="Times New Roman" w:hAnsi="Times New Roman" w:cs="Times New Roman"/>
                <w:sz w:val="24"/>
                <w:szCs w:val="24"/>
                <w:lang w:eastAsia="lv-LV"/>
              </w:rPr>
              <w:t>veidnei "Operacionālais risks: pēdējā gada zaudējumi un zaudējumu atlīdzinājumi pa darbības jomām un notikumu veidiem"</w:t>
            </w:r>
            <w:r w:rsidRPr="00894D21">
              <w:rPr>
                <w:rFonts w:ascii="Times New Roman" w:eastAsia="Times New Roman" w:hAnsi="Times New Roman" w:cs="Times New Roman"/>
                <w:sz w:val="24"/>
                <w:szCs w:val="24"/>
                <w:lang w:eastAsia="lv-LV"/>
              </w:rPr>
              <w:t xml:space="preserve"> par stāvokli pārskata gada 31.</w:t>
            </w:r>
            <w:r w:rsidR="000A1E24"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decembrī individuāli, ja tā nav pakļauta konsolidētajai uzraudzībai, ko veic Latvijas Banka, vai konsolidācijas grupas līmenī vai subkonsolidēti, ja tā ir pakļauta konsolidētajai uzraudzībai, ko veic Latvijas Banka.</w:t>
            </w:r>
            <w:r w:rsidR="00742F43" w:rsidRPr="00894D21">
              <w:rPr>
                <w:rFonts w:ascii="Times New Roman" w:eastAsia="Times New Roman" w:hAnsi="Times New Roman" w:cs="Times New Roman"/>
                <w:sz w:val="24"/>
                <w:szCs w:val="24"/>
                <w:lang w:eastAsia="lv-LV"/>
              </w:rPr>
              <w:t xml:space="preserve"> </w:t>
            </w:r>
            <w:r w:rsidR="000C158C" w:rsidRPr="00894D21">
              <w:rPr>
                <w:rFonts w:ascii="Times New Roman" w:eastAsia="Times New Roman" w:hAnsi="Times New Roman" w:cs="Times New Roman"/>
                <w:sz w:val="24"/>
                <w:szCs w:val="24"/>
                <w:lang w:eastAsia="lv-LV"/>
              </w:rPr>
              <w:t>Savukārt k</w:t>
            </w:r>
            <w:r w:rsidR="00011E6A" w:rsidRPr="00894D21">
              <w:rPr>
                <w:rFonts w:ascii="Times New Roman" w:eastAsia="Times New Roman" w:hAnsi="Times New Roman" w:cs="Times New Roman"/>
                <w:sz w:val="24"/>
                <w:szCs w:val="24"/>
                <w:lang w:eastAsia="lv-LV"/>
              </w:rPr>
              <w:t>redītiestāde, kura saskaņā ar Latvijas Bankas padomes lēmumu ir identificēta kā cita sistēmiski nozīmīga iestād</w:t>
            </w:r>
            <w:r w:rsidR="00FD78F5" w:rsidRPr="00894D21">
              <w:rPr>
                <w:rFonts w:ascii="Times New Roman" w:eastAsia="Times New Roman" w:hAnsi="Times New Roman" w:cs="Times New Roman"/>
                <w:sz w:val="24"/>
                <w:szCs w:val="24"/>
                <w:lang w:eastAsia="lv-LV"/>
              </w:rPr>
              <w:t>e</w:t>
            </w:r>
            <w:r w:rsidR="00011E6A" w:rsidRPr="00894D21">
              <w:rPr>
                <w:rFonts w:ascii="Times New Roman" w:eastAsia="Times New Roman" w:hAnsi="Times New Roman" w:cs="Times New Roman"/>
                <w:sz w:val="24"/>
                <w:szCs w:val="24"/>
                <w:lang w:eastAsia="lv-LV"/>
              </w:rPr>
              <w:t xml:space="preserve">, saskaņā ar ES </w:t>
            </w:r>
            <w:r w:rsidR="00D66869" w:rsidRPr="00894D21">
              <w:rPr>
                <w:rFonts w:ascii="Times New Roman" w:eastAsia="Times New Roman" w:hAnsi="Times New Roman" w:cs="Times New Roman"/>
                <w:sz w:val="24"/>
                <w:szCs w:val="24"/>
                <w:lang w:eastAsia="lv-LV"/>
              </w:rPr>
              <w:t>r</w:t>
            </w:r>
            <w:r w:rsidR="00011E6A" w:rsidRPr="00894D21">
              <w:rPr>
                <w:rFonts w:ascii="Times New Roman" w:eastAsia="Times New Roman" w:hAnsi="Times New Roman" w:cs="Times New Roman"/>
                <w:sz w:val="24"/>
                <w:szCs w:val="24"/>
                <w:lang w:eastAsia="lv-LV"/>
              </w:rPr>
              <w:t>egulas Nr.</w:t>
            </w:r>
            <w:r w:rsidR="00427EFC" w:rsidRPr="00894D21">
              <w:rPr>
                <w:rFonts w:ascii="Times New Roman" w:eastAsia="Times New Roman" w:hAnsi="Times New Roman" w:cs="Times New Roman"/>
                <w:sz w:val="24"/>
                <w:szCs w:val="24"/>
                <w:lang w:eastAsia="lv-LV"/>
              </w:rPr>
              <w:t> </w:t>
            </w:r>
            <w:r w:rsidR="00011E6A" w:rsidRPr="00894D21">
              <w:rPr>
                <w:rFonts w:ascii="Times New Roman" w:eastAsia="Times New Roman" w:hAnsi="Times New Roman" w:cs="Times New Roman"/>
                <w:sz w:val="24"/>
                <w:szCs w:val="24"/>
                <w:lang w:eastAsia="lv-LV"/>
              </w:rPr>
              <w:t>2021/451 prasībām sniedz pārskatus par operacionālā riska zaudējumiem par stāvokli pārskata gada 30.</w:t>
            </w:r>
            <w:r w:rsidR="00427EFC" w:rsidRPr="00894D21">
              <w:rPr>
                <w:rFonts w:ascii="Times New Roman" w:eastAsia="Times New Roman" w:hAnsi="Times New Roman" w:cs="Times New Roman"/>
                <w:sz w:val="24"/>
                <w:szCs w:val="24"/>
                <w:lang w:eastAsia="lv-LV"/>
              </w:rPr>
              <w:t> </w:t>
            </w:r>
            <w:r w:rsidR="00011E6A" w:rsidRPr="00894D21">
              <w:rPr>
                <w:rFonts w:ascii="Times New Roman" w:eastAsia="Times New Roman" w:hAnsi="Times New Roman" w:cs="Times New Roman"/>
                <w:sz w:val="24"/>
                <w:szCs w:val="24"/>
                <w:lang w:eastAsia="lv-LV"/>
              </w:rPr>
              <w:t>jūnijā un 31.</w:t>
            </w:r>
            <w:r w:rsidR="00427EFC" w:rsidRPr="00894D21">
              <w:rPr>
                <w:rFonts w:ascii="Times New Roman" w:eastAsia="Times New Roman" w:hAnsi="Times New Roman" w:cs="Times New Roman"/>
                <w:sz w:val="24"/>
                <w:szCs w:val="24"/>
                <w:lang w:eastAsia="lv-LV"/>
              </w:rPr>
              <w:t> </w:t>
            </w:r>
            <w:r w:rsidR="00011E6A" w:rsidRPr="00894D21">
              <w:rPr>
                <w:rFonts w:ascii="Times New Roman" w:eastAsia="Times New Roman" w:hAnsi="Times New Roman" w:cs="Times New Roman"/>
                <w:sz w:val="24"/>
                <w:szCs w:val="24"/>
                <w:lang w:eastAsia="lv-LV"/>
              </w:rPr>
              <w:t>decembrī</w:t>
            </w:r>
            <w:r w:rsidR="00237A0A" w:rsidRPr="00894D21">
              <w:rPr>
                <w:rFonts w:ascii="Times New Roman" w:eastAsia="Times New Roman" w:hAnsi="Times New Roman" w:cs="Times New Roman"/>
                <w:sz w:val="24"/>
                <w:szCs w:val="24"/>
                <w:lang w:eastAsia="lv-LV"/>
              </w:rPr>
              <w:t xml:space="preserve"> individuāli un konsolidācijas grupas līmenī</w:t>
            </w:r>
            <w:r w:rsidR="001B7557" w:rsidRPr="00894D21">
              <w:rPr>
                <w:rFonts w:ascii="Times New Roman" w:eastAsia="Times New Roman" w:hAnsi="Times New Roman" w:cs="Times New Roman"/>
                <w:sz w:val="24"/>
                <w:szCs w:val="24"/>
                <w:lang w:eastAsia="lv-LV"/>
              </w:rPr>
              <w:t>;</w:t>
            </w:r>
          </w:p>
          <w:p w14:paraId="042C31A6" w14:textId="426619DA" w:rsidR="00570818" w:rsidRPr="00894D21" w:rsidRDefault="00570818" w:rsidP="00894D21">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noguldījumu, kas piesaistīti noguldījumu platformās, pārskatu tur</w:t>
            </w:r>
            <w:r w:rsidR="009D4488" w:rsidRPr="00894D21">
              <w:rPr>
                <w:rFonts w:ascii="Times New Roman" w:eastAsia="Times New Roman" w:hAnsi="Times New Roman" w:cs="Times New Roman"/>
                <w:sz w:val="24"/>
                <w:szCs w:val="24"/>
                <w:lang w:eastAsia="lv-LV"/>
              </w:rPr>
              <w:t>pmāk sniegs tikai tās kredītiestādes, kur</w:t>
            </w:r>
            <w:r w:rsidR="002B3947" w:rsidRPr="00894D21">
              <w:rPr>
                <w:rFonts w:ascii="Times New Roman" w:eastAsia="Times New Roman" w:hAnsi="Times New Roman" w:cs="Times New Roman"/>
                <w:sz w:val="24"/>
                <w:szCs w:val="24"/>
                <w:lang w:eastAsia="lv-LV"/>
              </w:rPr>
              <w:t xml:space="preserve">ām </w:t>
            </w:r>
            <w:r w:rsidR="00BE1575" w:rsidRPr="00894D21">
              <w:rPr>
                <w:rFonts w:ascii="Times New Roman" w:eastAsia="Times New Roman" w:hAnsi="Times New Roman" w:cs="Times New Roman"/>
                <w:sz w:val="24"/>
                <w:szCs w:val="24"/>
                <w:lang w:eastAsia="lv-LV"/>
              </w:rPr>
              <w:t>pārskata ceturkšņa beigās ir noguldījumu platformās piesaistītu noguldījumu atlikums</w:t>
            </w:r>
            <w:r w:rsidR="00172B56" w:rsidRPr="00894D21">
              <w:rPr>
                <w:rFonts w:ascii="Times New Roman" w:eastAsia="Times New Roman" w:hAnsi="Times New Roman" w:cs="Times New Roman"/>
                <w:sz w:val="24"/>
                <w:szCs w:val="24"/>
                <w:lang w:eastAsia="lv-LV"/>
              </w:rPr>
              <w:t>;</w:t>
            </w:r>
          </w:p>
          <w:p w14:paraId="63518692" w14:textId="6C563FFD" w:rsidR="007F1C71" w:rsidRPr="00894D21" w:rsidRDefault="00172B56" w:rsidP="00894D21">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pārņemto nekustamo īpašumu pārskatu turpmāk </w:t>
            </w:r>
            <w:r w:rsidR="0086312A" w:rsidRPr="00894D21">
              <w:rPr>
                <w:rFonts w:ascii="Times New Roman" w:eastAsia="Times New Roman" w:hAnsi="Times New Roman" w:cs="Times New Roman"/>
                <w:sz w:val="24"/>
                <w:szCs w:val="24"/>
                <w:lang w:eastAsia="lv-LV"/>
              </w:rPr>
              <w:t>sniegs tikai tās</w:t>
            </w:r>
            <w:r w:rsidRPr="00894D21">
              <w:rPr>
                <w:rFonts w:ascii="Times New Roman" w:eastAsia="Times New Roman" w:hAnsi="Times New Roman" w:cs="Times New Roman"/>
                <w:sz w:val="24"/>
                <w:szCs w:val="24"/>
                <w:lang w:eastAsia="lv-LV"/>
              </w:rPr>
              <w:t xml:space="preserve"> </w:t>
            </w:r>
            <w:r w:rsidR="0086312A" w:rsidRPr="00894D21">
              <w:rPr>
                <w:rFonts w:ascii="Times New Roman" w:eastAsia="Times New Roman" w:hAnsi="Times New Roman" w:cs="Times New Roman"/>
                <w:sz w:val="24"/>
                <w:szCs w:val="24"/>
                <w:lang w:eastAsia="lv-LV"/>
              </w:rPr>
              <w:t>kredītiestādes, kurām ir paaugstināts ienākumus nenesošo kredītu īpatsvars</w:t>
            </w:r>
            <w:r w:rsidR="00F443B5" w:rsidRPr="00894D21">
              <w:rPr>
                <w:rFonts w:ascii="Times New Roman" w:eastAsia="Times New Roman" w:hAnsi="Times New Roman" w:cs="Times New Roman"/>
                <w:sz w:val="24"/>
                <w:szCs w:val="24"/>
                <w:lang w:eastAsia="lv-LV"/>
              </w:rPr>
              <w:t xml:space="preserve"> </w:t>
            </w:r>
            <w:r w:rsidR="00A90BD4" w:rsidRPr="00894D21">
              <w:rPr>
                <w:rFonts w:ascii="Times New Roman" w:eastAsia="Times New Roman" w:hAnsi="Times New Roman" w:cs="Times New Roman"/>
                <w:sz w:val="24"/>
                <w:szCs w:val="24"/>
                <w:lang w:eastAsia="lv-LV"/>
              </w:rPr>
              <w:t xml:space="preserve">saskaņā ar </w:t>
            </w:r>
            <w:r w:rsidR="00F443B5" w:rsidRPr="00894D21">
              <w:rPr>
                <w:rFonts w:ascii="Times New Roman" w:eastAsia="Times New Roman" w:hAnsi="Times New Roman" w:cs="Times New Roman"/>
                <w:sz w:val="24"/>
                <w:szCs w:val="24"/>
                <w:lang w:eastAsia="lv-LV"/>
              </w:rPr>
              <w:t>Latvijas Bankas</w:t>
            </w:r>
            <w:r w:rsidR="00D112A9" w:rsidRPr="00D53AC5">
              <w:rPr>
                <w:rFonts w:ascii="Times New Roman" w:hAnsi="Times New Roman" w:cs="Times New Roman"/>
              </w:rPr>
              <w:t xml:space="preserve"> </w:t>
            </w:r>
            <w:r w:rsidR="00D112A9" w:rsidRPr="00894D21">
              <w:rPr>
                <w:rFonts w:ascii="Times New Roman" w:eastAsia="Times New Roman" w:hAnsi="Times New Roman" w:cs="Times New Roman"/>
                <w:sz w:val="24"/>
                <w:szCs w:val="24"/>
                <w:lang w:eastAsia="lv-LV"/>
              </w:rPr>
              <w:t>2023.</w:t>
            </w:r>
            <w:r w:rsidR="007218F1" w:rsidRPr="00894D21">
              <w:rPr>
                <w:rFonts w:ascii="Times New Roman" w:eastAsia="Times New Roman" w:hAnsi="Times New Roman" w:cs="Times New Roman"/>
                <w:sz w:val="24"/>
                <w:szCs w:val="24"/>
                <w:lang w:eastAsia="lv-LV"/>
              </w:rPr>
              <w:t> </w:t>
            </w:r>
            <w:r w:rsidR="00D112A9" w:rsidRPr="00894D21">
              <w:rPr>
                <w:rFonts w:ascii="Times New Roman" w:eastAsia="Times New Roman" w:hAnsi="Times New Roman" w:cs="Times New Roman"/>
                <w:sz w:val="24"/>
                <w:szCs w:val="24"/>
                <w:lang w:eastAsia="lv-LV"/>
              </w:rPr>
              <w:t>gada 18.</w:t>
            </w:r>
            <w:r w:rsidR="007218F1" w:rsidRPr="00894D21">
              <w:rPr>
                <w:rFonts w:ascii="Times New Roman" w:eastAsia="Times New Roman" w:hAnsi="Times New Roman" w:cs="Times New Roman"/>
                <w:sz w:val="24"/>
                <w:szCs w:val="24"/>
                <w:lang w:eastAsia="lv-LV"/>
              </w:rPr>
              <w:t> </w:t>
            </w:r>
            <w:r w:rsidR="00D112A9" w:rsidRPr="00894D21">
              <w:rPr>
                <w:rFonts w:ascii="Times New Roman" w:eastAsia="Times New Roman" w:hAnsi="Times New Roman" w:cs="Times New Roman"/>
                <w:sz w:val="24"/>
                <w:szCs w:val="24"/>
                <w:lang w:eastAsia="lv-LV"/>
              </w:rPr>
              <w:t>decembra</w:t>
            </w:r>
            <w:r w:rsidR="00F443B5" w:rsidRPr="00894D21">
              <w:rPr>
                <w:rFonts w:ascii="Times New Roman" w:eastAsia="Times New Roman" w:hAnsi="Times New Roman" w:cs="Times New Roman"/>
                <w:sz w:val="24"/>
                <w:szCs w:val="24"/>
                <w:lang w:eastAsia="lv-LV"/>
              </w:rPr>
              <w:t xml:space="preserve"> </w:t>
            </w:r>
            <w:r w:rsidR="00A90BD4" w:rsidRPr="00894D21">
              <w:rPr>
                <w:rFonts w:ascii="Times New Roman" w:eastAsia="Times New Roman" w:hAnsi="Times New Roman" w:cs="Times New Roman"/>
                <w:sz w:val="24"/>
                <w:szCs w:val="24"/>
                <w:lang w:eastAsia="lv-LV"/>
              </w:rPr>
              <w:t>noteikum</w:t>
            </w:r>
            <w:r w:rsidR="007D3112" w:rsidRPr="00894D21">
              <w:rPr>
                <w:rFonts w:ascii="Times New Roman" w:eastAsia="Times New Roman" w:hAnsi="Times New Roman" w:cs="Times New Roman"/>
                <w:sz w:val="24"/>
                <w:szCs w:val="24"/>
                <w:lang w:eastAsia="lv-LV"/>
              </w:rPr>
              <w:t>u</w:t>
            </w:r>
            <w:r w:rsidR="00C92D8B" w:rsidRPr="00894D21">
              <w:rPr>
                <w:rFonts w:ascii="Times New Roman" w:eastAsia="Times New Roman" w:hAnsi="Times New Roman" w:cs="Times New Roman"/>
                <w:sz w:val="24"/>
                <w:szCs w:val="24"/>
                <w:lang w:eastAsia="lv-LV"/>
              </w:rPr>
              <w:t xml:space="preserve"> Nr.</w:t>
            </w:r>
            <w:r w:rsidR="007218F1" w:rsidRPr="00894D21">
              <w:rPr>
                <w:rFonts w:ascii="Times New Roman" w:eastAsia="Times New Roman" w:hAnsi="Times New Roman" w:cs="Times New Roman"/>
                <w:sz w:val="24"/>
                <w:szCs w:val="24"/>
                <w:lang w:eastAsia="lv-LV"/>
              </w:rPr>
              <w:t> </w:t>
            </w:r>
            <w:r w:rsidR="00D112A9" w:rsidRPr="00894D21">
              <w:rPr>
                <w:rFonts w:ascii="Times New Roman" w:eastAsia="Times New Roman" w:hAnsi="Times New Roman" w:cs="Times New Roman"/>
                <w:sz w:val="24"/>
                <w:szCs w:val="24"/>
                <w:lang w:eastAsia="lv-LV"/>
              </w:rPr>
              <w:t>265</w:t>
            </w:r>
            <w:r w:rsidR="007D3112" w:rsidRPr="00894D21">
              <w:rPr>
                <w:rFonts w:ascii="Times New Roman" w:eastAsia="Times New Roman" w:hAnsi="Times New Roman" w:cs="Times New Roman"/>
                <w:sz w:val="24"/>
                <w:szCs w:val="24"/>
                <w:lang w:eastAsia="lv-LV"/>
              </w:rPr>
              <w:t xml:space="preserve"> </w:t>
            </w:r>
            <w:r w:rsidR="00F7013B" w:rsidRPr="00894D21">
              <w:rPr>
                <w:rFonts w:ascii="Times New Roman" w:eastAsia="Times New Roman" w:hAnsi="Times New Roman" w:cs="Times New Roman"/>
                <w:sz w:val="24"/>
                <w:szCs w:val="24"/>
                <w:lang w:eastAsia="lv-LV"/>
              </w:rPr>
              <w:t>"</w:t>
            </w:r>
            <w:r w:rsidR="007D3112" w:rsidRPr="00894D21">
              <w:rPr>
                <w:rFonts w:ascii="Times New Roman" w:eastAsia="Times New Roman" w:hAnsi="Times New Roman" w:cs="Times New Roman"/>
                <w:sz w:val="24"/>
                <w:szCs w:val="24"/>
                <w:lang w:eastAsia="lv-LV"/>
              </w:rPr>
              <w:t>K</w:t>
            </w:r>
            <w:r w:rsidR="00A90BD4" w:rsidRPr="00894D21">
              <w:rPr>
                <w:rFonts w:ascii="Times New Roman" w:eastAsia="Times New Roman" w:hAnsi="Times New Roman" w:cs="Times New Roman"/>
                <w:sz w:val="24"/>
                <w:szCs w:val="24"/>
                <w:lang w:eastAsia="lv-LV"/>
              </w:rPr>
              <w:t>redītriska pārvaldīšana</w:t>
            </w:r>
            <w:r w:rsidR="007D3112" w:rsidRPr="00894D21">
              <w:rPr>
                <w:rFonts w:ascii="Times New Roman" w:eastAsia="Times New Roman" w:hAnsi="Times New Roman" w:cs="Times New Roman"/>
                <w:sz w:val="24"/>
                <w:szCs w:val="24"/>
                <w:lang w:eastAsia="lv-LV"/>
              </w:rPr>
              <w:t>s noteikumi</w:t>
            </w:r>
            <w:r w:rsidR="00F7013B" w:rsidRPr="00894D21">
              <w:rPr>
                <w:rFonts w:ascii="Times New Roman" w:eastAsia="Times New Roman" w:hAnsi="Times New Roman" w:cs="Times New Roman"/>
                <w:sz w:val="24"/>
                <w:szCs w:val="24"/>
                <w:lang w:eastAsia="lv-LV"/>
              </w:rPr>
              <w:t>"</w:t>
            </w:r>
            <w:r w:rsidR="00A90BD4" w:rsidRPr="00894D21">
              <w:rPr>
                <w:rFonts w:ascii="Times New Roman" w:eastAsia="Times New Roman" w:hAnsi="Times New Roman" w:cs="Times New Roman"/>
                <w:sz w:val="24"/>
                <w:szCs w:val="24"/>
                <w:lang w:eastAsia="lv-LV"/>
              </w:rPr>
              <w:t xml:space="preserve"> </w:t>
            </w:r>
            <w:r w:rsidR="00533B50" w:rsidRPr="00894D21">
              <w:rPr>
                <w:rFonts w:ascii="Times New Roman" w:eastAsia="Times New Roman" w:hAnsi="Times New Roman" w:cs="Times New Roman"/>
                <w:sz w:val="24"/>
                <w:szCs w:val="24"/>
                <w:lang w:eastAsia="lv-LV"/>
              </w:rPr>
              <w:t>9.</w:t>
            </w:r>
            <w:r w:rsidR="00427EFC" w:rsidRPr="00894D21">
              <w:rPr>
                <w:rFonts w:ascii="Times New Roman" w:eastAsia="Times New Roman" w:hAnsi="Times New Roman" w:cs="Times New Roman"/>
                <w:sz w:val="24"/>
                <w:szCs w:val="24"/>
                <w:lang w:eastAsia="lv-LV"/>
              </w:rPr>
              <w:t> </w:t>
            </w:r>
            <w:r w:rsidR="00533B50" w:rsidRPr="00894D21">
              <w:rPr>
                <w:rFonts w:ascii="Times New Roman" w:eastAsia="Times New Roman" w:hAnsi="Times New Roman" w:cs="Times New Roman"/>
                <w:sz w:val="24"/>
                <w:szCs w:val="24"/>
                <w:lang w:eastAsia="lv-LV"/>
              </w:rPr>
              <w:t>nodaļā noteikta</w:t>
            </w:r>
            <w:r w:rsidR="00631E97" w:rsidRPr="00894D21">
              <w:rPr>
                <w:rFonts w:ascii="Times New Roman" w:eastAsia="Times New Roman" w:hAnsi="Times New Roman" w:cs="Times New Roman"/>
                <w:sz w:val="24"/>
                <w:szCs w:val="24"/>
                <w:lang w:eastAsia="lv-LV"/>
              </w:rPr>
              <w:t>jiem kritērijiem.</w:t>
            </w:r>
            <w:r w:rsidR="007E0BD3" w:rsidRPr="00894D21">
              <w:rPr>
                <w:rFonts w:ascii="Times New Roman" w:eastAsia="Times New Roman" w:hAnsi="Times New Roman" w:cs="Times New Roman"/>
                <w:sz w:val="24"/>
                <w:szCs w:val="24"/>
                <w:lang w:eastAsia="lv-LV"/>
              </w:rPr>
              <w:t xml:space="preserve"> </w:t>
            </w:r>
            <w:r w:rsidR="006C3828" w:rsidRPr="00894D21">
              <w:rPr>
                <w:rFonts w:ascii="Times New Roman" w:eastAsia="Times New Roman" w:hAnsi="Times New Roman" w:cs="Times New Roman"/>
                <w:sz w:val="24"/>
                <w:szCs w:val="24"/>
                <w:lang w:eastAsia="lv-LV"/>
              </w:rPr>
              <w:t xml:space="preserve">Pārējās </w:t>
            </w:r>
            <w:r w:rsidR="00ED399C" w:rsidRPr="00894D21">
              <w:rPr>
                <w:rFonts w:ascii="Times New Roman" w:eastAsia="Times New Roman" w:hAnsi="Times New Roman" w:cs="Times New Roman"/>
                <w:sz w:val="24"/>
                <w:szCs w:val="24"/>
                <w:lang w:eastAsia="lv-LV"/>
              </w:rPr>
              <w:t>kredīt</w:t>
            </w:r>
            <w:r w:rsidR="006C3828" w:rsidRPr="00894D21">
              <w:rPr>
                <w:rFonts w:ascii="Times New Roman" w:eastAsia="Times New Roman" w:hAnsi="Times New Roman" w:cs="Times New Roman"/>
                <w:sz w:val="24"/>
                <w:szCs w:val="24"/>
                <w:lang w:eastAsia="lv-LV"/>
              </w:rPr>
              <w:t>iestādes turpmāk būs atbrīvotas no šāda pārskata sniegšanas. Noteikumu projekt</w:t>
            </w:r>
            <w:r w:rsidR="002C3E3C" w:rsidRPr="00894D21">
              <w:rPr>
                <w:rFonts w:ascii="Times New Roman" w:eastAsia="Times New Roman" w:hAnsi="Times New Roman" w:cs="Times New Roman"/>
                <w:sz w:val="24"/>
                <w:szCs w:val="24"/>
                <w:lang w:eastAsia="lv-LV"/>
              </w:rPr>
              <w:t>s</w:t>
            </w:r>
            <w:r w:rsidR="006C3828" w:rsidRPr="00894D21">
              <w:rPr>
                <w:rFonts w:ascii="Times New Roman" w:eastAsia="Times New Roman" w:hAnsi="Times New Roman" w:cs="Times New Roman"/>
                <w:sz w:val="24"/>
                <w:szCs w:val="24"/>
                <w:lang w:eastAsia="lv-LV"/>
              </w:rPr>
              <w:t xml:space="preserve"> paredz, ka no 2024.</w:t>
            </w:r>
            <w:r w:rsidR="00831F05" w:rsidRPr="00894D21">
              <w:rPr>
                <w:rFonts w:ascii="Times New Roman" w:eastAsia="Times New Roman" w:hAnsi="Times New Roman" w:cs="Times New Roman"/>
                <w:sz w:val="24"/>
                <w:szCs w:val="24"/>
                <w:lang w:eastAsia="lv-LV"/>
              </w:rPr>
              <w:t> </w:t>
            </w:r>
            <w:r w:rsidR="006C3828" w:rsidRPr="00894D21">
              <w:rPr>
                <w:rFonts w:ascii="Times New Roman" w:eastAsia="Times New Roman" w:hAnsi="Times New Roman" w:cs="Times New Roman"/>
                <w:sz w:val="24"/>
                <w:szCs w:val="24"/>
                <w:lang w:eastAsia="lv-LV"/>
              </w:rPr>
              <w:t>gada pārskats būs sniedzams reizi gadā par stāvokli 31.</w:t>
            </w:r>
            <w:r w:rsidR="00831F05" w:rsidRPr="00894D21">
              <w:rPr>
                <w:rFonts w:ascii="Times New Roman" w:eastAsia="Times New Roman" w:hAnsi="Times New Roman" w:cs="Times New Roman"/>
                <w:sz w:val="24"/>
                <w:szCs w:val="24"/>
                <w:lang w:eastAsia="lv-LV"/>
              </w:rPr>
              <w:t> </w:t>
            </w:r>
            <w:r w:rsidR="006C3828" w:rsidRPr="00894D21">
              <w:rPr>
                <w:rFonts w:ascii="Times New Roman" w:eastAsia="Times New Roman" w:hAnsi="Times New Roman" w:cs="Times New Roman"/>
                <w:sz w:val="24"/>
                <w:szCs w:val="24"/>
                <w:lang w:eastAsia="lv-LV"/>
              </w:rPr>
              <w:t>decembr</w:t>
            </w:r>
            <w:r w:rsidR="00056B91" w:rsidRPr="00894D21">
              <w:rPr>
                <w:rFonts w:ascii="Times New Roman" w:eastAsia="Times New Roman" w:hAnsi="Times New Roman" w:cs="Times New Roman"/>
                <w:sz w:val="24"/>
                <w:szCs w:val="24"/>
                <w:lang w:eastAsia="lv-LV"/>
              </w:rPr>
              <w:t>ī</w:t>
            </w:r>
            <w:r w:rsidR="006C3828" w:rsidRPr="00894D21">
              <w:rPr>
                <w:rFonts w:ascii="Times New Roman" w:eastAsia="Times New Roman" w:hAnsi="Times New Roman" w:cs="Times New Roman"/>
                <w:sz w:val="24"/>
                <w:szCs w:val="24"/>
                <w:lang w:eastAsia="lv-LV"/>
              </w:rPr>
              <w:t>. Pārskata saturs atbilst Finanšu un kapitāla tirgus komisijas 2020.</w:t>
            </w:r>
            <w:r w:rsidR="008347DA" w:rsidRPr="00894D21">
              <w:rPr>
                <w:rFonts w:ascii="Times New Roman" w:eastAsia="Times New Roman" w:hAnsi="Times New Roman" w:cs="Times New Roman"/>
                <w:sz w:val="24"/>
                <w:szCs w:val="24"/>
                <w:lang w:eastAsia="lv-LV"/>
              </w:rPr>
              <w:t> </w:t>
            </w:r>
            <w:r w:rsidR="006C3828" w:rsidRPr="00894D21">
              <w:rPr>
                <w:rFonts w:ascii="Times New Roman" w:eastAsia="Times New Roman" w:hAnsi="Times New Roman" w:cs="Times New Roman"/>
                <w:sz w:val="24"/>
                <w:szCs w:val="24"/>
                <w:lang w:eastAsia="lv-LV"/>
              </w:rPr>
              <w:t>gada 4.</w:t>
            </w:r>
            <w:r w:rsidR="00831F05" w:rsidRPr="00894D21">
              <w:rPr>
                <w:rFonts w:ascii="Times New Roman" w:eastAsia="Times New Roman" w:hAnsi="Times New Roman" w:cs="Times New Roman"/>
                <w:sz w:val="24"/>
                <w:szCs w:val="24"/>
                <w:lang w:eastAsia="lv-LV"/>
              </w:rPr>
              <w:t> </w:t>
            </w:r>
            <w:r w:rsidR="006C3828" w:rsidRPr="00894D21">
              <w:rPr>
                <w:rFonts w:ascii="Times New Roman" w:eastAsia="Times New Roman" w:hAnsi="Times New Roman" w:cs="Times New Roman"/>
                <w:sz w:val="24"/>
                <w:szCs w:val="24"/>
                <w:lang w:eastAsia="lv-LV"/>
              </w:rPr>
              <w:t>augusta normatīvajiem noteikumiem Nr.</w:t>
            </w:r>
            <w:r w:rsidR="00831F05" w:rsidRPr="00894D21">
              <w:rPr>
                <w:rFonts w:ascii="Times New Roman" w:eastAsia="Times New Roman" w:hAnsi="Times New Roman" w:cs="Times New Roman"/>
                <w:sz w:val="24"/>
                <w:szCs w:val="24"/>
                <w:lang w:eastAsia="lv-LV"/>
              </w:rPr>
              <w:t> </w:t>
            </w:r>
            <w:r w:rsidR="006C3828" w:rsidRPr="00894D21">
              <w:rPr>
                <w:rFonts w:ascii="Times New Roman" w:eastAsia="Times New Roman" w:hAnsi="Times New Roman" w:cs="Times New Roman"/>
                <w:sz w:val="24"/>
                <w:szCs w:val="24"/>
                <w:lang w:eastAsia="lv-LV"/>
              </w:rPr>
              <w:t xml:space="preserve">124 "Informācijas par pārņemto nekustamo īpašumu sagatavošanas normatīvie noteikumi"; vienīgās izmaiņas ir saistītas ar klasifikatoru </w:t>
            </w:r>
            <w:r w:rsidR="008778BB" w:rsidRPr="00894D21">
              <w:rPr>
                <w:rFonts w:ascii="Times New Roman" w:eastAsia="Times New Roman" w:hAnsi="Times New Roman" w:cs="Times New Roman"/>
                <w:sz w:val="24"/>
                <w:szCs w:val="24"/>
                <w:lang w:eastAsia="lv-LV"/>
              </w:rPr>
              <w:t>"</w:t>
            </w:r>
            <w:r w:rsidR="006C3828" w:rsidRPr="00894D21">
              <w:rPr>
                <w:rFonts w:ascii="Times New Roman" w:eastAsia="Times New Roman" w:hAnsi="Times New Roman" w:cs="Times New Roman"/>
                <w:sz w:val="24"/>
                <w:szCs w:val="24"/>
                <w:lang w:eastAsia="lv-LV"/>
              </w:rPr>
              <w:t>Nekustamā īpašuma atrašanās vieta</w:t>
            </w:r>
            <w:r w:rsidR="008778BB" w:rsidRPr="00894D21">
              <w:rPr>
                <w:rFonts w:ascii="Times New Roman" w:eastAsia="Times New Roman" w:hAnsi="Times New Roman" w:cs="Times New Roman"/>
                <w:sz w:val="24"/>
                <w:szCs w:val="24"/>
                <w:lang w:eastAsia="lv-LV"/>
              </w:rPr>
              <w:t>"</w:t>
            </w:r>
            <w:r w:rsidR="006C3828" w:rsidRPr="00894D21">
              <w:rPr>
                <w:rFonts w:ascii="Times New Roman" w:eastAsia="Times New Roman" w:hAnsi="Times New Roman" w:cs="Times New Roman"/>
                <w:sz w:val="24"/>
                <w:szCs w:val="24"/>
                <w:lang w:eastAsia="lv-LV"/>
              </w:rPr>
              <w:t>, kurš ir atjaunināts atbilstoši Latvijas administratīvajam iedalījumam novados un valstspilsētās</w:t>
            </w:r>
            <w:r w:rsidR="00E8240C" w:rsidRPr="00894D21">
              <w:rPr>
                <w:rFonts w:ascii="Times New Roman" w:eastAsia="Times New Roman" w:hAnsi="Times New Roman" w:cs="Times New Roman"/>
                <w:sz w:val="24"/>
                <w:szCs w:val="24"/>
                <w:lang w:eastAsia="lv-LV"/>
              </w:rPr>
              <w:t xml:space="preserve"> saskaņā ar Administratīvo teritoriju un teritoriālā iedalījuma vienību klasifikatoru, ko nosaka Ministru kabineta 2021.</w:t>
            </w:r>
            <w:r w:rsidR="00056B91" w:rsidRPr="00894D21">
              <w:rPr>
                <w:rFonts w:ascii="Times New Roman" w:eastAsia="Times New Roman" w:hAnsi="Times New Roman" w:cs="Times New Roman"/>
                <w:sz w:val="24"/>
                <w:szCs w:val="24"/>
                <w:lang w:eastAsia="lv-LV"/>
              </w:rPr>
              <w:t> </w:t>
            </w:r>
            <w:r w:rsidR="00E8240C" w:rsidRPr="00894D21">
              <w:rPr>
                <w:rFonts w:ascii="Times New Roman" w:eastAsia="Times New Roman" w:hAnsi="Times New Roman" w:cs="Times New Roman"/>
                <w:sz w:val="24"/>
                <w:szCs w:val="24"/>
                <w:lang w:eastAsia="lv-LV"/>
              </w:rPr>
              <w:t>gada 15.</w:t>
            </w:r>
            <w:r w:rsidR="00056B91" w:rsidRPr="00894D21">
              <w:rPr>
                <w:rFonts w:ascii="Times New Roman" w:eastAsia="Times New Roman" w:hAnsi="Times New Roman" w:cs="Times New Roman"/>
                <w:sz w:val="24"/>
                <w:szCs w:val="24"/>
                <w:lang w:eastAsia="lv-LV"/>
              </w:rPr>
              <w:t> </w:t>
            </w:r>
            <w:r w:rsidR="00E8240C" w:rsidRPr="00894D21">
              <w:rPr>
                <w:rFonts w:ascii="Times New Roman" w:eastAsia="Times New Roman" w:hAnsi="Times New Roman" w:cs="Times New Roman"/>
                <w:sz w:val="24"/>
                <w:szCs w:val="24"/>
                <w:lang w:eastAsia="lv-LV"/>
              </w:rPr>
              <w:t>jūnija noteikumi Nr.</w:t>
            </w:r>
            <w:r w:rsidR="00056B91" w:rsidRPr="00894D21">
              <w:rPr>
                <w:rFonts w:ascii="Times New Roman" w:eastAsia="Times New Roman" w:hAnsi="Times New Roman" w:cs="Times New Roman"/>
                <w:sz w:val="24"/>
                <w:szCs w:val="24"/>
                <w:lang w:eastAsia="lv-LV"/>
              </w:rPr>
              <w:t> </w:t>
            </w:r>
            <w:r w:rsidR="00E8240C" w:rsidRPr="00894D21">
              <w:rPr>
                <w:rFonts w:ascii="Times New Roman" w:eastAsia="Times New Roman" w:hAnsi="Times New Roman" w:cs="Times New Roman"/>
                <w:sz w:val="24"/>
                <w:szCs w:val="24"/>
                <w:lang w:eastAsia="lv-LV"/>
              </w:rPr>
              <w:t>379 "Administratīvo teritoriju un teritoriālā iedalījuma vienību klasifikatora noteikumi"</w:t>
            </w:r>
            <w:r w:rsidR="00D26E32" w:rsidRPr="00894D21">
              <w:rPr>
                <w:rFonts w:ascii="Times New Roman" w:eastAsia="Times New Roman" w:hAnsi="Times New Roman" w:cs="Times New Roman"/>
                <w:sz w:val="24"/>
                <w:szCs w:val="24"/>
                <w:lang w:eastAsia="lv-LV"/>
              </w:rPr>
              <w:t xml:space="preserve">, kā arī </w:t>
            </w:r>
            <w:r w:rsidR="00990C7D" w:rsidRPr="00894D21">
              <w:rPr>
                <w:rFonts w:ascii="Times New Roman" w:eastAsia="Times New Roman" w:hAnsi="Times New Roman" w:cs="Times New Roman"/>
                <w:sz w:val="24"/>
                <w:szCs w:val="24"/>
                <w:lang w:eastAsia="lv-LV"/>
              </w:rPr>
              <w:t xml:space="preserve">klasifikatoru </w:t>
            </w:r>
            <w:r w:rsidR="00993856" w:rsidRPr="00894D21">
              <w:rPr>
                <w:rFonts w:ascii="Times New Roman" w:eastAsia="Times New Roman" w:hAnsi="Times New Roman" w:cs="Times New Roman"/>
                <w:sz w:val="24"/>
                <w:szCs w:val="24"/>
                <w:lang w:eastAsia="lv-LV"/>
              </w:rPr>
              <w:t>"</w:t>
            </w:r>
            <w:r w:rsidR="003F4CCA" w:rsidRPr="00894D21">
              <w:rPr>
                <w:rFonts w:ascii="Times New Roman" w:eastAsia="Times New Roman" w:hAnsi="Times New Roman" w:cs="Times New Roman"/>
                <w:sz w:val="24"/>
                <w:szCs w:val="24"/>
                <w:lang w:eastAsia="lv-LV"/>
              </w:rPr>
              <w:t>Nekustamā īpašuma veids</w:t>
            </w:r>
            <w:r w:rsidR="00993856" w:rsidRPr="00894D21">
              <w:rPr>
                <w:rFonts w:ascii="Times New Roman" w:eastAsia="Times New Roman" w:hAnsi="Times New Roman" w:cs="Times New Roman"/>
                <w:sz w:val="24"/>
                <w:szCs w:val="24"/>
                <w:lang w:eastAsia="lv-LV"/>
              </w:rPr>
              <w:t>"</w:t>
            </w:r>
            <w:r w:rsidR="003F4CCA" w:rsidRPr="00894D21">
              <w:rPr>
                <w:rFonts w:ascii="Times New Roman" w:eastAsia="Times New Roman" w:hAnsi="Times New Roman" w:cs="Times New Roman"/>
                <w:sz w:val="24"/>
                <w:szCs w:val="24"/>
                <w:lang w:eastAsia="lv-LV"/>
              </w:rPr>
              <w:t xml:space="preserve"> </w:t>
            </w:r>
            <w:r w:rsidR="0086087C" w:rsidRPr="00894D21">
              <w:rPr>
                <w:rFonts w:ascii="Times New Roman" w:eastAsia="Times New Roman" w:hAnsi="Times New Roman" w:cs="Times New Roman"/>
                <w:sz w:val="24"/>
                <w:szCs w:val="24"/>
                <w:lang w:eastAsia="lv-LV"/>
              </w:rPr>
              <w:t xml:space="preserve">atbilstoši Ministru kabineta </w:t>
            </w:r>
            <w:r w:rsidR="00070B88" w:rsidRPr="00894D21">
              <w:rPr>
                <w:rFonts w:ascii="Times New Roman" w:eastAsia="Times New Roman" w:hAnsi="Times New Roman" w:cs="Times New Roman"/>
                <w:sz w:val="24"/>
                <w:szCs w:val="24"/>
                <w:lang w:eastAsia="lv-LV"/>
              </w:rPr>
              <w:t>2018.</w:t>
            </w:r>
            <w:r w:rsidR="00056B91" w:rsidRPr="00894D21">
              <w:rPr>
                <w:rFonts w:ascii="Times New Roman" w:eastAsia="Times New Roman" w:hAnsi="Times New Roman" w:cs="Times New Roman"/>
                <w:sz w:val="24"/>
                <w:szCs w:val="24"/>
                <w:lang w:eastAsia="lv-LV"/>
              </w:rPr>
              <w:t> </w:t>
            </w:r>
            <w:r w:rsidR="00070B88" w:rsidRPr="00894D21">
              <w:rPr>
                <w:rFonts w:ascii="Times New Roman" w:eastAsia="Times New Roman" w:hAnsi="Times New Roman" w:cs="Times New Roman"/>
                <w:sz w:val="24"/>
                <w:szCs w:val="24"/>
                <w:lang w:eastAsia="lv-LV"/>
              </w:rPr>
              <w:t>gada 12.</w:t>
            </w:r>
            <w:r w:rsidR="00056B91" w:rsidRPr="00894D21">
              <w:rPr>
                <w:rFonts w:ascii="Times New Roman" w:eastAsia="Times New Roman" w:hAnsi="Times New Roman" w:cs="Times New Roman"/>
                <w:sz w:val="24"/>
                <w:szCs w:val="24"/>
                <w:lang w:eastAsia="lv-LV"/>
              </w:rPr>
              <w:t> </w:t>
            </w:r>
            <w:r w:rsidR="00070B88" w:rsidRPr="00894D21">
              <w:rPr>
                <w:rFonts w:ascii="Times New Roman" w:eastAsia="Times New Roman" w:hAnsi="Times New Roman" w:cs="Times New Roman"/>
                <w:sz w:val="24"/>
                <w:szCs w:val="24"/>
                <w:lang w:eastAsia="lv-LV"/>
              </w:rPr>
              <w:t xml:space="preserve">jūnija </w:t>
            </w:r>
            <w:r w:rsidR="0086087C" w:rsidRPr="00894D21">
              <w:rPr>
                <w:rFonts w:ascii="Times New Roman" w:eastAsia="Times New Roman" w:hAnsi="Times New Roman" w:cs="Times New Roman"/>
                <w:sz w:val="24"/>
                <w:szCs w:val="24"/>
                <w:lang w:eastAsia="lv-LV"/>
              </w:rPr>
              <w:t>noteikumiem</w:t>
            </w:r>
            <w:r w:rsidR="00070B88" w:rsidRPr="00894D21">
              <w:rPr>
                <w:rFonts w:ascii="Times New Roman" w:eastAsia="Times New Roman" w:hAnsi="Times New Roman" w:cs="Times New Roman"/>
                <w:sz w:val="24"/>
                <w:szCs w:val="24"/>
                <w:lang w:eastAsia="lv-LV"/>
              </w:rPr>
              <w:t xml:space="preserve"> Nr.</w:t>
            </w:r>
            <w:r w:rsidR="00056B91" w:rsidRPr="00894D21">
              <w:rPr>
                <w:rFonts w:ascii="Times New Roman" w:eastAsia="Times New Roman" w:hAnsi="Times New Roman" w:cs="Times New Roman"/>
                <w:sz w:val="24"/>
                <w:szCs w:val="24"/>
                <w:lang w:eastAsia="lv-LV"/>
              </w:rPr>
              <w:t> </w:t>
            </w:r>
            <w:r w:rsidR="00070B88" w:rsidRPr="00894D21">
              <w:rPr>
                <w:rFonts w:ascii="Times New Roman" w:eastAsia="Times New Roman" w:hAnsi="Times New Roman" w:cs="Times New Roman"/>
                <w:sz w:val="24"/>
                <w:szCs w:val="24"/>
                <w:lang w:eastAsia="lv-LV"/>
              </w:rPr>
              <w:t>326</w:t>
            </w:r>
            <w:r w:rsidR="0086087C" w:rsidRPr="00894D21">
              <w:rPr>
                <w:rFonts w:ascii="Times New Roman" w:eastAsia="Times New Roman" w:hAnsi="Times New Roman" w:cs="Times New Roman"/>
                <w:sz w:val="24"/>
                <w:szCs w:val="24"/>
                <w:lang w:eastAsia="lv-LV"/>
              </w:rPr>
              <w:t xml:space="preserve"> </w:t>
            </w:r>
            <w:r w:rsidR="00056B91" w:rsidRPr="00894D21">
              <w:rPr>
                <w:rFonts w:ascii="Times New Roman" w:eastAsia="Times New Roman" w:hAnsi="Times New Roman" w:cs="Times New Roman"/>
                <w:sz w:val="24"/>
                <w:szCs w:val="24"/>
                <w:lang w:eastAsia="lv-LV"/>
              </w:rPr>
              <w:t>"</w:t>
            </w:r>
            <w:r w:rsidR="7466E4E6" w:rsidRPr="00894D21">
              <w:rPr>
                <w:rFonts w:ascii="Times New Roman" w:eastAsia="Times New Roman" w:hAnsi="Times New Roman" w:cs="Times New Roman"/>
                <w:sz w:val="24"/>
                <w:szCs w:val="24"/>
                <w:lang w:eastAsia="lv-LV"/>
              </w:rPr>
              <w:t>Būvju klasifikācijas noteikumi</w:t>
            </w:r>
            <w:r w:rsidR="00056B91" w:rsidRPr="00894D21">
              <w:rPr>
                <w:rFonts w:ascii="Times New Roman" w:eastAsia="Times New Roman" w:hAnsi="Times New Roman" w:cs="Times New Roman"/>
                <w:sz w:val="24"/>
                <w:szCs w:val="24"/>
                <w:lang w:eastAsia="lv-LV"/>
              </w:rPr>
              <w:t>"</w:t>
            </w:r>
            <w:r w:rsidR="0086087C" w:rsidRPr="00894D21">
              <w:rPr>
                <w:rFonts w:ascii="Times New Roman" w:eastAsia="Times New Roman" w:hAnsi="Times New Roman" w:cs="Times New Roman"/>
                <w:sz w:val="24"/>
                <w:szCs w:val="24"/>
                <w:lang w:eastAsia="lv-LV"/>
              </w:rPr>
              <w:t>, norādot šajos noteikumos minēto būves grupu (būves koda pirmās trīs zīmes)</w:t>
            </w:r>
            <w:r w:rsidR="00FC5242" w:rsidRPr="00894D21">
              <w:rPr>
                <w:rFonts w:ascii="Times New Roman" w:eastAsia="Times New Roman" w:hAnsi="Times New Roman" w:cs="Times New Roman"/>
                <w:sz w:val="24"/>
                <w:szCs w:val="24"/>
                <w:lang w:eastAsia="lv-LV"/>
              </w:rPr>
              <w:t xml:space="preserve">. </w:t>
            </w:r>
            <w:r w:rsidR="00FF574F" w:rsidRPr="00894D21">
              <w:rPr>
                <w:rFonts w:ascii="Times New Roman" w:eastAsia="Times New Roman" w:hAnsi="Times New Roman" w:cs="Times New Roman"/>
                <w:sz w:val="24"/>
                <w:szCs w:val="24"/>
                <w:lang w:eastAsia="lv-LV"/>
              </w:rPr>
              <w:t>Plašāka informācija par a</w:t>
            </w:r>
            <w:r w:rsidR="00FC5242" w:rsidRPr="00894D21">
              <w:rPr>
                <w:rFonts w:ascii="Times New Roman" w:eastAsia="Times New Roman" w:hAnsi="Times New Roman" w:cs="Times New Roman"/>
                <w:sz w:val="24"/>
                <w:szCs w:val="24"/>
                <w:lang w:eastAsia="lv-LV"/>
              </w:rPr>
              <w:t xml:space="preserve">biem klasifikatoriem </w:t>
            </w:r>
            <w:r w:rsidR="00FF574F" w:rsidRPr="00894D21">
              <w:rPr>
                <w:rFonts w:ascii="Times New Roman" w:eastAsia="Times New Roman" w:hAnsi="Times New Roman" w:cs="Times New Roman"/>
                <w:sz w:val="24"/>
                <w:szCs w:val="24"/>
                <w:lang w:eastAsia="lv-LV"/>
              </w:rPr>
              <w:t>pieejama</w:t>
            </w:r>
            <w:r w:rsidR="00FC5242" w:rsidRPr="00894D21">
              <w:rPr>
                <w:rFonts w:ascii="Times New Roman" w:eastAsia="Times New Roman" w:hAnsi="Times New Roman" w:cs="Times New Roman"/>
                <w:sz w:val="24"/>
                <w:szCs w:val="24"/>
                <w:lang w:eastAsia="lv-LV"/>
              </w:rPr>
              <w:t xml:space="preserve"> Centrālas </w:t>
            </w:r>
            <w:r w:rsidR="00056B91" w:rsidRPr="00894D21">
              <w:rPr>
                <w:rFonts w:ascii="Times New Roman" w:eastAsia="Times New Roman" w:hAnsi="Times New Roman" w:cs="Times New Roman"/>
                <w:sz w:val="24"/>
                <w:szCs w:val="24"/>
                <w:lang w:eastAsia="lv-LV"/>
              </w:rPr>
              <w:t>s</w:t>
            </w:r>
            <w:r w:rsidR="00FC5242" w:rsidRPr="00894D21">
              <w:rPr>
                <w:rFonts w:ascii="Times New Roman" w:eastAsia="Times New Roman" w:hAnsi="Times New Roman" w:cs="Times New Roman"/>
                <w:sz w:val="24"/>
                <w:szCs w:val="24"/>
                <w:lang w:eastAsia="lv-LV"/>
              </w:rPr>
              <w:t>tatistikas pārvaldes tīmekļvietnē</w:t>
            </w:r>
            <w:r w:rsidR="00056B91" w:rsidRPr="00894D21">
              <w:rPr>
                <w:rStyle w:val="FootnoteReference"/>
                <w:rFonts w:ascii="Times New Roman" w:eastAsia="Times New Roman" w:hAnsi="Times New Roman" w:cs="Times New Roman"/>
                <w:sz w:val="24"/>
                <w:szCs w:val="24"/>
                <w:lang w:eastAsia="lv-LV"/>
              </w:rPr>
              <w:footnoteReference w:customMarkFollows="1" w:id="2"/>
              <w:t>*</w:t>
            </w:r>
            <w:r w:rsidR="004A1DC3" w:rsidRPr="00894D21">
              <w:rPr>
                <w:rFonts w:ascii="Times New Roman" w:eastAsia="Times New Roman" w:hAnsi="Times New Roman" w:cs="Times New Roman"/>
                <w:sz w:val="24"/>
                <w:szCs w:val="24"/>
                <w:lang w:eastAsia="lv-LV"/>
              </w:rPr>
              <w:t>;</w:t>
            </w:r>
          </w:p>
          <w:p w14:paraId="54A1798D" w14:textId="7C18C711" w:rsidR="0061086B" w:rsidRPr="00FA721C" w:rsidRDefault="0061086B" w:rsidP="00894D21">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pārskat</w:t>
            </w:r>
            <w:r w:rsidR="00056B91" w:rsidRPr="00894D21">
              <w:rPr>
                <w:rFonts w:ascii="Times New Roman" w:eastAsia="Times New Roman" w:hAnsi="Times New Roman" w:cs="Times New Roman"/>
                <w:sz w:val="24"/>
                <w:szCs w:val="24"/>
                <w:lang w:eastAsia="lv-LV"/>
              </w:rPr>
              <w:t>s</w:t>
            </w:r>
            <w:r w:rsidRPr="00894D21">
              <w:rPr>
                <w:rFonts w:ascii="Times New Roman" w:eastAsia="Times New Roman" w:hAnsi="Times New Roman" w:cs="Times New Roman"/>
                <w:sz w:val="24"/>
                <w:szCs w:val="24"/>
                <w:lang w:eastAsia="lv-LV"/>
              </w:rPr>
              <w:t xml:space="preserve"> par riska darījumiem ar personām, kas saistītas ar kredītiestādi, turpmāk Latvijas Bankai </w:t>
            </w:r>
            <w:r w:rsidR="00056B91" w:rsidRPr="00894D21">
              <w:rPr>
                <w:rFonts w:ascii="Times New Roman" w:eastAsia="Times New Roman" w:hAnsi="Times New Roman" w:cs="Times New Roman"/>
                <w:sz w:val="24"/>
                <w:szCs w:val="24"/>
                <w:lang w:eastAsia="lv-LV"/>
              </w:rPr>
              <w:t xml:space="preserve">tiks iesniegts </w:t>
            </w:r>
            <w:r w:rsidRPr="00894D21">
              <w:rPr>
                <w:rFonts w:ascii="Times New Roman" w:eastAsia="Times New Roman" w:hAnsi="Times New Roman" w:cs="Times New Roman"/>
                <w:sz w:val="24"/>
                <w:szCs w:val="24"/>
                <w:lang w:eastAsia="lv-LV"/>
              </w:rPr>
              <w:t xml:space="preserve">līdz </w:t>
            </w:r>
            <w:r w:rsidR="00D8650E" w:rsidRPr="00894D21">
              <w:rPr>
                <w:rFonts w:ascii="Times New Roman" w:eastAsia="Times New Roman" w:hAnsi="Times New Roman" w:cs="Times New Roman"/>
                <w:sz w:val="24"/>
                <w:szCs w:val="24"/>
                <w:lang w:eastAsia="lv-LV"/>
              </w:rPr>
              <w:t>kalendārajam</w:t>
            </w:r>
            <w:r w:rsidRPr="00894D21">
              <w:rPr>
                <w:rFonts w:ascii="Times New Roman" w:eastAsia="Times New Roman" w:hAnsi="Times New Roman" w:cs="Times New Roman"/>
                <w:sz w:val="24"/>
                <w:szCs w:val="24"/>
                <w:lang w:eastAsia="lv-LV"/>
              </w:rPr>
              <w:t xml:space="preserve"> ceturksnim sekojošā otrā mēneša 12.</w:t>
            </w:r>
            <w:r w:rsidR="00A35B78"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datumam (pašlaik saskaņā ar </w:t>
            </w:r>
            <w:r w:rsidR="00044039" w:rsidRPr="00894D21">
              <w:rPr>
                <w:rFonts w:ascii="Times New Roman" w:eastAsia="Times New Roman" w:hAnsi="Times New Roman" w:cs="Times New Roman"/>
                <w:sz w:val="24"/>
                <w:szCs w:val="24"/>
                <w:lang w:eastAsia="lv-LV"/>
              </w:rPr>
              <w:t>n</w:t>
            </w:r>
            <w:r w:rsidRPr="00894D21">
              <w:rPr>
                <w:rFonts w:ascii="Times New Roman" w:eastAsia="Times New Roman" w:hAnsi="Times New Roman" w:cs="Times New Roman"/>
                <w:sz w:val="24"/>
                <w:szCs w:val="24"/>
                <w:lang w:eastAsia="lv-LV"/>
              </w:rPr>
              <w:t>oteikumiem Nr.</w:t>
            </w:r>
            <w:r w:rsidR="00044039"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191 minēto pārskatu iesniedz Latvijas Bankai līdz pārskata ceturksnim sekojošā mēneša 15.</w:t>
            </w:r>
            <w:r w:rsidR="002F6857"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datumam). Minētās izmaiņas ieviestas, ņemot vērā </w:t>
            </w:r>
            <w:r w:rsidRPr="00894D21">
              <w:rPr>
                <w:rFonts w:ascii="Times New Roman" w:eastAsia="Times New Roman" w:hAnsi="Times New Roman" w:cs="Times New Roman"/>
                <w:sz w:val="24"/>
                <w:szCs w:val="24"/>
                <w:lang w:eastAsia="lv-LV"/>
              </w:rPr>
              <w:lastRenderedPageBreak/>
              <w:t xml:space="preserve">uzraudzības pārskatu, kuros sniedz </w:t>
            </w:r>
            <w:r w:rsidR="00056B91" w:rsidRPr="00894D21">
              <w:rPr>
                <w:rFonts w:ascii="Times New Roman" w:eastAsia="Times New Roman" w:hAnsi="Times New Roman" w:cs="Times New Roman"/>
                <w:sz w:val="24"/>
                <w:szCs w:val="24"/>
                <w:lang w:eastAsia="lv-LV"/>
              </w:rPr>
              <w:t xml:space="preserve">arī </w:t>
            </w:r>
            <w:r w:rsidRPr="00894D21">
              <w:rPr>
                <w:rFonts w:ascii="Times New Roman" w:eastAsia="Times New Roman" w:hAnsi="Times New Roman" w:cs="Times New Roman"/>
                <w:sz w:val="24"/>
                <w:szCs w:val="24"/>
                <w:lang w:eastAsia="lv-LV"/>
              </w:rPr>
              <w:t xml:space="preserve">informāciju par pirmā līmeņa kapitālu, sniegšanas termiņus saskaņā ar ES </w:t>
            </w:r>
            <w:r w:rsidR="00CF74C0" w:rsidRPr="00894D21">
              <w:rPr>
                <w:rFonts w:ascii="Times New Roman" w:eastAsia="Times New Roman" w:hAnsi="Times New Roman" w:cs="Times New Roman"/>
                <w:sz w:val="24"/>
                <w:szCs w:val="24"/>
                <w:lang w:eastAsia="lv-LV"/>
              </w:rPr>
              <w:t>r</w:t>
            </w:r>
            <w:r w:rsidRPr="00894D21">
              <w:rPr>
                <w:rFonts w:ascii="Times New Roman" w:eastAsia="Times New Roman" w:hAnsi="Times New Roman" w:cs="Times New Roman"/>
                <w:sz w:val="24"/>
                <w:szCs w:val="24"/>
                <w:lang w:eastAsia="lv-LV"/>
              </w:rPr>
              <w:t>egulas Nr.</w:t>
            </w:r>
            <w:r w:rsidR="00044039"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2021/451 prasībām.</w:t>
            </w:r>
            <w:r w:rsidR="003F511D" w:rsidRPr="00894D21">
              <w:rPr>
                <w:rFonts w:ascii="Times New Roman" w:eastAsia="Times New Roman" w:hAnsi="Times New Roman" w:cs="Times New Roman"/>
                <w:sz w:val="24"/>
                <w:szCs w:val="24"/>
                <w:lang w:eastAsia="lv-LV"/>
              </w:rPr>
              <w:t xml:space="preserve"> Papildus noteikumu projekts neparedz </w:t>
            </w:r>
            <w:r w:rsidR="00044039" w:rsidRPr="00894D21">
              <w:rPr>
                <w:rFonts w:ascii="Times New Roman" w:eastAsia="Times New Roman" w:hAnsi="Times New Roman" w:cs="Times New Roman"/>
                <w:sz w:val="24"/>
                <w:szCs w:val="24"/>
                <w:lang w:eastAsia="lv-LV"/>
              </w:rPr>
              <w:t>n</w:t>
            </w:r>
            <w:r w:rsidR="003F511D" w:rsidRPr="00894D21">
              <w:rPr>
                <w:rFonts w:ascii="Times New Roman" w:eastAsia="Times New Roman" w:hAnsi="Times New Roman" w:cs="Times New Roman"/>
                <w:sz w:val="24"/>
                <w:szCs w:val="24"/>
                <w:lang w:eastAsia="lv-LV"/>
              </w:rPr>
              <w:t>oteikumos Nr.</w:t>
            </w:r>
            <w:r w:rsidR="00044039" w:rsidRPr="00894D21">
              <w:rPr>
                <w:rFonts w:ascii="Times New Roman" w:eastAsia="Times New Roman" w:hAnsi="Times New Roman" w:cs="Times New Roman"/>
                <w:sz w:val="24"/>
                <w:szCs w:val="24"/>
                <w:lang w:eastAsia="lv-LV"/>
              </w:rPr>
              <w:t> </w:t>
            </w:r>
            <w:r w:rsidR="003F511D" w:rsidRPr="00894D21">
              <w:rPr>
                <w:rFonts w:ascii="Times New Roman" w:eastAsia="Times New Roman" w:hAnsi="Times New Roman" w:cs="Times New Roman"/>
                <w:sz w:val="24"/>
                <w:szCs w:val="24"/>
                <w:lang w:eastAsia="lv-LV"/>
              </w:rPr>
              <w:t>191 noteiktās prasības</w:t>
            </w:r>
            <w:r w:rsidR="00055599" w:rsidRPr="00894D21">
              <w:rPr>
                <w:rFonts w:ascii="Times New Roman" w:eastAsia="Times New Roman" w:hAnsi="Times New Roman" w:cs="Times New Roman"/>
                <w:sz w:val="24"/>
                <w:szCs w:val="24"/>
                <w:lang w:eastAsia="lv-LV"/>
              </w:rPr>
              <w:t xml:space="preserve"> izstrādāt</w:t>
            </w:r>
            <w:r w:rsidR="00FB3CEA" w:rsidRPr="00894D21">
              <w:rPr>
                <w:rFonts w:ascii="Times New Roman" w:eastAsia="Times New Roman" w:hAnsi="Times New Roman" w:cs="Times New Roman"/>
                <w:sz w:val="24"/>
                <w:szCs w:val="24"/>
                <w:lang w:eastAsia="lv-LV"/>
              </w:rPr>
              <w:t xml:space="preserve">, apstiprināt, ieviest un pārskatīt riska darījumu ar personām, kas saistītas ar kredītiestādi, veikšanas politiku un procedūru, jo </w:t>
            </w:r>
            <w:r w:rsidR="000460F0" w:rsidRPr="00894D21">
              <w:rPr>
                <w:rFonts w:ascii="Times New Roman" w:eastAsia="Times New Roman" w:hAnsi="Times New Roman" w:cs="Times New Roman"/>
                <w:sz w:val="24"/>
                <w:szCs w:val="24"/>
                <w:lang w:eastAsia="lv-LV"/>
              </w:rPr>
              <w:t>minētās prasības izriet no Latvijas Bankas 2023. gada 18. decembra noteikumiem Nr. </w:t>
            </w:r>
            <w:r w:rsidR="003A3DAC" w:rsidRPr="00894D21">
              <w:rPr>
                <w:rFonts w:ascii="Times New Roman" w:eastAsia="Times New Roman" w:hAnsi="Times New Roman" w:cs="Times New Roman"/>
                <w:sz w:val="24"/>
                <w:szCs w:val="24"/>
                <w:lang w:eastAsia="lv-LV"/>
              </w:rPr>
              <w:t xml:space="preserve">265 </w:t>
            </w:r>
            <w:r w:rsidR="008778BB" w:rsidRPr="00894D21">
              <w:rPr>
                <w:rFonts w:ascii="Times New Roman" w:eastAsia="Times New Roman" w:hAnsi="Times New Roman" w:cs="Times New Roman"/>
                <w:sz w:val="24"/>
                <w:szCs w:val="24"/>
                <w:lang w:eastAsia="lv-LV"/>
              </w:rPr>
              <w:t xml:space="preserve">"Kredītriska pārvaldīšanas </w:t>
            </w:r>
            <w:r w:rsidR="008778BB" w:rsidRPr="00FA721C">
              <w:rPr>
                <w:rFonts w:ascii="Times New Roman" w:eastAsia="Times New Roman" w:hAnsi="Times New Roman" w:cs="Times New Roman"/>
                <w:sz w:val="24"/>
                <w:szCs w:val="24"/>
                <w:lang w:eastAsia="lv-LV"/>
              </w:rPr>
              <w:t>noteikumi"</w:t>
            </w:r>
            <w:r w:rsidR="00FA721C" w:rsidRPr="00FA721C">
              <w:rPr>
                <w:rFonts w:ascii="Times New Roman" w:eastAsia="Times New Roman" w:hAnsi="Times New Roman" w:cs="Times New Roman"/>
                <w:sz w:val="24"/>
                <w:szCs w:val="24"/>
                <w:lang w:eastAsia="lv-LV"/>
              </w:rPr>
              <w:t xml:space="preserve">, </w:t>
            </w:r>
            <w:r w:rsidR="00FA721C" w:rsidRPr="00D53AC5">
              <w:rPr>
                <w:rFonts w:ascii="Times New Roman" w:eastAsia="Times New Roman" w:hAnsi="Times New Roman" w:cs="Times New Roman"/>
                <w:sz w:val="24"/>
                <w:szCs w:val="24"/>
                <w:lang w:eastAsia="lv-LV"/>
              </w:rPr>
              <w:t xml:space="preserve">kā arī neparedz prasību ziņot Latvijas Bankai, ja kredītiestāde pārkāpj </w:t>
            </w:r>
            <w:hyperlink r:id="rId15" w:tgtFrame="_blank" w:tooltip="https://likumi.lv/ta/id/37426-kreditiestazu-likums" w:history="1">
              <w:r w:rsidR="00FA721C" w:rsidRPr="00D53AC5">
                <w:rPr>
                  <w:rStyle w:val="Hyperlink"/>
                  <w:rFonts w:ascii="Times New Roman" w:eastAsia="Times New Roman" w:hAnsi="Times New Roman" w:cs="Times New Roman"/>
                  <w:sz w:val="24"/>
                  <w:szCs w:val="24"/>
                  <w:lang w:eastAsia="lv-LV"/>
                </w:rPr>
                <w:t>Kredītiestāžu likuma</w:t>
              </w:r>
            </w:hyperlink>
            <w:r w:rsidR="00FA721C" w:rsidRPr="00D53AC5">
              <w:rPr>
                <w:rFonts w:ascii="Times New Roman" w:eastAsia="Times New Roman" w:hAnsi="Times New Roman" w:cs="Times New Roman"/>
                <w:sz w:val="24"/>
                <w:szCs w:val="24"/>
                <w:lang w:eastAsia="lv-LV"/>
              </w:rPr>
              <w:t xml:space="preserve"> </w:t>
            </w:r>
            <w:hyperlink r:id="rId16" w:anchor="p43" w:tgtFrame="_blank" w:tooltip="https://likumi.lv/ta/id/37426-kreditiestazu-likums#p43" w:history="1">
              <w:r w:rsidR="00FA721C" w:rsidRPr="00D53AC5">
                <w:rPr>
                  <w:rStyle w:val="Hyperlink"/>
                  <w:rFonts w:ascii="Times New Roman" w:eastAsia="Times New Roman" w:hAnsi="Times New Roman" w:cs="Times New Roman"/>
                  <w:sz w:val="24"/>
                  <w:szCs w:val="24"/>
                  <w:lang w:eastAsia="lv-LV"/>
                </w:rPr>
                <w:t>43.</w:t>
              </w:r>
              <w:r w:rsidR="00FA721C">
                <w:rPr>
                  <w:rStyle w:val="Hyperlink"/>
                  <w:rFonts w:ascii="Times New Roman" w:eastAsia="Times New Roman" w:hAnsi="Times New Roman" w:cs="Times New Roman"/>
                  <w:sz w:val="24"/>
                  <w:szCs w:val="24"/>
                  <w:lang w:eastAsia="lv-LV"/>
                </w:rPr>
                <w:t> </w:t>
              </w:r>
              <w:r w:rsidR="00FA721C" w:rsidRPr="00D53AC5">
                <w:rPr>
                  <w:rStyle w:val="Hyperlink"/>
                  <w:rFonts w:ascii="Times New Roman" w:eastAsia="Times New Roman" w:hAnsi="Times New Roman" w:cs="Times New Roman"/>
                  <w:sz w:val="24"/>
                  <w:szCs w:val="24"/>
                  <w:lang w:eastAsia="lv-LV"/>
                </w:rPr>
                <w:t>panta</w:t>
              </w:r>
            </w:hyperlink>
            <w:r w:rsidR="00FA721C" w:rsidRPr="00D53AC5">
              <w:rPr>
                <w:rFonts w:ascii="Times New Roman" w:eastAsia="Times New Roman" w:hAnsi="Times New Roman" w:cs="Times New Roman"/>
                <w:sz w:val="24"/>
                <w:szCs w:val="24"/>
                <w:lang w:eastAsia="lv-LV"/>
              </w:rPr>
              <w:t xml:space="preserve"> pirmajā daļā noteikto ierobežojumu, ņemot vērā, ka šādas ziņošanas prasības izriet no Kredītiestāžu likuma 8.</w:t>
            </w:r>
            <w:r w:rsidR="00FA721C">
              <w:rPr>
                <w:rFonts w:ascii="Times New Roman" w:eastAsia="Times New Roman" w:hAnsi="Times New Roman" w:cs="Times New Roman"/>
                <w:sz w:val="24"/>
                <w:szCs w:val="24"/>
                <w:lang w:eastAsia="lv-LV"/>
              </w:rPr>
              <w:t> </w:t>
            </w:r>
            <w:r w:rsidR="00FA721C" w:rsidRPr="00D53AC5">
              <w:rPr>
                <w:rFonts w:ascii="Times New Roman" w:eastAsia="Times New Roman" w:hAnsi="Times New Roman" w:cs="Times New Roman"/>
                <w:sz w:val="24"/>
                <w:szCs w:val="24"/>
                <w:lang w:eastAsia="lv-LV"/>
              </w:rPr>
              <w:t>panta trešās daļas</w:t>
            </w:r>
            <w:r w:rsidR="00056B91" w:rsidRPr="00FA721C">
              <w:rPr>
                <w:rFonts w:ascii="Times New Roman" w:eastAsia="Times New Roman" w:hAnsi="Times New Roman" w:cs="Times New Roman"/>
                <w:sz w:val="24"/>
                <w:szCs w:val="24"/>
                <w:lang w:eastAsia="lv-LV"/>
              </w:rPr>
              <w:t>;</w:t>
            </w:r>
          </w:p>
          <w:p w14:paraId="1EE854DC" w14:textId="1DB25E80" w:rsidR="00B45014" w:rsidRDefault="005167A1" w:rsidP="00894D21">
            <w:pPr>
              <w:pStyle w:val="ListParagraph"/>
              <w:numPr>
                <w:ilvl w:val="0"/>
                <w:numId w:val="1"/>
              </w:numPr>
              <w:spacing w:after="120" w:line="240" w:lineRule="auto"/>
              <w:ind w:left="924" w:hanging="357"/>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turpmāk </w:t>
            </w:r>
            <w:r w:rsidR="00A47EB1" w:rsidRPr="00894D21">
              <w:rPr>
                <w:rFonts w:ascii="Times New Roman" w:eastAsia="Times New Roman" w:hAnsi="Times New Roman" w:cs="Times New Roman"/>
                <w:sz w:val="24"/>
                <w:szCs w:val="24"/>
                <w:lang w:eastAsia="lv-LV"/>
              </w:rPr>
              <w:t>pārskatu par saņemtajām sūdzībām</w:t>
            </w:r>
            <w:r w:rsidRPr="00894D21">
              <w:rPr>
                <w:rFonts w:ascii="Times New Roman" w:eastAsia="Times New Roman" w:hAnsi="Times New Roman" w:cs="Times New Roman"/>
                <w:sz w:val="24"/>
                <w:szCs w:val="24"/>
                <w:lang w:eastAsia="lv-LV"/>
              </w:rPr>
              <w:t xml:space="preserve"> kredītiestādes un filiāles sniegs reizi gadā </w:t>
            </w:r>
            <w:r w:rsidR="0098127D" w:rsidRPr="00894D21">
              <w:rPr>
                <w:rFonts w:ascii="Times New Roman" w:eastAsia="Times New Roman" w:hAnsi="Times New Roman" w:cs="Times New Roman"/>
                <w:sz w:val="24"/>
                <w:szCs w:val="24"/>
                <w:lang w:eastAsia="lv-LV"/>
              </w:rPr>
              <w:t>par stāvokli 31. decembrī līdz pārskata gadam sekojošā gada 1. februārim</w:t>
            </w:r>
            <w:r w:rsidR="00FA721C">
              <w:rPr>
                <w:rFonts w:ascii="Times New Roman" w:eastAsia="Times New Roman" w:hAnsi="Times New Roman" w:cs="Times New Roman"/>
                <w:sz w:val="24"/>
                <w:szCs w:val="24"/>
                <w:lang w:eastAsia="lv-LV"/>
              </w:rPr>
              <w:t>;</w:t>
            </w:r>
          </w:p>
          <w:p w14:paraId="760710CA" w14:textId="2F97B41D" w:rsidR="00FA721C" w:rsidRPr="00FA721C" w:rsidRDefault="00FA721C" w:rsidP="00D53AC5">
            <w:pPr>
              <w:pStyle w:val="ListParagraph"/>
              <w:numPr>
                <w:ilvl w:val="0"/>
                <w:numId w:val="1"/>
              </w:numPr>
              <w:spacing w:after="120" w:line="240" w:lineRule="auto"/>
              <w:ind w:left="924" w:hanging="357"/>
              <w:jc w:val="both"/>
              <w:rPr>
                <w:rFonts w:ascii="Times New Roman" w:eastAsia="Times New Roman" w:hAnsi="Times New Roman" w:cs="Times New Roman"/>
                <w:sz w:val="24"/>
                <w:szCs w:val="24"/>
                <w:lang w:eastAsia="lv-LV"/>
              </w:rPr>
            </w:pPr>
            <w:r w:rsidRPr="00D53AC5">
              <w:rPr>
                <w:rFonts w:ascii="Times New Roman" w:eastAsia="Times New Roman" w:hAnsi="Times New Roman" w:cs="Times New Roman"/>
                <w:sz w:val="24"/>
                <w:szCs w:val="24"/>
                <w:lang w:eastAsia="lv-LV"/>
              </w:rPr>
              <w:t xml:space="preserve">turpmāk visi noteikumu projektā ietvertie pārskati tiks iesniegti Latvijas Bankā, izmantojot paaugstinātās drošības </w:t>
            </w:r>
            <w:r w:rsidR="00D5091E">
              <w:rPr>
                <w:rFonts w:ascii="Times New Roman" w:eastAsia="Times New Roman" w:hAnsi="Times New Roman" w:cs="Times New Roman"/>
                <w:sz w:val="24"/>
                <w:szCs w:val="24"/>
                <w:lang w:eastAsia="lv-LV"/>
              </w:rPr>
              <w:t>sistēmu</w:t>
            </w:r>
            <w:r>
              <w:rPr>
                <w:rFonts w:ascii="Times New Roman" w:eastAsia="Times New Roman" w:hAnsi="Times New Roman" w:cs="Times New Roman"/>
                <w:sz w:val="24"/>
                <w:szCs w:val="24"/>
                <w:lang w:eastAsia="lv-LV"/>
              </w:rPr>
              <w:t>.</w:t>
            </w:r>
          </w:p>
          <w:p w14:paraId="0D704356" w14:textId="1A117C78"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Pārējās noteikumu projekta normas, kuras atšķiras</w:t>
            </w:r>
            <w:r w:rsidR="00071E26" w:rsidRPr="00894D21">
              <w:rPr>
                <w:rFonts w:ascii="Times New Roman" w:eastAsia="Times New Roman" w:hAnsi="Times New Roman" w:cs="Times New Roman"/>
                <w:sz w:val="24"/>
                <w:szCs w:val="24"/>
                <w:lang w:eastAsia="lv-LV"/>
              </w:rPr>
              <w:t xml:space="preserve"> </w:t>
            </w:r>
            <w:r w:rsidR="00C948CA" w:rsidRPr="00894D21">
              <w:rPr>
                <w:rFonts w:ascii="Times New Roman" w:eastAsia="Times New Roman" w:hAnsi="Times New Roman" w:cs="Times New Roman"/>
                <w:sz w:val="24"/>
                <w:szCs w:val="24"/>
                <w:lang w:eastAsia="lv-LV"/>
              </w:rPr>
              <w:t xml:space="preserve">no </w:t>
            </w:r>
            <w:r w:rsidR="00071E26" w:rsidRPr="00894D21">
              <w:rPr>
                <w:rFonts w:ascii="Times New Roman" w:hAnsi="Times New Roman" w:cs="Times New Roman"/>
                <w:sz w:val="24"/>
                <w:szCs w:val="24"/>
              </w:rPr>
              <w:t xml:space="preserve">pašlaik spēkā esošo Finanšu un kapitāla tirgus komisijas normatīvo noteikumu </w:t>
            </w:r>
            <w:r w:rsidRPr="00894D21">
              <w:rPr>
                <w:rFonts w:ascii="Times New Roman" w:eastAsia="Times New Roman" w:hAnsi="Times New Roman" w:cs="Times New Roman"/>
                <w:sz w:val="24"/>
                <w:szCs w:val="24"/>
                <w:lang w:eastAsia="lv-LV"/>
              </w:rPr>
              <w:t>atbilstošajām normām, paredz tehniska rakstura precizējumus un pamatā ir saistītas ar numerācijas maiņu un ar to saistīto atsauču precizēšanu un terminu aktualizēšanu.</w:t>
            </w:r>
          </w:p>
        </w:tc>
      </w:tr>
      <w:tr w:rsidR="006C3828" w:rsidRPr="00894D21" w14:paraId="1068B2B5" w14:textId="77777777">
        <w:trPr>
          <w:trHeight w:val="567"/>
        </w:trPr>
        <w:tc>
          <w:tcPr>
            <w:tcW w:w="987" w:type="pct"/>
            <w:shd w:val="clear" w:color="auto" w:fill="auto"/>
            <w:hideMark/>
          </w:tcPr>
          <w:p w14:paraId="2C814FF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Leģitīmais mērķis</w:t>
            </w:r>
          </w:p>
          <w:p w14:paraId="77E478DC"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12FD857D" w14:textId="7A469F2F"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F6BFBD" w14:textId="77777777"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320BF953" w14:textId="173D5082" w:rsidR="007D4BE3"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Nosakot finanšu tirgus dalībniekiem prasības un veicot to ievērošanas pārbaudes, Latvijas Banka nodrošina tai Latvijas Bankas likumā noteikto pienākumu</w:t>
            </w:r>
            <w:r w:rsidR="00056B91" w:rsidRPr="00894D21">
              <w:rPr>
                <w:rFonts w:ascii="Times New Roman" w:eastAsia="Times New Roman" w:hAnsi="Times New Roman" w:cs="Times New Roman"/>
                <w:sz w:val="24"/>
                <w:szCs w:val="24"/>
                <w:lang w:eastAsia="lv-LV"/>
              </w:rPr>
              <w:t xml:space="preserve"> – </w:t>
            </w:r>
            <w:r w:rsidRPr="00894D21">
              <w:rPr>
                <w:rFonts w:ascii="Times New Roman" w:eastAsia="Times New Roman" w:hAnsi="Times New Roman" w:cs="Times New Roman"/>
                <w:sz w:val="24"/>
                <w:szCs w:val="24"/>
                <w:lang w:eastAsia="lv-LV"/>
              </w:rPr>
              <w:t>veicināt ieguldītāju un noguldītāju interešu aizsardzību un finanšu tirgus ilgtspējīgu attīstību un stabilitāti</w:t>
            </w:r>
            <w:r w:rsidR="00056B91"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 izpildi. </w:t>
            </w:r>
            <w:r w:rsidR="00056B91" w:rsidRPr="00894D21">
              <w:rPr>
                <w:rFonts w:ascii="Times New Roman" w:eastAsia="Times New Roman" w:hAnsi="Times New Roman" w:cs="Times New Roman"/>
                <w:sz w:val="24"/>
                <w:szCs w:val="24"/>
                <w:lang w:eastAsia="lv-LV"/>
              </w:rPr>
              <w:t xml:space="preserve">Līdz ar to </w:t>
            </w:r>
            <w:r w:rsidR="00A35C14" w:rsidRPr="00894D21">
              <w:rPr>
                <w:rFonts w:ascii="Times New Roman" w:eastAsia="Times New Roman" w:hAnsi="Times New Roman" w:cs="Times New Roman"/>
                <w:sz w:val="24"/>
                <w:szCs w:val="24"/>
                <w:lang w:eastAsia="lv-LV"/>
              </w:rPr>
              <w:t>n</w:t>
            </w:r>
            <w:r w:rsidR="007D4BE3" w:rsidRPr="00894D21">
              <w:rPr>
                <w:rFonts w:ascii="Times New Roman" w:eastAsia="Times New Roman" w:hAnsi="Times New Roman" w:cs="Times New Roman"/>
                <w:sz w:val="24"/>
                <w:szCs w:val="24"/>
                <w:lang w:eastAsia="lv-LV"/>
              </w:rPr>
              <w:t>oteikum</w:t>
            </w:r>
            <w:r w:rsidR="00056B91" w:rsidRPr="00894D21">
              <w:rPr>
                <w:rFonts w:ascii="Times New Roman" w:eastAsia="Times New Roman" w:hAnsi="Times New Roman" w:cs="Times New Roman"/>
                <w:sz w:val="24"/>
                <w:szCs w:val="24"/>
                <w:lang w:eastAsia="lv-LV"/>
              </w:rPr>
              <w:t>u projekts</w:t>
            </w:r>
            <w:r w:rsidR="007D4BE3" w:rsidRPr="00894D21">
              <w:rPr>
                <w:rFonts w:ascii="Times New Roman" w:eastAsia="Times New Roman" w:hAnsi="Times New Roman" w:cs="Times New Roman"/>
                <w:sz w:val="24"/>
                <w:szCs w:val="24"/>
                <w:lang w:eastAsia="lv-LV"/>
              </w:rPr>
              <w:t xml:space="preserve"> ir nepieciešam</w:t>
            </w:r>
            <w:r w:rsidR="00056B91" w:rsidRPr="00894D21">
              <w:rPr>
                <w:rFonts w:ascii="Times New Roman" w:eastAsia="Times New Roman" w:hAnsi="Times New Roman" w:cs="Times New Roman"/>
                <w:sz w:val="24"/>
                <w:szCs w:val="24"/>
                <w:lang w:eastAsia="lv-LV"/>
              </w:rPr>
              <w:t>s</w:t>
            </w:r>
            <w:r w:rsidR="007D4BE3" w:rsidRPr="00894D21">
              <w:rPr>
                <w:rFonts w:ascii="Times New Roman" w:eastAsia="Times New Roman" w:hAnsi="Times New Roman" w:cs="Times New Roman"/>
                <w:sz w:val="24"/>
                <w:szCs w:val="24"/>
                <w:lang w:eastAsia="lv-LV"/>
              </w:rPr>
              <w:t xml:space="preserve">, lai </w:t>
            </w:r>
            <w:r w:rsidR="00746B48" w:rsidRPr="00894D21">
              <w:rPr>
                <w:rFonts w:ascii="Times New Roman" w:eastAsia="Times New Roman" w:hAnsi="Times New Roman" w:cs="Times New Roman"/>
                <w:sz w:val="24"/>
                <w:szCs w:val="24"/>
                <w:lang w:eastAsia="lv-LV"/>
              </w:rPr>
              <w:t xml:space="preserve">Latvijas Banka </w:t>
            </w:r>
            <w:r w:rsidR="001F55A2" w:rsidRPr="00894D21">
              <w:rPr>
                <w:rFonts w:ascii="Times New Roman" w:eastAsia="Times New Roman" w:hAnsi="Times New Roman" w:cs="Times New Roman"/>
                <w:sz w:val="24"/>
                <w:szCs w:val="24"/>
                <w:lang w:eastAsia="lv-LV"/>
              </w:rPr>
              <w:t xml:space="preserve">uzraudzības funkciju veikšanai </w:t>
            </w:r>
            <w:r w:rsidR="007D4BE3" w:rsidRPr="00894D21">
              <w:rPr>
                <w:rFonts w:ascii="Times New Roman" w:eastAsia="Times New Roman" w:hAnsi="Times New Roman" w:cs="Times New Roman"/>
                <w:sz w:val="24"/>
                <w:szCs w:val="24"/>
                <w:lang w:eastAsia="lv-LV"/>
              </w:rPr>
              <w:t xml:space="preserve">varētu iegūt </w:t>
            </w:r>
            <w:r w:rsidR="00DC31A6" w:rsidRPr="00894D21">
              <w:rPr>
                <w:rFonts w:ascii="Times New Roman" w:eastAsia="Times New Roman" w:hAnsi="Times New Roman" w:cs="Times New Roman"/>
                <w:sz w:val="24"/>
                <w:szCs w:val="24"/>
                <w:lang w:eastAsia="lv-LV"/>
              </w:rPr>
              <w:t>regulārus</w:t>
            </w:r>
            <w:r w:rsidR="00545CC7" w:rsidRPr="00894D21">
              <w:rPr>
                <w:rFonts w:ascii="Times New Roman" w:eastAsia="Times New Roman" w:hAnsi="Times New Roman" w:cs="Times New Roman"/>
                <w:sz w:val="24"/>
                <w:szCs w:val="24"/>
                <w:lang w:eastAsia="lv-LV"/>
              </w:rPr>
              <w:t>,</w:t>
            </w:r>
            <w:r w:rsidR="00DC31A6" w:rsidRPr="00894D21">
              <w:rPr>
                <w:rFonts w:ascii="Times New Roman" w:eastAsia="Times New Roman" w:hAnsi="Times New Roman" w:cs="Times New Roman"/>
                <w:sz w:val="24"/>
                <w:szCs w:val="24"/>
                <w:lang w:eastAsia="lv-LV"/>
              </w:rPr>
              <w:t xml:space="preserve"> </w:t>
            </w:r>
            <w:r w:rsidR="00545CC7" w:rsidRPr="00894D21">
              <w:rPr>
                <w:rFonts w:ascii="Times New Roman" w:eastAsia="Times New Roman" w:hAnsi="Times New Roman" w:cs="Times New Roman"/>
                <w:sz w:val="24"/>
                <w:szCs w:val="24"/>
                <w:lang w:eastAsia="lv-LV"/>
              </w:rPr>
              <w:t>vienotā formātā</w:t>
            </w:r>
            <w:r w:rsidR="001F55A2" w:rsidRPr="00894D21">
              <w:rPr>
                <w:rFonts w:ascii="Times New Roman" w:eastAsia="Times New Roman" w:hAnsi="Times New Roman" w:cs="Times New Roman"/>
                <w:sz w:val="24"/>
                <w:szCs w:val="24"/>
                <w:lang w:eastAsia="lv-LV"/>
              </w:rPr>
              <w:t xml:space="preserve"> sniegtus datus, kuriem veiktas </w:t>
            </w:r>
            <w:r w:rsidR="00545CC7" w:rsidRPr="00894D21">
              <w:rPr>
                <w:rFonts w:ascii="Times New Roman" w:eastAsia="Times New Roman" w:hAnsi="Times New Roman" w:cs="Times New Roman"/>
                <w:sz w:val="24"/>
                <w:szCs w:val="24"/>
                <w:lang w:eastAsia="lv-LV"/>
              </w:rPr>
              <w:t>standartizēt</w:t>
            </w:r>
            <w:r w:rsidR="001F55A2" w:rsidRPr="00894D21">
              <w:rPr>
                <w:rFonts w:ascii="Times New Roman" w:eastAsia="Times New Roman" w:hAnsi="Times New Roman" w:cs="Times New Roman"/>
                <w:sz w:val="24"/>
                <w:szCs w:val="24"/>
                <w:lang w:eastAsia="lv-LV"/>
              </w:rPr>
              <w:t>as</w:t>
            </w:r>
            <w:r w:rsidR="00545CC7" w:rsidRPr="00894D21">
              <w:rPr>
                <w:rFonts w:ascii="Times New Roman" w:eastAsia="Times New Roman" w:hAnsi="Times New Roman" w:cs="Times New Roman"/>
                <w:sz w:val="24"/>
                <w:szCs w:val="24"/>
                <w:lang w:eastAsia="lv-LV"/>
              </w:rPr>
              <w:t xml:space="preserve"> datu kvalitātes pārbaud</w:t>
            </w:r>
            <w:r w:rsidR="001F55A2" w:rsidRPr="00894D21">
              <w:rPr>
                <w:rFonts w:ascii="Times New Roman" w:eastAsia="Times New Roman" w:hAnsi="Times New Roman" w:cs="Times New Roman"/>
                <w:sz w:val="24"/>
                <w:szCs w:val="24"/>
                <w:lang w:eastAsia="lv-LV"/>
              </w:rPr>
              <w:t>es,</w:t>
            </w:r>
            <w:r w:rsidR="00545CC7" w:rsidRPr="00894D21">
              <w:rPr>
                <w:rFonts w:ascii="Times New Roman" w:eastAsia="Times New Roman" w:hAnsi="Times New Roman" w:cs="Times New Roman"/>
                <w:sz w:val="24"/>
                <w:szCs w:val="24"/>
                <w:lang w:eastAsia="lv-LV"/>
              </w:rPr>
              <w:t xml:space="preserve"> </w:t>
            </w:r>
            <w:r w:rsidR="007D4BE3" w:rsidRPr="00894D21">
              <w:rPr>
                <w:rFonts w:ascii="Times New Roman" w:eastAsia="Times New Roman" w:hAnsi="Times New Roman" w:cs="Times New Roman"/>
                <w:sz w:val="24"/>
                <w:szCs w:val="24"/>
                <w:lang w:eastAsia="lv-LV"/>
              </w:rPr>
              <w:t>par</w:t>
            </w:r>
            <w:r w:rsidR="004D0490" w:rsidRPr="00894D21">
              <w:rPr>
                <w:rFonts w:ascii="Times New Roman" w:eastAsia="Times New Roman" w:hAnsi="Times New Roman" w:cs="Times New Roman"/>
                <w:sz w:val="24"/>
                <w:szCs w:val="24"/>
                <w:lang w:eastAsia="lv-LV"/>
              </w:rPr>
              <w:t xml:space="preserve"> noteikumu projektā minētajām jomām.</w:t>
            </w:r>
          </w:p>
        </w:tc>
      </w:tr>
      <w:tr w:rsidR="006C3828" w:rsidRPr="00894D21" w14:paraId="1C6D72DB" w14:textId="77777777">
        <w:trPr>
          <w:trHeight w:val="567"/>
        </w:trPr>
        <w:tc>
          <w:tcPr>
            <w:tcW w:w="987" w:type="pct"/>
            <w:shd w:val="clear" w:color="auto" w:fill="auto"/>
            <w:hideMark/>
          </w:tcPr>
          <w:p w14:paraId="1B9C7D28"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Samērīgums</w:t>
            </w:r>
          </w:p>
          <w:p w14:paraId="5D7A323C"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423AAEAB" w14:textId="0C2B13E8" w:rsidR="007F2988" w:rsidRPr="00894D21" w:rsidRDefault="007F298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Noteikumi tiek izdoti, lai Latvijas Banka varētu iegūt uzraudzības funkciju veikšanai nepieciešamo informāciju, proti, varētu:</w:t>
            </w:r>
          </w:p>
          <w:p w14:paraId="69159E77" w14:textId="69375C7B" w:rsidR="002D7927" w:rsidRPr="00894D21" w:rsidRDefault="00C40452" w:rsidP="00D53AC5">
            <w:pPr>
              <w:pStyle w:val="ListParagraph"/>
              <w:numPr>
                <w:ilvl w:val="0"/>
                <w:numId w:val="3"/>
              </w:num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lastRenderedPageBreak/>
              <w:t xml:space="preserve">regulāri </w:t>
            </w:r>
            <w:r w:rsidR="00954C36" w:rsidRPr="00894D21">
              <w:rPr>
                <w:rFonts w:ascii="Times New Roman" w:eastAsia="Times New Roman" w:hAnsi="Times New Roman" w:cs="Times New Roman"/>
                <w:sz w:val="24"/>
                <w:szCs w:val="24"/>
                <w:lang w:eastAsia="lv-LV"/>
              </w:rPr>
              <w:t xml:space="preserve">iegūt uzraudzības finanšu pārskatos ietverto informāciju no </w:t>
            </w:r>
            <w:r w:rsidR="004F02A7" w:rsidRPr="00894D21">
              <w:rPr>
                <w:rFonts w:ascii="Times New Roman" w:eastAsia="Times New Roman" w:hAnsi="Times New Roman" w:cs="Times New Roman"/>
                <w:sz w:val="24"/>
                <w:szCs w:val="24"/>
                <w:lang w:eastAsia="lv-LV"/>
              </w:rPr>
              <w:t>mazāk nozīmīg</w:t>
            </w:r>
            <w:r w:rsidR="00056B91" w:rsidRPr="00894D21">
              <w:rPr>
                <w:rFonts w:ascii="Times New Roman" w:eastAsia="Times New Roman" w:hAnsi="Times New Roman" w:cs="Times New Roman"/>
                <w:sz w:val="24"/>
                <w:szCs w:val="24"/>
                <w:lang w:eastAsia="lv-LV"/>
              </w:rPr>
              <w:t>aj</w:t>
            </w:r>
            <w:r w:rsidR="004F02A7" w:rsidRPr="00894D21">
              <w:rPr>
                <w:rFonts w:ascii="Times New Roman" w:eastAsia="Times New Roman" w:hAnsi="Times New Roman" w:cs="Times New Roman"/>
                <w:sz w:val="24"/>
                <w:szCs w:val="24"/>
                <w:lang w:eastAsia="lv-LV"/>
              </w:rPr>
              <w:t>ām uzraudzīt</w:t>
            </w:r>
            <w:r w:rsidR="00056B91" w:rsidRPr="00894D21">
              <w:rPr>
                <w:rFonts w:ascii="Times New Roman" w:eastAsia="Times New Roman" w:hAnsi="Times New Roman" w:cs="Times New Roman"/>
                <w:sz w:val="24"/>
                <w:szCs w:val="24"/>
                <w:lang w:eastAsia="lv-LV"/>
              </w:rPr>
              <w:t>aj</w:t>
            </w:r>
            <w:r w:rsidR="004F02A7" w:rsidRPr="00894D21">
              <w:rPr>
                <w:rFonts w:ascii="Times New Roman" w:eastAsia="Times New Roman" w:hAnsi="Times New Roman" w:cs="Times New Roman"/>
                <w:sz w:val="24"/>
                <w:szCs w:val="24"/>
                <w:lang w:eastAsia="lv-LV"/>
              </w:rPr>
              <w:t>ām kredītiestādēm un filiālēm individuāl</w:t>
            </w:r>
            <w:r w:rsidR="00C100BE" w:rsidRPr="00894D21">
              <w:rPr>
                <w:rFonts w:ascii="Times New Roman" w:eastAsia="Times New Roman" w:hAnsi="Times New Roman" w:cs="Times New Roman"/>
                <w:sz w:val="24"/>
                <w:szCs w:val="24"/>
                <w:lang w:eastAsia="lv-LV"/>
              </w:rPr>
              <w:t>i</w:t>
            </w:r>
            <w:r w:rsidR="00F3170C" w:rsidRPr="00894D21">
              <w:rPr>
                <w:rFonts w:ascii="Times New Roman" w:eastAsia="Times New Roman" w:hAnsi="Times New Roman" w:cs="Times New Roman"/>
                <w:sz w:val="24"/>
                <w:szCs w:val="24"/>
                <w:lang w:eastAsia="lv-LV"/>
              </w:rPr>
              <w:t xml:space="preserve">, </w:t>
            </w:r>
            <w:r w:rsidR="005E1DBA" w:rsidRPr="00894D21">
              <w:rPr>
                <w:rFonts w:ascii="Times New Roman" w:eastAsia="Times New Roman" w:hAnsi="Times New Roman" w:cs="Times New Roman"/>
                <w:sz w:val="24"/>
                <w:szCs w:val="24"/>
                <w:lang w:eastAsia="lv-LV"/>
              </w:rPr>
              <w:t>kas nepieciešama agrīnā brīdinājuma rādītāju sistēmai un vairāku statistisko pārskatu sagatavošanai un rādītāju aprēķināšanai, kā arī regulējošo prasību ietekmes izvērtēšanai</w:t>
            </w:r>
            <w:r w:rsidR="002D7927" w:rsidRPr="00894D21">
              <w:rPr>
                <w:rFonts w:ascii="Times New Roman" w:eastAsia="Times New Roman" w:hAnsi="Times New Roman" w:cs="Times New Roman"/>
                <w:sz w:val="24"/>
                <w:szCs w:val="24"/>
                <w:lang w:eastAsia="lv-LV"/>
              </w:rPr>
              <w:t>;</w:t>
            </w:r>
          </w:p>
          <w:p w14:paraId="31838B72" w14:textId="52CEE76B" w:rsidR="008433D4" w:rsidRPr="00894D21" w:rsidRDefault="00AB55C6" w:rsidP="00D53AC5">
            <w:pPr>
              <w:pStyle w:val="ListParagraph"/>
              <w:numPr>
                <w:ilvl w:val="0"/>
                <w:numId w:val="3"/>
              </w:num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regulāri </w:t>
            </w:r>
            <w:r w:rsidR="0082342F" w:rsidRPr="00894D21">
              <w:rPr>
                <w:rFonts w:ascii="Times New Roman" w:eastAsia="Times New Roman" w:hAnsi="Times New Roman" w:cs="Times New Roman"/>
                <w:sz w:val="24"/>
                <w:szCs w:val="24"/>
                <w:lang w:eastAsia="lv-LV"/>
              </w:rPr>
              <w:t xml:space="preserve">iegūt </w:t>
            </w:r>
            <w:r w:rsidR="009D799F" w:rsidRPr="00894D21">
              <w:rPr>
                <w:rFonts w:ascii="Times New Roman" w:eastAsia="Times New Roman" w:hAnsi="Times New Roman" w:cs="Times New Roman"/>
                <w:sz w:val="24"/>
                <w:szCs w:val="24"/>
                <w:lang w:eastAsia="lv-LV"/>
              </w:rPr>
              <w:t xml:space="preserve">informāciju </w:t>
            </w:r>
            <w:r w:rsidR="009A27C5" w:rsidRPr="00894D21">
              <w:rPr>
                <w:rFonts w:ascii="Times New Roman" w:eastAsia="Times New Roman" w:hAnsi="Times New Roman" w:cs="Times New Roman"/>
                <w:sz w:val="24"/>
                <w:szCs w:val="24"/>
                <w:lang w:eastAsia="lv-LV"/>
              </w:rPr>
              <w:t xml:space="preserve">par </w:t>
            </w:r>
            <w:r w:rsidR="009D799F" w:rsidRPr="00894D21">
              <w:rPr>
                <w:rFonts w:ascii="Times New Roman" w:eastAsia="Times New Roman" w:hAnsi="Times New Roman" w:cs="Times New Roman"/>
                <w:sz w:val="24"/>
                <w:szCs w:val="24"/>
                <w:lang w:eastAsia="lv-LV"/>
              </w:rPr>
              <w:t>operacionālā riska zaudējumiem</w:t>
            </w:r>
            <w:r w:rsidR="00D85DDE" w:rsidRPr="00894D21">
              <w:rPr>
                <w:rFonts w:ascii="Times New Roman" w:eastAsia="Times New Roman" w:hAnsi="Times New Roman" w:cs="Times New Roman"/>
                <w:sz w:val="24"/>
                <w:szCs w:val="24"/>
                <w:lang w:eastAsia="lv-LV"/>
              </w:rPr>
              <w:t xml:space="preserve">, lai </w:t>
            </w:r>
            <w:r w:rsidR="003C3E41" w:rsidRPr="00894D21">
              <w:rPr>
                <w:rFonts w:ascii="Times New Roman" w:eastAsia="Times New Roman" w:hAnsi="Times New Roman" w:cs="Times New Roman"/>
                <w:sz w:val="24"/>
                <w:szCs w:val="24"/>
                <w:lang w:eastAsia="lv-LV"/>
              </w:rPr>
              <w:t xml:space="preserve">nodrošinātu </w:t>
            </w:r>
            <w:r w:rsidR="00B00C35" w:rsidRPr="00894D21">
              <w:rPr>
                <w:rFonts w:ascii="Times New Roman" w:eastAsia="Times New Roman" w:hAnsi="Times New Roman" w:cs="Times New Roman"/>
                <w:sz w:val="24"/>
                <w:szCs w:val="24"/>
                <w:lang w:eastAsia="lv-LV"/>
              </w:rPr>
              <w:t>Latvijas Bankai</w:t>
            </w:r>
            <w:r w:rsidR="003C3E41" w:rsidRPr="00894D21">
              <w:rPr>
                <w:rFonts w:ascii="Times New Roman" w:eastAsia="Times New Roman" w:hAnsi="Times New Roman" w:cs="Times New Roman"/>
                <w:sz w:val="24"/>
                <w:szCs w:val="24"/>
                <w:lang w:eastAsia="lv-LV"/>
              </w:rPr>
              <w:t xml:space="preserve"> tās uzraudzības funkciju veikšanai nepieciešamo informāciju par kredītiestādes pakļautību operacionālajam riskam</w:t>
            </w:r>
            <w:r w:rsidR="009D799F" w:rsidRPr="00894D21">
              <w:rPr>
                <w:rFonts w:ascii="Times New Roman" w:eastAsia="Times New Roman" w:hAnsi="Times New Roman" w:cs="Times New Roman"/>
                <w:sz w:val="24"/>
                <w:szCs w:val="24"/>
                <w:lang w:eastAsia="lv-LV"/>
              </w:rPr>
              <w:t xml:space="preserve"> individuāli vai konsolidācijas grupas </w:t>
            </w:r>
            <w:r w:rsidR="00A64349" w:rsidRPr="00894D21">
              <w:rPr>
                <w:rFonts w:ascii="Times New Roman" w:eastAsia="Times New Roman" w:hAnsi="Times New Roman" w:cs="Times New Roman"/>
                <w:sz w:val="24"/>
                <w:szCs w:val="24"/>
                <w:lang w:eastAsia="lv-LV"/>
              </w:rPr>
              <w:t xml:space="preserve">līmenī </w:t>
            </w:r>
            <w:r w:rsidR="009D799F" w:rsidRPr="00894D21">
              <w:rPr>
                <w:rFonts w:ascii="Times New Roman" w:eastAsia="Times New Roman" w:hAnsi="Times New Roman" w:cs="Times New Roman"/>
                <w:sz w:val="24"/>
                <w:szCs w:val="24"/>
                <w:lang w:eastAsia="lv-LV"/>
              </w:rPr>
              <w:t xml:space="preserve">vai </w:t>
            </w:r>
            <w:r w:rsidR="00A64349" w:rsidRPr="00894D21">
              <w:rPr>
                <w:rFonts w:ascii="Times New Roman" w:eastAsia="Times New Roman" w:hAnsi="Times New Roman" w:cs="Times New Roman"/>
                <w:sz w:val="24"/>
                <w:szCs w:val="24"/>
                <w:lang w:eastAsia="lv-LV"/>
              </w:rPr>
              <w:t>subkonsolidēti</w:t>
            </w:r>
            <w:r w:rsidR="00B00C35" w:rsidRPr="00894D21">
              <w:rPr>
                <w:rFonts w:ascii="Times New Roman" w:eastAsia="Times New Roman" w:hAnsi="Times New Roman" w:cs="Times New Roman"/>
                <w:sz w:val="24"/>
                <w:szCs w:val="24"/>
                <w:lang w:eastAsia="lv-LV"/>
              </w:rPr>
              <w:t>;</w:t>
            </w:r>
          </w:p>
          <w:p w14:paraId="315BC12D" w14:textId="14F2F4DA" w:rsidR="007C7D57" w:rsidRPr="00894D21" w:rsidRDefault="007C7D57" w:rsidP="00D53AC5">
            <w:pPr>
              <w:pStyle w:val="ListParagraph"/>
              <w:numPr>
                <w:ilvl w:val="0"/>
                <w:numId w:val="3"/>
              </w:num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rPr>
              <w:t>regulāri iegūt informāciju</w:t>
            </w:r>
            <w:r w:rsidR="00A04E33" w:rsidRPr="00894D21">
              <w:rPr>
                <w:rFonts w:ascii="Times New Roman" w:eastAsia="Times New Roman" w:hAnsi="Times New Roman" w:cs="Times New Roman"/>
                <w:sz w:val="24"/>
                <w:szCs w:val="24"/>
              </w:rPr>
              <w:t xml:space="preserve"> par kredītiestāžu finansēšanas plāniem</w:t>
            </w:r>
            <w:r w:rsidRPr="00894D21">
              <w:rPr>
                <w:rFonts w:ascii="Times New Roman" w:eastAsia="Times New Roman" w:hAnsi="Times New Roman" w:cs="Times New Roman"/>
                <w:sz w:val="24"/>
                <w:szCs w:val="24"/>
              </w:rPr>
              <w:t>, kas nepieciešama uzraudzības veikšanai un kredītiestāžu finansēšanas plānu iespējamības un dzīvotspējas (t.</w:t>
            </w:r>
            <w:r w:rsidR="00056B91" w:rsidRPr="00894D21">
              <w:rPr>
                <w:rFonts w:ascii="Times New Roman" w:eastAsia="Times New Roman" w:hAnsi="Times New Roman" w:cs="Times New Roman"/>
                <w:sz w:val="24"/>
                <w:szCs w:val="24"/>
              </w:rPr>
              <w:t> </w:t>
            </w:r>
            <w:r w:rsidRPr="00894D21">
              <w:rPr>
                <w:rFonts w:ascii="Times New Roman" w:eastAsia="Times New Roman" w:hAnsi="Times New Roman" w:cs="Times New Roman"/>
                <w:sz w:val="24"/>
                <w:szCs w:val="24"/>
              </w:rPr>
              <w:t>sk. ietekmes uz kredītu piedāvājumu reālajai ekonomikai) izvērtēšanai</w:t>
            </w:r>
            <w:r w:rsidR="00133DD1" w:rsidRPr="00894D21">
              <w:rPr>
                <w:rFonts w:ascii="Times New Roman" w:eastAsia="Times New Roman" w:hAnsi="Times New Roman" w:cs="Times New Roman"/>
                <w:sz w:val="24"/>
                <w:szCs w:val="24"/>
              </w:rPr>
              <w:t>;</w:t>
            </w:r>
          </w:p>
          <w:p w14:paraId="604BB4C1" w14:textId="287BDA44" w:rsidR="007F2988" w:rsidRPr="00894D21" w:rsidRDefault="002D7927" w:rsidP="00D53AC5">
            <w:pPr>
              <w:pStyle w:val="ListParagraph"/>
              <w:numPr>
                <w:ilvl w:val="0"/>
                <w:numId w:val="3"/>
              </w:num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se</w:t>
            </w:r>
            <w:r w:rsidR="007F2988" w:rsidRPr="00894D21">
              <w:rPr>
                <w:rFonts w:ascii="Times New Roman" w:eastAsia="Times New Roman" w:hAnsi="Times New Roman" w:cs="Times New Roman"/>
                <w:sz w:val="24"/>
                <w:szCs w:val="24"/>
                <w:lang w:eastAsia="lv-LV"/>
              </w:rPr>
              <w:t xml:space="preserve">kot noguldījumu svārstībām gan kredītiestādes līmenī, gan </w:t>
            </w:r>
            <w:r w:rsidR="00863C7B" w:rsidRPr="00894D21">
              <w:rPr>
                <w:rFonts w:ascii="Times New Roman" w:eastAsia="Times New Roman" w:hAnsi="Times New Roman" w:cs="Times New Roman"/>
                <w:sz w:val="24"/>
                <w:szCs w:val="24"/>
                <w:lang w:eastAsia="lv-LV"/>
              </w:rPr>
              <w:t xml:space="preserve">kredītiestāžu </w:t>
            </w:r>
            <w:r w:rsidR="007F2988" w:rsidRPr="00894D21">
              <w:rPr>
                <w:rFonts w:ascii="Times New Roman" w:eastAsia="Times New Roman" w:hAnsi="Times New Roman" w:cs="Times New Roman"/>
                <w:sz w:val="24"/>
                <w:szCs w:val="24"/>
                <w:lang w:eastAsia="lv-LV"/>
              </w:rPr>
              <w:t>sektorā</w:t>
            </w:r>
            <w:r w:rsidR="00C81530" w:rsidRPr="00D53AC5">
              <w:rPr>
                <w:rFonts w:ascii="Times New Roman" w:hAnsi="Times New Roman" w:cs="Times New Roman"/>
              </w:rPr>
              <w:t xml:space="preserve"> </w:t>
            </w:r>
            <w:r w:rsidR="00C81530" w:rsidRPr="00894D21">
              <w:rPr>
                <w:rFonts w:ascii="Times New Roman" w:eastAsia="Times New Roman" w:hAnsi="Times New Roman" w:cs="Times New Roman"/>
                <w:sz w:val="24"/>
                <w:szCs w:val="24"/>
                <w:lang w:eastAsia="lv-LV"/>
              </w:rPr>
              <w:t>kopumā</w:t>
            </w:r>
            <w:r w:rsidR="007F2988" w:rsidRPr="00894D21">
              <w:rPr>
                <w:rFonts w:ascii="Times New Roman" w:eastAsia="Times New Roman" w:hAnsi="Times New Roman" w:cs="Times New Roman"/>
                <w:sz w:val="24"/>
                <w:szCs w:val="24"/>
                <w:lang w:eastAsia="lv-LV"/>
              </w:rPr>
              <w:t>, lai nodrošinātu operatīvas informācijas iegūšanu par kredītiestādes galveno resursu bāzi, kuras svārstības var būtiski ietekmēt kredītiestādes likviditāti, un lai kā uzraudzības iestāde spētu veikt operatīvas darbības kredītiestādes uzraudzības procesa ietvaros;</w:t>
            </w:r>
          </w:p>
          <w:p w14:paraId="50106C7D" w14:textId="4EEE4484" w:rsidR="006B4F70" w:rsidRPr="00894D21" w:rsidRDefault="007F2988" w:rsidP="00D53AC5">
            <w:pPr>
              <w:pStyle w:val="ListParagraph"/>
              <w:numPr>
                <w:ilvl w:val="0"/>
                <w:numId w:val="3"/>
              </w:num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pārraudzīt noguldījumu apmēru, koncentrāciju un procentu likmes noguldījumiem, kas piesaistīti noguldījumu platformās, tādējādi nodrošinot </w:t>
            </w:r>
            <w:r w:rsidR="00A37114" w:rsidRPr="00894D21">
              <w:rPr>
                <w:rFonts w:ascii="Times New Roman" w:eastAsia="Times New Roman" w:hAnsi="Times New Roman" w:cs="Times New Roman"/>
                <w:sz w:val="24"/>
                <w:szCs w:val="24"/>
                <w:lang w:eastAsia="lv-LV"/>
              </w:rPr>
              <w:t xml:space="preserve">Latvijas Bankai </w:t>
            </w:r>
            <w:r w:rsidRPr="00894D21">
              <w:rPr>
                <w:rFonts w:ascii="Times New Roman" w:eastAsia="Times New Roman" w:hAnsi="Times New Roman" w:cs="Times New Roman"/>
                <w:sz w:val="24"/>
                <w:szCs w:val="24"/>
                <w:lang w:eastAsia="lv-LV"/>
              </w:rPr>
              <w:t xml:space="preserve">regulāru informāciju par </w:t>
            </w:r>
            <w:r w:rsidR="00F16F23" w:rsidRPr="00894D21">
              <w:rPr>
                <w:rFonts w:ascii="Times New Roman" w:eastAsia="Times New Roman" w:hAnsi="Times New Roman" w:cs="Times New Roman"/>
                <w:sz w:val="24"/>
                <w:szCs w:val="24"/>
                <w:lang w:eastAsia="lv-LV"/>
              </w:rPr>
              <w:t xml:space="preserve">atsevišķām </w:t>
            </w:r>
            <w:r w:rsidRPr="00894D21">
              <w:rPr>
                <w:rFonts w:ascii="Times New Roman" w:eastAsia="Times New Roman" w:hAnsi="Times New Roman" w:cs="Times New Roman"/>
                <w:sz w:val="24"/>
                <w:szCs w:val="24"/>
                <w:lang w:eastAsia="lv-LV"/>
              </w:rPr>
              <w:t xml:space="preserve">kredītiestādēm nozīmīgu resursu avotu un dodot iespēju veikt </w:t>
            </w:r>
            <w:r w:rsidR="00056B91" w:rsidRPr="00894D21">
              <w:rPr>
                <w:rFonts w:ascii="Times New Roman" w:eastAsia="Times New Roman" w:hAnsi="Times New Roman" w:cs="Times New Roman"/>
                <w:sz w:val="24"/>
                <w:szCs w:val="24"/>
                <w:lang w:eastAsia="lv-LV"/>
              </w:rPr>
              <w:t>sav</w:t>
            </w:r>
            <w:r w:rsidRPr="00894D21">
              <w:rPr>
                <w:rFonts w:ascii="Times New Roman" w:eastAsia="Times New Roman" w:hAnsi="Times New Roman" w:cs="Times New Roman"/>
                <w:sz w:val="24"/>
                <w:szCs w:val="24"/>
                <w:lang w:eastAsia="lv-LV"/>
              </w:rPr>
              <w:t xml:space="preserve">laicīgus pasākumus </w:t>
            </w:r>
            <w:r w:rsidR="00193502" w:rsidRPr="00894D21">
              <w:rPr>
                <w:rFonts w:ascii="Times New Roman" w:eastAsia="Times New Roman" w:hAnsi="Times New Roman" w:cs="Times New Roman"/>
                <w:sz w:val="24"/>
                <w:szCs w:val="24"/>
                <w:lang w:eastAsia="lv-LV"/>
              </w:rPr>
              <w:t xml:space="preserve">kredītiestādes </w:t>
            </w:r>
            <w:r w:rsidRPr="00894D21">
              <w:rPr>
                <w:rFonts w:ascii="Times New Roman" w:eastAsia="Times New Roman" w:hAnsi="Times New Roman" w:cs="Times New Roman"/>
                <w:sz w:val="24"/>
                <w:szCs w:val="24"/>
                <w:lang w:eastAsia="lv-LV"/>
              </w:rPr>
              <w:t>uzraudzības procesa ietvaros;</w:t>
            </w:r>
          </w:p>
          <w:p w14:paraId="2872D8A5" w14:textId="119834B0" w:rsidR="006B4F70" w:rsidRPr="00894D21" w:rsidRDefault="007F2988" w:rsidP="00D53AC5">
            <w:pPr>
              <w:pStyle w:val="ListParagraph"/>
              <w:numPr>
                <w:ilvl w:val="0"/>
                <w:numId w:val="3"/>
              </w:num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pārliecināties par kredītiestādes bilancē atspoguļotajiem naudas līdzekļiem, kas atbilstoši Kredītiestāžu likuma 172.</w:t>
            </w:r>
            <w:r w:rsidR="00895104"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panta pirmās daļas prasībām nav jāiekļauj kredītiestādes mantas sarakstā maksātnespējas procesa laikā</w:t>
            </w:r>
            <w:r w:rsidR="008B702A" w:rsidRPr="00894D21">
              <w:rPr>
                <w:rFonts w:ascii="Times New Roman" w:eastAsia="Times New Roman" w:hAnsi="Times New Roman" w:cs="Times New Roman"/>
                <w:sz w:val="24"/>
                <w:szCs w:val="24"/>
                <w:lang w:eastAsia="lv-LV"/>
              </w:rPr>
              <w:t>,</w:t>
            </w:r>
            <w:r w:rsidR="00B36448" w:rsidRPr="00894D21">
              <w:rPr>
                <w:rFonts w:ascii="Times New Roman" w:eastAsia="Times New Roman" w:hAnsi="Times New Roman" w:cs="Times New Roman"/>
                <w:sz w:val="24"/>
                <w:szCs w:val="24"/>
                <w:lang w:eastAsia="lv-LV"/>
              </w:rPr>
              <w:t xml:space="preserve"> </w:t>
            </w:r>
            <w:r w:rsidRPr="00894D21">
              <w:rPr>
                <w:rFonts w:ascii="Times New Roman" w:eastAsia="Times New Roman" w:hAnsi="Times New Roman" w:cs="Times New Roman"/>
                <w:sz w:val="24"/>
                <w:szCs w:val="24"/>
                <w:lang w:eastAsia="lv-LV"/>
              </w:rPr>
              <w:t xml:space="preserve">nodrošinot </w:t>
            </w:r>
            <w:r w:rsidR="00286B90" w:rsidRPr="00894D21">
              <w:rPr>
                <w:rFonts w:ascii="Times New Roman" w:eastAsia="Times New Roman" w:hAnsi="Times New Roman" w:cs="Times New Roman"/>
                <w:sz w:val="24"/>
                <w:szCs w:val="24"/>
                <w:lang w:eastAsia="lv-LV"/>
              </w:rPr>
              <w:t>Latvijas Bankai</w:t>
            </w:r>
            <w:r w:rsidRPr="00894D21">
              <w:rPr>
                <w:rFonts w:ascii="Times New Roman" w:eastAsia="Times New Roman" w:hAnsi="Times New Roman" w:cs="Times New Roman"/>
                <w:sz w:val="24"/>
                <w:szCs w:val="24"/>
                <w:lang w:eastAsia="lv-LV"/>
              </w:rPr>
              <w:t xml:space="preserve"> reizi ceturksnī pieejamu informāciju, kas nepieciešama </w:t>
            </w:r>
            <w:r w:rsidR="00FA13FA" w:rsidRPr="00894D21">
              <w:rPr>
                <w:rFonts w:ascii="Times New Roman" w:eastAsia="Times New Roman" w:hAnsi="Times New Roman" w:cs="Times New Roman"/>
                <w:sz w:val="24"/>
                <w:szCs w:val="24"/>
                <w:lang w:eastAsia="lv-LV"/>
              </w:rPr>
              <w:t>kredīt</w:t>
            </w:r>
            <w:r w:rsidRPr="00894D21">
              <w:rPr>
                <w:rFonts w:ascii="Times New Roman" w:eastAsia="Times New Roman" w:hAnsi="Times New Roman" w:cs="Times New Roman"/>
                <w:sz w:val="24"/>
                <w:szCs w:val="24"/>
                <w:lang w:eastAsia="lv-LV"/>
              </w:rPr>
              <w:t>iestādes</w:t>
            </w:r>
            <w:r w:rsidR="00C52588" w:rsidRPr="00894D21">
              <w:rPr>
                <w:rFonts w:ascii="Times New Roman" w:eastAsia="Times New Roman" w:hAnsi="Times New Roman" w:cs="Times New Roman"/>
                <w:sz w:val="24"/>
                <w:szCs w:val="24"/>
                <w:lang w:eastAsia="lv-LV"/>
              </w:rPr>
              <w:t xml:space="preserve"> </w:t>
            </w:r>
            <w:r w:rsidRPr="00894D21">
              <w:rPr>
                <w:rFonts w:ascii="Times New Roman" w:eastAsia="Times New Roman" w:hAnsi="Times New Roman" w:cs="Times New Roman"/>
                <w:sz w:val="24"/>
                <w:szCs w:val="24"/>
                <w:lang w:eastAsia="lv-LV"/>
              </w:rPr>
              <w:t>noregulējamības izvērtējuma veikšanai;</w:t>
            </w:r>
          </w:p>
          <w:p w14:paraId="63E0C826" w14:textId="7E6F9223" w:rsidR="007F2988" w:rsidRPr="00894D21" w:rsidRDefault="007F2988" w:rsidP="00D53AC5">
            <w:pPr>
              <w:pStyle w:val="ListParagraph"/>
              <w:numPr>
                <w:ilvl w:val="0"/>
                <w:numId w:val="3"/>
              </w:num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pārraudzīt arestēto naudas līdzekļu apmēru kredītiestādes bilancē un izsekot arestēto naudas līdzekļu pēkšņai liela apmēra konfiskācijai (ņemot vērā, ka kredītiestādei parasti nav informācijas par attiecīgā pirmstiesas procesa vai iztiesāšanas gaitu), kas var apdraudēt tās stabilitāti vai maksātspēju</w:t>
            </w:r>
            <w:r w:rsidR="00C32E5B" w:rsidRPr="00894D21">
              <w:rPr>
                <w:rFonts w:ascii="Times New Roman" w:eastAsia="Times New Roman" w:hAnsi="Times New Roman" w:cs="Times New Roman"/>
                <w:sz w:val="24"/>
                <w:szCs w:val="24"/>
                <w:lang w:eastAsia="lv-LV"/>
              </w:rPr>
              <w:t>;</w:t>
            </w:r>
          </w:p>
          <w:p w14:paraId="055D88B8" w14:textId="4238C7A5" w:rsidR="00C32E5B" w:rsidRPr="00894D21" w:rsidRDefault="00EA74A4" w:rsidP="00D53AC5">
            <w:pPr>
              <w:pStyle w:val="ListParagraph"/>
              <w:numPr>
                <w:ilvl w:val="0"/>
                <w:numId w:val="3"/>
              </w:num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novērtēt </w:t>
            </w:r>
            <w:r w:rsidR="00E5088A" w:rsidRPr="00894D21">
              <w:rPr>
                <w:rFonts w:ascii="Times New Roman" w:eastAsia="Times New Roman" w:hAnsi="Times New Roman" w:cs="Times New Roman"/>
                <w:sz w:val="24"/>
                <w:szCs w:val="24"/>
                <w:lang w:eastAsia="lv-LV"/>
              </w:rPr>
              <w:t>risku</w:t>
            </w:r>
            <w:r w:rsidR="00023D0D" w:rsidRPr="00894D21">
              <w:rPr>
                <w:rFonts w:ascii="Times New Roman" w:eastAsia="Times New Roman" w:hAnsi="Times New Roman" w:cs="Times New Roman"/>
                <w:sz w:val="24"/>
                <w:szCs w:val="24"/>
                <w:lang w:eastAsia="lv-LV"/>
              </w:rPr>
              <w:t>s</w:t>
            </w:r>
            <w:r w:rsidR="00E5088A" w:rsidRPr="00894D21">
              <w:rPr>
                <w:rFonts w:ascii="Times New Roman" w:eastAsia="Times New Roman" w:hAnsi="Times New Roman" w:cs="Times New Roman"/>
                <w:sz w:val="24"/>
                <w:szCs w:val="24"/>
                <w:lang w:eastAsia="lv-LV"/>
              </w:rPr>
              <w:t>, kas saistīt</w:t>
            </w:r>
            <w:r w:rsidR="00541ECF" w:rsidRPr="00894D21">
              <w:rPr>
                <w:rFonts w:ascii="Times New Roman" w:eastAsia="Times New Roman" w:hAnsi="Times New Roman" w:cs="Times New Roman"/>
                <w:sz w:val="24"/>
                <w:szCs w:val="24"/>
                <w:lang w:eastAsia="lv-LV"/>
              </w:rPr>
              <w:t>i</w:t>
            </w:r>
            <w:r w:rsidR="00E5088A" w:rsidRPr="00894D21">
              <w:rPr>
                <w:rFonts w:ascii="Times New Roman" w:eastAsia="Times New Roman" w:hAnsi="Times New Roman" w:cs="Times New Roman"/>
                <w:sz w:val="24"/>
                <w:szCs w:val="24"/>
                <w:lang w:eastAsia="lv-LV"/>
              </w:rPr>
              <w:t xml:space="preserve"> ar pārņemto nekustamo īpašumu novērtēšanu </w:t>
            </w:r>
            <w:r w:rsidR="00C41B5C" w:rsidRPr="00894D21">
              <w:rPr>
                <w:rFonts w:ascii="Times New Roman" w:eastAsia="Times New Roman" w:hAnsi="Times New Roman" w:cs="Times New Roman"/>
                <w:sz w:val="24"/>
                <w:szCs w:val="24"/>
                <w:lang w:eastAsia="lv-LV"/>
              </w:rPr>
              <w:t>kredīt</w:t>
            </w:r>
            <w:r w:rsidR="00E5088A" w:rsidRPr="00894D21">
              <w:rPr>
                <w:rFonts w:ascii="Times New Roman" w:eastAsia="Times New Roman" w:hAnsi="Times New Roman" w:cs="Times New Roman"/>
                <w:sz w:val="24"/>
                <w:szCs w:val="24"/>
                <w:lang w:eastAsia="lv-LV"/>
              </w:rPr>
              <w:t>iestādēs, kurās ir</w:t>
            </w:r>
            <w:r w:rsidR="00C41B5C" w:rsidRPr="00894D21">
              <w:rPr>
                <w:rFonts w:ascii="Times New Roman" w:eastAsia="Times New Roman" w:hAnsi="Times New Roman" w:cs="Times New Roman"/>
                <w:sz w:val="24"/>
                <w:szCs w:val="24"/>
                <w:lang w:eastAsia="lv-LV"/>
              </w:rPr>
              <w:t xml:space="preserve"> paaugstināts ienākumus nenesošu aktīvu īpatsvars</w:t>
            </w:r>
            <w:r w:rsidR="00C32E5B" w:rsidRPr="00894D21">
              <w:rPr>
                <w:rFonts w:ascii="Times New Roman" w:eastAsia="Times New Roman" w:hAnsi="Times New Roman" w:cs="Times New Roman"/>
                <w:sz w:val="24"/>
                <w:szCs w:val="24"/>
                <w:lang w:eastAsia="lv-LV"/>
              </w:rPr>
              <w:t>;</w:t>
            </w:r>
          </w:p>
          <w:p w14:paraId="24CA0DD2" w14:textId="77777777" w:rsidR="00EC3D3A" w:rsidRPr="00894D21" w:rsidRDefault="00C32E5B" w:rsidP="00D53AC5">
            <w:pPr>
              <w:pStyle w:val="ListParagraph"/>
              <w:numPr>
                <w:ilvl w:val="0"/>
                <w:numId w:val="3"/>
              </w:num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regulāri iegūt informāciju par </w:t>
            </w:r>
            <w:r w:rsidR="007F4D10" w:rsidRPr="00894D21">
              <w:rPr>
                <w:rFonts w:ascii="Times New Roman" w:eastAsia="Times New Roman" w:hAnsi="Times New Roman" w:cs="Times New Roman"/>
                <w:sz w:val="24"/>
                <w:szCs w:val="24"/>
                <w:lang w:eastAsia="lv-LV"/>
              </w:rPr>
              <w:t xml:space="preserve">kredītiestādes riska darījumu ar personām, kas saistītas ar </w:t>
            </w:r>
            <w:r w:rsidR="000D4CBC" w:rsidRPr="00894D21">
              <w:rPr>
                <w:rFonts w:ascii="Times New Roman" w:eastAsia="Times New Roman" w:hAnsi="Times New Roman" w:cs="Times New Roman"/>
                <w:sz w:val="24"/>
                <w:szCs w:val="24"/>
                <w:lang w:eastAsia="lv-LV"/>
              </w:rPr>
              <w:t>kredītiestādi</w:t>
            </w:r>
            <w:r w:rsidR="007F4D10" w:rsidRPr="00894D21">
              <w:rPr>
                <w:rFonts w:ascii="Times New Roman" w:eastAsia="Times New Roman" w:hAnsi="Times New Roman" w:cs="Times New Roman"/>
                <w:sz w:val="24"/>
                <w:szCs w:val="24"/>
                <w:lang w:eastAsia="lv-LV"/>
              </w:rPr>
              <w:t>,</w:t>
            </w:r>
            <w:r w:rsidR="000D4CBC" w:rsidRPr="00894D21">
              <w:rPr>
                <w:rFonts w:ascii="Times New Roman" w:eastAsia="Times New Roman" w:hAnsi="Times New Roman" w:cs="Times New Roman"/>
                <w:sz w:val="24"/>
                <w:szCs w:val="24"/>
                <w:lang w:eastAsia="lv-LV"/>
              </w:rPr>
              <w:t xml:space="preserve"> apmēru</w:t>
            </w:r>
            <w:r w:rsidRPr="00894D21">
              <w:rPr>
                <w:rFonts w:ascii="Times New Roman" w:eastAsia="Times New Roman" w:hAnsi="Times New Roman" w:cs="Times New Roman"/>
                <w:sz w:val="24"/>
                <w:szCs w:val="24"/>
                <w:lang w:eastAsia="lv-LV"/>
              </w:rPr>
              <w:t xml:space="preserve">, lai nodrošinātu Latvijas Bankai tās uzraudzības funkciju veikšanai nepieciešamo informāciju par </w:t>
            </w:r>
            <w:r w:rsidR="00406646" w:rsidRPr="00894D21">
              <w:rPr>
                <w:rFonts w:ascii="Times New Roman" w:eastAsia="Times New Roman" w:hAnsi="Times New Roman" w:cs="Times New Roman"/>
                <w:sz w:val="24"/>
                <w:szCs w:val="24"/>
                <w:lang w:eastAsia="lv-LV"/>
              </w:rPr>
              <w:t>Kredītiestāžu likuma 43. panta pirmajā daļā noteiktā ierobežojuma izpildi</w:t>
            </w:r>
            <w:r w:rsidR="00EC3D3A" w:rsidRPr="00894D21">
              <w:rPr>
                <w:rFonts w:ascii="Times New Roman" w:eastAsia="Times New Roman" w:hAnsi="Times New Roman" w:cs="Times New Roman"/>
                <w:sz w:val="24"/>
                <w:szCs w:val="24"/>
                <w:lang w:eastAsia="lv-LV"/>
              </w:rPr>
              <w:t>;</w:t>
            </w:r>
          </w:p>
          <w:p w14:paraId="7BB3B802" w14:textId="347FEE1E" w:rsidR="008433D4" w:rsidRPr="00894D21" w:rsidRDefault="00EC3D3A" w:rsidP="00D53AC5">
            <w:pPr>
              <w:pStyle w:val="ListParagraph"/>
              <w:numPr>
                <w:ilvl w:val="0"/>
                <w:numId w:val="3"/>
              </w:num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novērtēt riskus, kas saistīti ar </w:t>
            </w:r>
            <w:r w:rsidR="005F67CC" w:rsidRPr="00894D21">
              <w:rPr>
                <w:rFonts w:ascii="Times New Roman" w:eastAsia="Times New Roman" w:hAnsi="Times New Roman" w:cs="Times New Roman"/>
                <w:sz w:val="24"/>
                <w:szCs w:val="24"/>
                <w:lang w:eastAsia="lv-LV"/>
              </w:rPr>
              <w:t xml:space="preserve">klientu apkalpošanas kvalitāti, ņemot vērā </w:t>
            </w:r>
            <w:r w:rsidR="00CC47B6" w:rsidRPr="00894D21">
              <w:rPr>
                <w:rFonts w:ascii="Times New Roman" w:eastAsia="Times New Roman" w:hAnsi="Times New Roman" w:cs="Times New Roman"/>
                <w:sz w:val="24"/>
                <w:szCs w:val="24"/>
                <w:lang w:eastAsia="lv-LV"/>
              </w:rPr>
              <w:t>kredītiestādē un filiālē saņemto sūdzību skaitu</w:t>
            </w:r>
            <w:r w:rsidR="00FE52CC" w:rsidRPr="00894D21">
              <w:rPr>
                <w:rFonts w:ascii="Times New Roman" w:eastAsia="Times New Roman" w:hAnsi="Times New Roman" w:cs="Times New Roman"/>
                <w:sz w:val="24"/>
                <w:szCs w:val="24"/>
                <w:lang w:eastAsia="lv-LV"/>
              </w:rPr>
              <w:t>.</w:t>
            </w:r>
          </w:p>
          <w:p w14:paraId="527F4BBD" w14:textId="196BEEB7" w:rsidR="007F2988" w:rsidRPr="00894D21" w:rsidRDefault="007F298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w:t>
            </w:r>
            <w:r w:rsidR="5BCFDC2B" w:rsidRPr="00894D21">
              <w:rPr>
                <w:rFonts w:ascii="Times New Roman" w:eastAsia="Times New Roman" w:hAnsi="Times New Roman" w:cs="Times New Roman"/>
                <w:sz w:val="24"/>
                <w:szCs w:val="24"/>
                <w:lang w:eastAsia="lv-LV"/>
              </w:rPr>
              <w:t>projekta</w:t>
            </w:r>
            <w:r w:rsidRPr="00894D21">
              <w:rPr>
                <w:rFonts w:ascii="Times New Roman" w:eastAsia="Times New Roman" w:hAnsi="Times New Roman" w:cs="Times New Roman"/>
                <w:sz w:val="24"/>
                <w:szCs w:val="24"/>
                <w:lang w:eastAsia="lv-LV"/>
              </w:rPr>
              <w:t xml:space="preserve"> tvērumā ietilpstošie pārskati</w:t>
            </w:r>
            <w:r w:rsidR="00517E8B" w:rsidRPr="00894D21">
              <w:rPr>
                <w:rFonts w:ascii="Times New Roman" w:eastAsia="Times New Roman" w:hAnsi="Times New Roman" w:cs="Times New Roman"/>
                <w:sz w:val="24"/>
                <w:szCs w:val="24"/>
                <w:lang w:eastAsia="lv-LV"/>
              </w:rPr>
              <w:t xml:space="preserve"> vai tajos iekļautā informācija</w:t>
            </w:r>
            <w:r w:rsidRPr="00894D21">
              <w:rPr>
                <w:rFonts w:ascii="Times New Roman" w:eastAsia="Times New Roman" w:hAnsi="Times New Roman" w:cs="Times New Roman"/>
                <w:sz w:val="24"/>
                <w:szCs w:val="24"/>
                <w:lang w:eastAsia="lv-LV"/>
              </w:rPr>
              <w:t xml:space="preserve"> jau šobrīd tiek regulāri saņemt</w:t>
            </w:r>
            <w:r w:rsidR="00C05B30">
              <w:rPr>
                <w:rFonts w:ascii="Times New Roman" w:eastAsia="Times New Roman" w:hAnsi="Times New Roman" w:cs="Times New Roman"/>
                <w:sz w:val="24"/>
                <w:szCs w:val="24"/>
                <w:lang w:eastAsia="lv-LV"/>
              </w:rPr>
              <w:t>a</w:t>
            </w:r>
            <w:r w:rsidRPr="00894D21">
              <w:rPr>
                <w:rFonts w:ascii="Times New Roman" w:eastAsia="Times New Roman" w:hAnsi="Times New Roman" w:cs="Times New Roman"/>
                <w:sz w:val="24"/>
                <w:szCs w:val="24"/>
                <w:lang w:eastAsia="lv-LV"/>
              </w:rPr>
              <w:t xml:space="preserve"> no kredītiestādēm </w:t>
            </w:r>
            <w:r w:rsidR="476A39FD" w:rsidRPr="00894D21">
              <w:rPr>
                <w:rFonts w:ascii="Times New Roman" w:eastAsia="Times New Roman" w:hAnsi="Times New Roman" w:cs="Times New Roman"/>
                <w:sz w:val="24"/>
                <w:szCs w:val="24"/>
                <w:lang w:eastAsia="lv-LV"/>
              </w:rPr>
              <w:t>vai</w:t>
            </w:r>
            <w:r w:rsidR="006B4F70" w:rsidRPr="00894D21">
              <w:rPr>
                <w:rFonts w:ascii="Times New Roman" w:eastAsia="Times New Roman" w:hAnsi="Times New Roman" w:cs="Times New Roman"/>
                <w:sz w:val="24"/>
                <w:szCs w:val="24"/>
                <w:lang w:eastAsia="lv-LV"/>
              </w:rPr>
              <w:t xml:space="preserve"> </w:t>
            </w:r>
            <w:r w:rsidRPr="00894D21">
              <w:rPr>
                <w:rFonts w:ascii="Times New Roman" w:eastAsia="Times New Roman" w:hAnsi="Times New Roman" w:cs="Times New Roman"/>
                <w:sz w:val="24"/>
                <w:szCs w:val="24"/>
                <w:lang w:eastAsia="lv-LV"/>
              </w:rPr>
              <w:t>filiālēm, līdz ar to dati</w:t>
            </w:r>
            <w:r w:rsidR="00341646" w:rsidRPr="00894D21">
              <w:rPr>
                <w:rFonts w:ascii="Times New Roman" w:eastAsia="Times New Roman" w:hAnsi="Times New Roman" w:cs="Times New Roman"/>
                <w:sz w:val="24"/>
                <w:szCs w:val="24"/>
                <w:lang w:eastAsia="lv-LV"/>
              </w:rPr>
              <w:t xml:space="preserve"> </w:t>
            </w:r>
            <w:r w:rsidRPr="00894D21">
              <w:rPr>
                <w:rFonts w:ascii="Times New Roman" w:eastAsia="Times New Roman" w:hAnsi="Times New Roman" w:cs="Times New Roman"/>
                <w:sz w:val="24"/>
                <w:szCs w:val="24"/>
                <w:lang w:eastAsia="lv-LV"/>
              </w:rPr>
              <w:t xml:space="preserve">pārskatu sagatavošanai jau šobrīd ir pieejami un </w:t>
            </w:r>
            <w:r w:rsidR="00341646" w:rsidRPr="00894D21">
              <w:rPr>
                <w:rFonts w:ascii="Times New Roman" w:eastAsia="Times New Roman" w:hAnsi="Times New Roman" w:cs="Times New Roman"/>
                <w:sz w:val="24"/>
                <w:szCs w:val="24"/>
                <w:lang w:eastAsia="lv-LV"/>
              </w:rPr>
              <w:lastRenderedPageBreak/>
              <w:t>noteikumu projekts</w:t>
            </w:r>
            <w:r w:rsidRPr="00894D21">
              <w:rPr>
                <w:rFonts w:ascii="Times New Roman" w:eastAsia="Times New Roman" w:hAnsi="Times New Roman" w:cs="Times New Roman"/>
                <w:sz w:val="24"/>
                <w:szCs w:val="24"/>
                <w:lang w:eastAsia="lv-LV"/>
              </w:rPr>
              <w:t xml:space="preserve"> neprasa kredītiestādēm un filiālēm ieviest jaunus procesus</w:t>
            </w:r>
            <w:r w:rsidR="00C420E2" w:rsidRPr="00894D21">
              <w:rPr>
                <w:rFonts w:ascii="Times New Roman" w:eastAsia="Times New Roman" w:hAnsi="Times New Roman" w:cs="Times New Roman"/>
                <w:sz w:val="24"/>
                <w:szCs w:val="24"/>
                <w:lang w:eastAsia="lv-LV"/>
              </w:rPr>
              <w:t xml:space="preserve"> datu </w:t>
            </w:r>
            <w:r w:rsidR="00894D21" w:rsidRPr="00894D21">
              <w:rPr>
                <w:rFonts w:ascii="Times New Roman" w:eastAsia="Times New Roman" w:hAnsi="Times New Roman" w:cs="Times New Roman"/>
                <w:sz w:val="24"/>
                <w:szCs w:val="24"/>
                <w:lang w:eastAsia="lv-LV"/>
              </w:rPr>
              <w:t xml:space="preserve">vākšanai un </w:t>
            </w:r>
            <w:r w:rsidR="00C420E2" w:rsidRPr="00894D21">
              <w:rPr>
                <w:rFonts w:ascii="Times New Roman" w:eastAsia="Times New Roman" w:hAnsi="Times New Roman" w:cs="Times New Roman"/>
                <w:sz w:val="24"/>
                <w:szCs w:val="24"/>
                <w:lang w:eastAsia="lv-LV"/>
              </w:rPr>
              <w:t>uzkrāšanai</w:t>
            </w:r>
            <w:r w:rsidRPr="00894D21">
              <w:rPr>
                <w:rFonts w:ascii="Times New Roman" w:eastAsia="Times New Roman" w:hAnsi="Times New Roman" w:cs="Times New Roman"/>
                <w:sz w:val="24"/>
                <w:szCs w:val="24"/>
                <w:lang w:eastAsia="lv-LV"/>
              </w:rPr>
              <w:t xml:space="preserve">. </w:t>
            </w:r>
          </w:p>
          <w:p w14:paraId="1A66758D" w14:textId="3A3FE267"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Līdz ar to atbilstošākais veids, kā noteikt finanšu tirgus dalībniekiem vienotas prasības </w:t>
            </w:r>
            <w:r w:rsidR="004F3EC2" w:rsidRPr="00894D21">
              <w:rPr>
                <w:rFonts w:ascii="Times New Roman" w:eastAsia="Times New Roman" w:hAnsi="Times New Roman" w:cs="Times New Roman"/>
                <w:sz w:val="24"/>
                <w:szCs w:val="24"/>
                <w:lang w:eastAsia="lv-LV"/>
              </w:rPr>
              <w:t>uzraudzības pārskatu sagatavošanai</w:t>
            </w:r>
            <w:r w:rsidR="00483980" w:rsidRPr="00894D21">
              <w:rPr>
                <w:rFonts w:ascii="Times New Roman" w:eastAsia="Times New Roman" w:hAnsi="Times New Roman" w:cs="Times New Roman"/>
                <w:sz w:val="24"/>
                <w:szCs w:val="24"/>
                <w:lang w:eastAsia="lv-LV"/>
              </w:rPr>
              <w:t xml:space="preserve"> un iesniegšanai</w:t>
            </w:r>
            <w:r w:rsidRPr="00894D21">
              <w:rPr>
                <w:rFonts w:ascii="Times New Roman" w:eastAsia="Times New Roman" w:hAnsi="Times New Roman" w:cs="Times New Roman"/>
                <w:sz w:val="24"/>
                <w:szCs w:val="24"/>
                <w:lang w:eastAsia="lv-LV"/>
              </w:rPr>
              <w:t>, ir izdot tiem saistošus noteikumus. Citas alternatīvas jautājuma noregulēšanai un vienotu prasību noteikšanai nebūtu efektīvas un nesasniegtu izvirzīto mērķi, jo nenodrošinātu vienveidīgu piemērošanu.</w:t>
            </w:r>
          </w:p>
          <w:p w14:paraId="67B8717F" w14:textId="77777777"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Izraugoties piemērotāko līdzekli leģitīmā mērķa sasniegšanai, Latvijas Banka izvērtēja, ka nebūtu atbilstoši izdot, piemēram, zemāka ranga normatīvos aktus, kuri nebūtu tirgus dalībniekam juridiski saistoši. Turklāt noteikumu projekta izstrādi pilnvarojošās normas skaidri norāda uz noteikumu izstrādi. Vienlaikus ar noteikumu projektu tiek noteiktas prasības, kuras Latvijas Banka uzraudzības ietvaros var konkrēti kontrolēt un nepieciešamības gadījumā par konkrētu prasību pārkāpumu piemērot finanšu tirgus dalībniekam korektīvos pasākumus vai sankcijas.</w:t>
            </w:r>
          </w:p>
          <w:p w14:paraId="29E6F5B9" w14:textId="6C150A66" w:rsidR="00C071E2"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Respektīvi, normatīvais akts kopumā un tajā ietvertās tiesību normas atbilst samērīguma principam, jo, pirmkārt, ar noteikumu projekta ieviešanu tiek sasniegts leģitīmais mērķis (citu personu tiesību un sabiedrības labklājības aizsardzība) un, otrkārt, nav iespējams pēc būtības īstenot citu personu tiesību un sabiedrības labklājības aizsardzību ar citiem līdzekļiem, kā arī nepastāv tādi alternatīvi līdzekļi, kas sasniegtu leģitīmo mērķi tādā pašā kvalitātē.</w:t>
            </w:r>
            <w:r w:rsidR="671264DD" w:rsidRPr="00894D21">
              <w:rPr>
                <w:rFonts w:ascii="Times New Roman" w:eastAsia="Times New Roman" w:hAnsi="Times New Roman" w:cs="Times New Roman"/>
                <w:sz w:val="24"/>
                <w:szCs w:val="24"/>
                <w:lang w:eastAsia="lv-LV"/>
              </w:rPr>
              <w:t xml:space="preserve"> Ņemot vērā iepriekš minētos apstākļus, sabiedrības ieguvums būs lielāks par papildu slogu un resursu ieguldījumu (ņemot vērā jau esošās prasības), kas konkrētajam finanšu tirgus dalībniekam varētu rasties ar uzliktajiem pienākumiem, un tos atsver sagaidāmie ilgtermiņa ieguvumi stabilāka finanšu sektora veidā.</w:t>
            </w:r>
          </w:p>
        </w:tc>
      </w:tr>
      <w:tr w:rsidR="006C3828" w:rsidRPr="00894D21" w14:paraId="1B86501B" w14:textId="77777777" w:rsidTr="00D53AC5">
        <w:trPr>
          <w:trHeight w:val="952"/>
        </w:trPr>
        <w:tc>
          <w:tcPr>
            <w:tcW w:w="987" w:type="pct"/>
            <w:shd w:val="clear" w:color="auto" w:fill="auto"/>
            <w:hideMark/>
          </w:tcPr>
          <w:p w14:paraId="2DDBFB53"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bookmarkStart w:id="0" w:name="_Hlk129966404"/>
            <w:r w:rsidRPr="00894D21">
              <w:rPr>
                <w:rFonts w:ascii="Times New Roman" w:eastAsia="Times New Roman" w:hAnsi="Times New Roman" w:cs="Times New Roman"/>
                <w:b/>
                <w:bCs/>
                <w:sz w:val="24"/>
                <w:szCs w:val="24"/>
                <w:lang w:eastAsia="lv-LV"/>
              </w:rPr>
              <w:lastRenderedPageBreak/>
              <w:t>Spēkā stāšanās</w:t>
            </w:r>
          </w:p>
          <w:bookmarkEnd w:id="0"/>
          <w:p w14:paraId="6B4568BB"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60CFB602" w14:textId="20075D60"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projekts stāsies spēkā 2024.</w:t>
            </w:r>
            <w:r w:rsidR="00F110A0"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gada </w:t>
            </w:r>
            <w:r w:rsidR="001E5AFF" w:rsidRPr="00894D21">
              <w:rPr>
                <w:rFonts w:ascii="Times New Roman" w:eastAsia="Times New Roman" w:hAnsi="Times New Roman" w:cs="Times New Roman"/>
                <w:sz w:val="24"/>
                <w:szCs w:val="24"/>
                <w:lang w:eastAsia="lv-LV"/>
              </w:rPr>
              <w:t>31</w:t>
            </w:r>
            <w:r w:rsidRPr="00894D21">
              <w:rPr>
                <w:rFonts w:ascii="Times New Roman" w:eastAsia="Times New Roman" w:hAnsi="Times New Roman" w:cs="Times New Roman"/>
                <w:sz w:val="24"/>
                <w:szCs w:val="24"/>
                <w:lang w:eastAsia="lv-LV"/>
              </w:rPr>
              <w:t>.</w:t>
            </w:r>
            <w:r w:rsidR="00F110A0" w:rsidRPr="00894D21">
              <w:rPr>
                <w:rFonts w:ascii="Times New Roman" w:eastAsia="Times New Roman" w:hAnsi="Times New Roman" w:cs="Times New Roman"/>
                <w:sz w:val="24"/>
                <w:szCs w:val="24"/>
                <w:lang w:eastAsia="lv-LV"/>
              </w:rPr>
              <w:t> </w:t>
            </w:r>
            <w:r w:rsidR="001E5AFF" w:rsidRPr="00894D21">
              <w:rPr>
                <w:rFonts w:ascii="Times New Roman" w:eastAsia="Times New Roman" w:hAnsi="Times New Roman" w:cs="Times New Roman"/>
                <w:sz w:val="24"/>
                <w:szCs w:val="24"/>
                <w:lang w:eastAsia="lv-LV"/>
              </w:rPr>
              <w:t>martā</w:t>
            </w:r>
            <w:r w:rsidR="00AD79E6" w:rsidRPr="00894D21">
              <w:rPr>
                <w:rFonts w:ascii="Times New Roman" w:eastAsia="Times New Roman" w:hAnsi="Times New Roman" w:cs="Times New Roman"/>
                <w:sz w:val="24"/>
                <w:szCs w:val="24"/>
                <w:lang w:eastAsia="lv-LV"/>
              </w:rPr>
              <w:t>. N</w:t>
            </w:r>
            <w:r w:rsidR="004457B0" w:rsidRPr="00894D21">
              <w:rPr>
                <w:rFonts w:ascii="Times New Roman" w:eastAsia="Times New Roman" w:hAnsi="Times New Roman" w:cs="Times New Roman"/>
                <w:sz w:val="24"/>
                <w:szCs w:val="24"/>
                <w:lang w:eastAsia="lv-LV"/>
              </w:rPr>
              <w:t xml:space="preserve">oteikumu projekta </w:t>
            </w:r>
            <w:r w:rsidR="00E12A7D" w:rsidRPr="00894D21">
              <w:rPr>
                <w:rFonts w:ascii="Times New Roman" w:eastAsia="Times New Roman" w:hAnsi="Times New Roman" w:cs="Times New Roman"/>
                <w:sz w:val="24"/>
                <w:szCs w:val="24"/>
                <w:lang w:eastAsia="lv-LV"/>
              </w:rPr>
              <w:t>VI un VII</w:t>
            </w:r>
            <w:r w:rsidR="00894D21" w:rsidRPr="00894D21">
              <w:rPr>
                <w:rFonts w:ascii="Times New Roman" w:eastAsia="Times New Roman" w:hAnsi="Times New Roman" w:cs="Times New Roman"/>
                <w:sz w:val="24"/>
                <w:szCs w:val="24"/>
                <w:lang w:eastAsia="lv-LV"/>
              </w:rPr>
              <w:t> </w:t>
            </w:r>
            <w:r w:rsidR="004457B0" w:rsidRPr="00894D21">
              <w:rPr>
                <w:rFonts w:ascii="Times New Roman" w:eastAsia="Times New Roman" w:hAnsi="Times New Roman" w:cs="Times New Roman"/>
                <w:sz w:val="24"/>
                <w:szCs w:val="24"/>
                <w:lang w:eastAsia="lv-LV"/>
              </w:rPr>
              <w:t>nodaļ</w:t>
            </w:r>
            <w:r w:rsidR="00894D21" w:rsidRPr="00894D21">
              <w:rPr>
                <w:rFonts w:ascii="Times New Roman" w:eastAsia="Times New Roman" w:hAnsi="Times New Roman" w:cs="Times New Roman"/>
                <w:sz w:val="24"/>
                <w:szCs w:val="24"/>
                <w:lang w:eastAsia="lv-LV"/>
              </w:rPr>
              <w:t>a</w:t>
            </w:r>
            <w:r w:rsidR="00FE15AB" w:rsidRPr="00894D21">
              <w:rPr>
                <w:rFonts w:ascii="Times New Roman" w:eastAsia="Times New Roman" w:hAnsi="Times New Roman" w:cs="Times New Roman"/>
                <w:sz w:val="24"/>
                <w:szCs w:val="24"/>
                <w:lang w:eastAsia="lv-LV"/>
              </w:rPr>
              <w:t xml:space="preserve"> piemēro</w:t>
            </w:r>
            <w:r w:rsidR="00894D21" w:rsidRPr="00894D21">
              <w:rPr>
                <w:rFonts w:ascii="Times New Roman" w:eastAsia="Times New Roman" w:hAnsi="Times New Roman" w:cs="Times New Roman"/>
                <w:sz w:val="24"/>
                <w:szCs w:val="24"/>
                <w:lang w:eastAsia="lv-LV"/>
              </w:rPr>
              <w:t>jama</w:t>
            </w:r>
            <w:r w:rsidR="00FE15AB" w:rsidRPr="00894D21">
              <w:rPr>
                <w:rFonts w:ascii="Times New Roman" w:eastAsia="Times New Roman" w:hAnsi="Times New Roman" w:cs="Times New Roman"/>
                <w:sz w:val="24"/>
                <w:szCs w:val="24"/>
                <w:lang w:eastAsia="lv-LV"/>
              </w:rPr>
              <w:t xml:space="preserve"> no</w:t>
            </w:r>
            <w:r w:rsidR="004457B0" w:rsidRPr="00894D21">
              <w:rPr>
                <w:rFonts w:ascii="Times New Roman" w:eastAsia="Times New Roman" w:hAnsi="Times New Roman" w:cs="Times New Roman"/>
                <w:sz w:val="24"/>
                <w:szCs w:val="24"/>
                <w:lang w:eastAsia="lv-LV"/>
              </w:rPr>
              <w:t xml:space="preserve"> </w:t>
            </w:r>
            <w:r w:rsidR="00B32147" w:rsidRPr="00894D21">
              <w:rPr>
                <w:rFonts w:ascii="Times New Roman" w:eastAsia="Times New Roman" w:hAnsi="Times New Roman" w:cs="Times New Roman"/>
                <w:sz w:val="24"/>
                <w:szCs w:val="24"/>
                <w:lang w:eastAsia="lv-LV"/>
              </w:rPr>
              <w:t>2025. gada 1. janvār</w:t>
            </w:r>
            <w:r w:rsidR="00FE15AB" w:rsidRPr="00894D21">
              <w:rPr>
                <w:rFonts w:ascii="Times New Roman" w:eastAsia="Times New Roman" w:hAnsi="Times New Roman" w:cs="Times New Roman"/>
                <w:sz w:val="24"/>
                <w:szCs w:val="24"/>
                <w:lang w:eastAsia="lv-LV"/>
              </w:rPr>
              <w:t>a</w:t>
            </w:r>
            <w:r w:rsidR="004457B0" w:rsidRPr="00894D21">
              <w:rPr>
                <w:rFonts w:ascii="Times New Roman" w:eastAsia="Times New Roman" w:hAnsi="Times New Roman" w:cs="Times New Roman"/>
                <w:sz w:val="24"/>
                <w:szCs w:val="24"/>
                <w:lang w:eastAsia="lv-LV"/>
              </w:rPr>
              <w:t xml:space="preserve">, un </w:t>
            </w:r>
            <w:r w:rsidR="00E12A7D" w:rsidRPr="00894D21">
              <w:rPr>
                <w:rFonts w:ascii="Times New Roman" w:eastAsia="Times New Roman" w:hAnsi="Times New Roman" w:cs="Times New Roman"/>
                <w:sz w:val="24"/>
                <w:szCs w:val="24"/>
                <w:lang w:eastAsia="lv-LV"/>
              </w:rPr>
              <w:t>VIII</w:t>
            </w:r>
            <w:r w:rsidR="0045317F" w:rsidRPr="00894D21">
              <w:rPr>
                <w:rFonts w:ascii="Times New Roman" w:eastAsia="Times New Roman" w:hAnsi="Times New Roman" w:cs="Times New Roman"/>
                <w:sz w:val="24"/>
                <w:szCs w:val="24"/>
                <w:lang w:eastAsia="lv-LV"/>
              </w:rPr>
              <w:t> </w:t>
            </w:r>
            <w:r w:rsidR="004457B0" w:rsidRPr="00894D21">
              <w:rPr>
                <w:rFonts w:ascii="Times New Roman" w:eastAsia="Times New Roman" w:hAnsi="Times New Roman" w:cs="Times New Roman"/>
                <w:sz w:val="24"/>
                <w:szCs w:val="24"/>
                <w:lang w:eastAsia="lv-LV"/>
              </w:rPr>
              <w:t>nodaļ</w:t>
            </w:r>
            <w:r w:rsidR="00894D21" w:rsidRPr="00894D21">
              <w:rPr>
                <w:rFonts w:ascii="Times New Roman" w:eastAsia="Times New Roman" w:hAnsi="Times New Roman" w:cs="Times New Roman"/>
                <w:sz w:val="24"/>
                <w:szCs w:val="24"/>
                <w:lang w:eastAsia="lv-LV"/>
              </w:rPr>
              <w:t>a</w:t>
            </w:r>
            <w:r w:rsidR="00965525" w:rsidRPr="00894D21">
              <w:rPr>
                <w:rFonts w:ascii="Times New Roman" w:eastAsia="Times New Roman" w:hAnsi="Times New Roman" w:cs="Times New Roman"/>
                <w:sz w:val="24"/>
                <w:szCs w:val="24"/>
                <w:lang w:eastAsia="lv-LV"/>
              </w:rPr>
              <w:t xml:space="preserve"> </w:t>
            </w:r>
            <w:r w:rsidR="00FE15AB" w:rsidRPr="00894D21">
              <w:rPr>
                <w:rFonts w:ascii="Times New Roman" w:eastAsia="Times New Roman" w:hAnsi="Times New Roman" w:cs="Times New Roman"/>
                <w:sz w:val="24"/>
                <w:szCs w:val="24"/>
                <w:lang w:eastAsia="lv-LV"/>
              </w:rPr>
              <w:t>piemēro</w:t>
            </w:r>
            <w:r w:rsidR="00894D21" w:rsidRPr="00894D21">
              <w:rPr>
                <w:rFonts w:ascii="Times New Roman" w:eastAsia="Times New Roman" w:hAnsi="Times New Roman" w:cs="Times New Roman"/>
                <w:sz w:val="24"/>
                <w:szCs w:val="24"/>
                <w:lang w:eastAsia="lv-LV"/>
              </w:rPr>
              <w:t>jama</w:t>
            </w:r>
            <w:r w:rsidR="00FE15AB" w:rsidRPr="00894D21">
              <w:rPr>
                <w:rFonts w:ascii="Times New Roman" w:eastAsia="Times New Roman" w:hAnsi="Times New Roman" w:cs="Times New Roman"/>
                <w:sz w:val="24"/>
                <w:szCs w:val="24"/>
                <w:lang w:eastAsia="lv-LV"/>
              </w:rPr>
              <w:t xml:space="preserve"> no</w:t>
            </w:r>
            <w:r w:rsidR="00965525" w:rsidRPr="00894D21">
              <w:rPr>
                <w:rFonts w:ascii="Times New Roman" w:eastAsia="Times New Roman" w:hAnsi="Times New Roman" w:cs="Times New Roman"/>
                <w:sz w:val="24"/>
                <w:szCs w:val="24"/>
                <w:lang w:eastAsia="lv-LV"/>
              </w:rPr>
              <w:t xml:space="preserve"> </w:t>
            </w:r>
            <w:r w:rsidR="00B32147" w:rsidRPr="00894D21">
              <w:rPr>
                <w:rFonts w:ascii="Times New Roman" w:eastAsia="Times New Roman" w:hAnsi="Times New Roman" w:cs="Times New Roman"/>
                <w:sz w:val="24"/>
                <w:szCs w:val="24"/>
                <w:lang w:eastAsia="lv-LV"/>
              </w:rPr>
              <w:t xml:space="preserve">2024. gada </w:t>
            </w:r>
            <w:r w:rsidR="004457B0" w:rsidRPr="00894D21">
              <w:rPr>
                <w:rFonts w:ascii="Times New Roman" w:eastAsia="Times New Roman" w:hAnsi="Times New Roman" w:cs="Times New Roman"/>
                <w:sz w:val="24"/>
                <w:szCs w:val="24"/>
                <w:lang w:eastAsia="lv-LV"/>
              </w:rPr>
              <w:t>31.</w:t>
            </w:r>
            <w:r w:rsidR="00B32147" w:rsidRPr="00894D21">
              <w:rPr>
                <w:rFonts w:ascii="Times New Roman" w:eastAsia="Times New Roman" w:hAnsi="Times New Roman" w:cs="Times New Roman"/>
                <w:sz w:val="24"/>
                <w:szCs w:val="24"/>
                <w:lang w:eastAsia="lv-LV"/>
              </w:rPr>
              <w:t> decembr</w:t>
            </w:r>
            <w:r w:rsidR="00FE15AB" w:rsidRPr="00894D21">
              <w:rPr>
                <w:rFonts w:ascii="Times New Roman" w:eastAsia="Times New Roman" w:hAnsi="Times New Roman" w:cs="Times New Roman"/>
                <w:sz w:val="24"/>
                <w:szCs w:val="24"/>
                <w:lang w:eastAsia="lv-LV"/>
              </w:rPr>
              <w:t>a</w:t>
            </w:r>
            <w:r w:rsidR="004457B0" w:rsidRPr="00894D21">
              <w:rPr>
                <w:rFonts w:ascii="Times New Roman" w:eastAsia="Times New Roman" w:hAnsi="Times New Roman" w:cs="Times New Roman"/>
                <w:sz w:val="24"/>
                <w:szCs w:val="24"/>
                <w:lang w:eastAsia="lv-LV"/>
              </w:rPr>
              <w:t>.</w:t>
            </w:r>
            <w:r w:rsidRPr="00894D21">
              <w:rPr>
                <w:rFonts w:ascii="Times New Roman" w:eastAsia="Times New Roman" w:hAnsi="Times New Roman" w:cs="Times New Roman"/>
                <w:sz w:val="24"/>
                <w:szCs w:val="24"/>
                <w:lang w:eastAsia="lv-LV"/>
              </w:rPr>
              <w:t xml:space="preserve"> </w:t>
            </w:r>
          </w:p>
        </w:tc>
      </w:tr>
      <w:tr w:rsidR="006C3828" w:rsidRPr="00894D21" w14:paraId="0DEA2EE8" w14:textId="77777777">
        <w:trPr>
          <w:trHeight w:val="567"/>
        </w:trPr>
        <w:tc>
          <w:tcPr>
            <w:tcW w:w="987" w:type="pct"/>
            <w:shd w:val="clear" w:color="auto" w:fill="auto"/>
            <w:hideMark/>
          </w:tcPr>
          <w:p w14:paraId="0ABBEC6F"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Ietekme uz Latvijas Bankas budžetu</w:t>
            </w:r>
          </w:p>
          <w:p w14:paraId="666A22E2"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10C919A9" w14:textId="77777777"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Normatīvā akta izdošana neietekmēs Latvijas Bankas budžeta ieņēmumus un izdevumus.</w:t>
            </w:r>
          </w:p>
        </w:tc>
      </w:tr>
      <w:tr w:rsidR="006C3828" w:rsidRPr="00894D21" w14:paraId="0F12E876" w14:textId="77777777">
        <w:trPr>
          <w:trHeight w:val="567"/>
        </w:trPr>
        <w:tc>
          <w:tcPr>
            <w:tcW w:w="987" w:type="pct"/>
            <w:shd w:val="clear" w:color="auto" w:fill="auto"/>
            <w:hideMark/>
          </w:tcPr>
          <w:p w14:paraId="6C162AD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bookmarkStart w:id="1" w:name="_Hlk129966385"/>
            <w:r w:rsidRPr="00894D21">
              <w:rPr>
                <w:rFonts w:ascii="Times New Roman" w:eastAsia="Times New Roman" w:hAnsi="Times New Roman" w:cs="Times New Roman"/>
                <w:b/>
                <w:bCs/>
                <w:sz w:val="24"/>
                <w:szCs w:val="24"/>
                <w:lang w:eastAsia="lv-LV"/>
              </w:rPr>
              <w:t>Administratīvā sloga un izmaksu novērtējums (tirgus dalībniekiem)</w:t>
            </w:r>
          </w:p>
          <w:bookmarkEnd w:id="1"/>
          <w:p w14:paraId="29762232"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340A9289" w14:textId="54C82F33"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projektā ietvertās prasības, t. sk. prasības saistībā ar pārmaiņām iekšējos procesos, radīs papildu administratīvo slogu </w:t>
            </w:r>
            <w:r w:rsidR="00A372E9" w:rsidRPr="00894D21">
              <w:rPr>
                <w:rFonts w:ascii="Times New Roman" w:eastAsia="Times New Roman" w:hAnsi="Times New Roman" w:cs="Times New Roman"/>
                <w:sz w:val="24"/>
                <w:szCs w:val="24"/>
                <w:lang w:eastAsia="lv-LV"/>
              </w:rPr>
              <w:t xml:space="preserve">un izmaksas </w:t>
            </w:r>
            <w:r w:rsidRPr="00894D21">
              <w:rPr>
                <w:rFonts w:ascii="Times New Roman" w:eastAsia="Times New Roman" w:hAnsi="Times New Roman" w:cs="Times New Roman"/>
                <w:sz w:val="24"/>
                <w:szCs w:val="24"/>
                <w:lang w:eastAsia="lv-LV"/>
              </w:rPr>
              <w:t>finanšu tirgus dalībniekiem, uz kuriem ir attiecināmas noteikumu projekta prasības.</w:t>
            </w:r>
          </w:p>
          <w:p w14:paraId="7FDE5294" w14:textId="6787EA56"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Administratīvās izmaksas precīzi nav aprēķināmas, jo finanšu tirgus dalībnieku administratīvās izmaksas šajā gadījumā atkarīgas no vairākiem faktoriem, piemēram, no tā, vai noteikumu projektā ietverto prasību ieviešanai finanšu tirgus dalībnieks izmantos iekšējos vai ārējos resursus.</w:t>
            </w:r>
            <w:r w:rsidR="000F5E18" w:rsidRPr="00894D21">
              <w:rPr>
                <w:rFonts w:ascii="Times New Roman" w:eastAsia="Times New Roman" w:hAnsi="Times New Roman" w:cs="Times New Roman"/>
                <w:sz w:val="24"/>
                <w:szCs w:val="24"/>
                <w:lang w:eastAsia="lv-LV"/>
              </w:rPr>
              <w:t xml:space="preserve"> </w:t>
            </w:r>
            <w:r w:rsidR="005D36EC" w:rsidRPr="00894D21">
              <w:rPr>
                <w:rFonts w:ascii="Times New Roman" w:eastAsia="Times New Roman" w:hAnsi="Times New Roman" w:cs="Times New Roman"/>
                <w:sz w:val="24"/>
                <w:szCs w:val="24"/>
                <w:lang w:eastAsia="lv-LV"/>
              </w:rPr>
              <w:t>Tomēr ilgtermiņā admi</w:t>
            </w:r>
            <w:r w:rsidR="002C058B" w:rsidRPr="00894D21">
              <w:rPr>
                <w:rFonts w:ascii="Times New Roman" w:eastAsia="Times New Roman" w:hAnsi="Times New Roman" w:cs="Times New Roman"/>
                <w:sz w:val="24"/>
                <w:szCs w:val="24"/>
                <w:lang w:eastAsia="lv-LV"/>
              </w:rPr>
              <w:t xml:space="preserve">nistratīvais slogs un izmaksas samazināsies, ņemot vērā </w:t>
            </w:r>
            <w:r w:rsidR="00660BB1" w:rsidRPr="00894D21">
              <w:rPr>
                <w:rFonts w:ascii="Times New Roman" w:eastAsia="Times New Roman" w:hAnsi="Times New Roman" w:cs="Times New Roman"/>
                <w:sz w:val="24"/>
                <w:szCs w:val="24"/>
                <w:lang w:eastAsia="lv-LV"/>
              </w:rPr>
              <w:t>pašlaik spēk</w:t>
            </w:r>
            <w:r w:rsidR="00975C81" w:rsidRPr="00894D21">
              <w:rPr>
                <w:rFonts w:ascii="Times New Roman" w:eastAsia="Times New Roman" w:hAnsi="Times New Roman" w:cs="Times New Roman"/>
                <w:sz w:val="24"/>
                <w:szCs w:val="24"/>
                <w:lang w:eastAsia="lv-LV"/>
              </w:rPr>
              <w:t>ā</w:t>
            </w:r>
            <w:r w:rsidR="00660BB1" w:rsidRPr="00894D21">
              <w:rPr>
                <w:rFonts w:ascii="Times New Roman" w:eastAsia="Times New Roman" w:hAnsi="Times New Roman" w:cs="Times New Roman"/>
                <w:sz w:val="24"/>
                <w:szCs w:val="24"/>
                <w:lang w:eastAsia="lv-LV"/>
              </w:rPr>
              <w:t xml:space="preserve"> esošo pārskatu sniegšanas apjoma un biežuma samazināšanu.</w:t>
            </w:r>
          </w:p>
        </w:tc>
      </w:tr>
      <w:tr w:rsidR="006C3828" w:rsidRPr="00894D21" w14:paraId="7C375F90" w14:textId="77777777">
        <w:trPr>
          <w:trHeight w:val="567"/>
        </w:trPr>
        <w:tc>
          <w:tcPr>
            <w:tcW w:w="987" w:type="pct"/>
            <w:shd w:val="clear" w:color="auto" w:fill="auto"/>
            <w:hideMark/>
          </w:tcPr>
          <w:p w14:paraId="636CB18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Saistītie dokumenti</w:t>
            </w:r>
          </w:p>
          <w:p w14:paraId="5BE3B73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7E3550BE" w14:textId="637F123F" w:rsidR="00894D21" w:rsidRPr="00D53AC5" w:rsidRDefault="00894D21" w:rsidP="00D53AC5">
            <w:pPr>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t>Ar noteikumu projektu saistītie dokumenti:</w:t>
            </w:r>
          </w:p>
          <w:p w14:paraId="4235199F" w14:textId="049C60AC" w:rsidR="006A1E74" w:rsidRPr="00894D21" w:rsidRDefault="006A1E74" w:rsidP="00894D21">
            <w:pPr>
              <w:pStyle w:val="ListParagraph"/>
              <w:numPr>
                <w:ilvl w:val="0"/>
                <w:numId w:val="6"/>
              </w:numPr>
              <w:spacing w:after="0" w:line="240" w:lineRule="auto"/>
              <w:jc w:val="both"/>
              <w:rPr>
                <w:rFonts w:ascii="Times New Roman" w:hAnsi="Times New Roman" w:cs="Times New Roman"/>
                <w:sz w:val="24"/>
                <w:szCs w:val="24"/>
              </w:rPr>
            </w:pPr>
            <w:r w:rsidRPr="00894D21">
              <w:rPr>
                <w:rFonts w:ascii="Times New Roman" w:eastAsia="Times New Roman" w:hAnsi="Times New Roman" w:cs="Times New Roman"/>
                <w:sz w:val="24"/>
                <w:szCs w:val="24"/>
                <w:lang w:eastAsia="lv-LV"/>
              </w:rPr>
              <w:t>Kredītiestāžu likums;</w:t>
            </w:r>
          </w:p>
          <w:p w14:paraId="1F294DB4" w14:textId="56A2E674" w:rsidR="006A1E74" w:rsidRPr="00894D21" w:rsidRDefault="006A1E74" w:rsidP="00894D21">
            <w:pPr>
              <w:pStyle w:val="ListParagraph"/>
              <w:numPr>
                <w:ilvl w:val="0"/>
                <w:numId w:val="6"/>
              </w:numPr>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t>Latvijas Bankas likums;</w:t>
            </w:r>
          </w:p>
          <w:p w14:paraId="4CB33EFF" w14:textId="541672CB" w:rsidR="00245C21" w:rsidRPr="00894D21" w:rsidRDefault="00894D21" w:rsidP="00894D21">
            <w:pPr>
              <w:pStyle w:val="ListParagraph"/>
              <w:numPr>
                <w:ilvl w:val="0"/>
                <w:numId w:val="6"/>
              </w:numPr>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lastRenderedPageBreak/>
              <w:t xml:space="preserve">Finanšu un kapitāla tirgus komisijas </w:t>
            </w:r>
            <w:r w:rsidR="00A66566" w:rsidRPr="00894D21">
              <w:rPr>
                <w:rFonts w:ascii="Times New Roman" w:hAnsi="Times New Roman" w:cs="Times New Roman"/>
                <w:sz w:val="24"/>
                <w:szCs w:val="24"/>
              </w:rPr>
              <w:t>2020. gada 27. oktobra</w:t>
            </w:r>
            <w:r w:rsidR="00D770E9" w:rsidRPr="00894D21">
              <w:rPr>
                <w:rFonts w:ascii="Times New Roman" w:hAnsi="Times New Roman" w:cs="Times New Roman"/>
                <w:sz w:val="24"/>
                <w:szCs w:val="24"/>
              </w:rPr>
              <w:t xml:space="preserve"> normatīv</w:t>
            </w:r>
            <w:r w:rsidR="00007625" w:rsidRPr="00894D21">
              <w:rPr>
                <w:rFonts w:ascii="Times New Roman" w:hAnsi="Times New Roman" w:cs="Times New Roman"/>
                <w:sz w:val="24"/>
                <w:szCs w:val="24"/>
              </w:rPr>
              <w:t>ie</w:t>
            </w:r>
            <w:r w:rsidR="00D770E9" w:rsidRPr="00894D21">
              <w:rPr>
                <w:rFonts w:ascii="Times New Roman" w:hAnsi="Times New Roman" w:cs="Times New Roman"/>
                <w:sz w:val="24"/>
                <w:szCs w:val="24"/>
              </w:rPr>
              <w:t xml:space="preserve"> noteikum</w:t>
            </w:r>
            <w:r w:rsidR="00007625" w:rsidRPr="00894D21">
              <w:rPr>
                <w:rFonts w:ascii="Times New Roman" w:hAnsi="Times New Roman" w:cs="Times New Roman"/>
                <w:sz w:val="24"/>
                <w:szCs w:val="24"/>
              </w:rPr>
              <w:t>i</w:t>
            </w:r>
            <w:r w:rsidR="00D770E9" w:rsidRPr="00894D21">
              <w:rPr>
                <w:rFonts w:ascii="Times New Roman" w:hAnsi="Times New Roman" w:cs="Times New Roman"/>
                <w:sz w:val="24"/>
                <w:szCs w:val="24"/>
              </w:rPr>
              <w:t xml:space="preserve"> Nr.</w:t>
            </w:r>
            <w:r w:rsidR="00831F05" w:rsidRPr="00894D21">
              <w:rPr>
                <w:rFonts w:ascii="Times New Roman" w:hAnsi="Times New Roman" w:cs="Times New Roman"/>
                <w:sz w:val="24"/>
                <w:szCs w:val="24"/>
              </w:rPr>
              <w:t> </w:t>
            </w:r>
            <w:r w:rsidR="00D770E9" w:rsidRPr="00894D21">
              <w:rPr>
                <w:rFonts w:ascii="Times New Roman" w:hAnsi="Times New Roman" w:cs="Times New Roman"/>
                <w:sz w:val="24"/>
                <w:szCs w:val="24"/>
              </w:rPr>
              <w:t>203 "Uzraudzības finanšu pārskatu sagatavošanas normatīvie noteikumi"</w:t>
            </w:r>
            <w:r w:rsidR="00245C21" w:rsidRPr="00894D21">
              <w:rPr>
                <w:rFonts w:ascii="Times New Roman" w:hAnsi="Times New Roman" w:cs="Times New Roman"/>
                <w:sz w:val="24"/>
                <w:szCs w:val="24"/>
              </w:rPr>
              <w:t>;</w:t>
            </w:r>
          </w:p>
          <w:p w14:paraId="4D084BE9" w14:textId="51D62C35" w:rsidR="00245C21" w:rsidRPr="00894D21" w:rsidRDefault="00894D21" w:rsidP="00894D21">
            <w:pPr>
              <w:pStyle w:val="ListParagraph"/>
              <w:numPr>
                <w:ilvl w:val="0"/>
                <w:numId w:val="6"/>
              </w:numPr>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t xml:space="preserve">Finanšu un kapitāla tirgus komisijas </w:t>
            </w:r>
            <w:r w:rsidR="00D770E9" w:rsidRPr="00894D21">
              <w:rPr>
                <w:rFonts w:ascii="Times New Roman" w:hAnsi="Times New Roman" w:cs="Times New Roman"/>
                <w:sz w:val="24"/>
                <w:szCs w:val="24"/>
              </w:rPr>
              <w:t>2022.</w:t>
            </w:r>
            <w:r w:rsidR="00873448" w:rsidRPr="00894D21">
              <w:rPr>
                <w:rFonts w:ascii="Times New Roman" w:hAnsi="Times New Roman" w:cs="Times New Roman"/>
                <w:sz w:val="24"/>
                <w:szCs w:val="24"/>
              </w:rPr>
              <w:t> </w:t>
            </w:r>
            <w:r w:rsidR="00D770E9" w:rsidRPr="00894D21">
              <w:rPr>
                <w:rFonts w:ascii="Times New Roman" w:hAnsi="Times New Roman" w:cs="Times New Roman"/>
                <w:sz w:val="24"/>
                <w:szCs w:val="24"/>
              </w:rPr>
              <w:t>gada 15.</w:t>
            </w:r>
            <w:r w:rsidR="00873448" w:rsidRPr="00894D21">
              <w:rPr>
                <w:rFonts w:ascii="Times New Roman" w:hAnsi="Times New Roman" w:cs="Times New Roman"/>
                <w:sz w:val="24"/>
                <w:szCs w:val="24"/>
              </w:rPr>
              <w:t> </w:t>
            </w:r>
            <w:r w:rsidR="00D770E9" w:rsidRPr="00894D21">
              <w:rPr>
                <w:rFonts w:ascii="Times New Roman" w:hAnsi="Times New Roman" w:cs="Times New Roman"/>
                <w:sz w:val="24"/>
                <w:szCs w:val="24"/>
              </w:rPr>
              <w:t>novembra normatīv</w:t>
            </w:r>
            <w:r w:rsidR="00007625" w:rsidRPr="00894D21">
              <w:rPr>
                <w:rFonts w:ascii="Times New Roman" w:hAnsi="Times New Roman" w:cs="Times New Roman"/>
                <w:sz w:val="24"/>
                <w:szCs w:val="24"/>
              </w:rPr>
              <w:t>ie</w:t>
            </w:r>
            <w:r w:rsidR="00D770E9" w:rsidRPr="00894D21">
              <w:rPr>
                <w:rFonts w:ascii="Times New Roman" w:hAnsi="Times New Roman" w:cs="Times New Roman"/>
                <w:sz w:val="24"/>
                <w:szCs w:val="24"/>
              </w:rPr>
              <w:t xml:space="preserve"> noteikum</w:t>
            </w:r>
            <w:r w:rsidR="00007625" w:rsidRPr="00894D21">
              <w:rPr>
                <w:rFonts w:ascii="Times New Roman" w:hAnsi="Times New Roman" w:cs="Times New Roman"/>
                <w:sz w:val="24"/>
                <w:szCs w:val="24"/>
              </w:rPr>
              <w:t>i</w:t>
            </w:r>
            <w:r w:rsidR="00D770E9" w:rsidRPr="00894D21">
              <w:rPr>
                <w:rFonts w:ascii="Times New Roman" w:hAnsi="Times New Roman" w:cs="Times New Roman"/>
                <w:sz w:val="24"/>
                <w:szCs w:val="24"/>
              </w:rPr>
              <w:t xml:space="preserve"> Nr.</w:t>
            </w:r>
            <w:r w:rsidR="00831F05" w:rsidRPr="00894D21">
              <w:rPr>
                <w:rFonts w:ascii="Times New Roman" w:hAnsi="Times New Roman" w:cs="Times New Roman"/>
                <w:sz w:val="24"/>
                <w:szCs w:val="24"/>
              </w:rPr>
              <w:t> </w:t>
            </w:r>
            <w:r w:rsidR="00D770E9" w:rsidRPr="00894D21">
              <w:rPr>
                <w:rFonts w:ascii="Times New Roman" w:hAnsi="Times New Roman" w:cs="Times New Roman"/>
                <w:sz w:val="24"/>
                <w:szCs w:val="24"/>
              </w:rPr>
              <w:t>200 "Uzraudzībai papildus nepieciešamo pārskatu sagatavošanas normatīvie noteikumi"</w:t>
            </w:r>
            <w:r w:rsidR="00245C21" w:rsidRPr="00894D21">
              <w:rPr>
                <w:rFonts w:ascii="Times New Roman" w:hAnsi="Times New Roman" w:cs="Times New Roman"/>
                <w:sz w:val="24"/>
                <w:szCs w:val="24"/>
              </w:rPr>
              <w:t>;</w:t>
            </w:r>
          </w:p>
          <w:p w14:paraId="2CD46A3F" w14:textId="4AFDEDCC" w:rsidR="00245C21" w:rsidRPr="00894D21" w:rsidRDefault="00894D21" w:rsidP="00894D21">
            <w:pPr>
              <w:pStyle w:val="ListParagraph"/>
              <w:numPr>
                <w:ilvl w:val="0"/>
                <w:numId w:val="6"/>
              </w:numPr>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t xml:space="preserve">Finanšu un kapitāla tirgus komisijas </w:t>
            </w:r>
            <w:r w:rsidR="00D770E9" w:rsidRPr="00894D21">
              <w:rPr>
                <w:rFonts w:ascii="Times New Roman" w:hAnsi="Times New Roman" w:cs="Times New Roman"/>
                <w:sz w:val="24"/>
                <w:szCs w:val="24"/>
              </w:rPr>
              <w:t>2020.</w:t>
            </w:r>
            <w:r w:rsidR="00831F05" w:rsidRPr="00894D21">
              <w:rPr>
                <w:rFonts w:ascii="Times New Roman" w:hAnsi="Times New Roman" w:cs="Times New Roman"/>
                <w:sz w:val="24"/>
                <w:szCs w:val="24"/>
              </w:rPr>
              <w:t> </w:t>
            </w:r>
            <w:r w:rsidR="00D770E9" w:rsidRPr="00894D21">
              <w:rPr>
                <w:rFonts w:ascii="Times New Roman" w:hAnsi="Times New Roman" w:cs="Times New Roman"/>
                <w:sz w:val="24"/>
                <w:szCs w:val="24"/>
              </w:rPr>
              <w:t>gada 4.</w:t>
            </w:r>
            <w:r w:rsidR="00831F05" w:rsidRPr="00894D21">
              <w:rPr>
                <w:rFonts w:ascii="Times New Roman" w:hAnsi="Times New Roman" w:cs="Times New Roman"/>
                <w:sz w:val="24"/>
                <w:szCs w:val="24"/>
              </w:rPr>
              <w:t> </w:t>
            </w:r>
            <w:r w:rsidR="00D770E9" w:rsidRPr="00894D21">
              <w:rPr>
                <w:rFonts w:ascii="Times New Roman" w:hAnsi="Times New Roman" w:cs="Times New Roman"/>
                <w:sz w:val="24"/>
                <w:szCs w:val="24"/>
              </w:rPr>
              <w:t>augusta normatīv</w:t>
            </w:r>
            <w:r w:rsidR="00007625" w:rsidRPr="00894D21">
              <w:rPr>
                <w:rFonts w:ascii="Times New Roman" w:hAnsi="Times New Roman" w:cs="Times New Roman"/>
                <w:sz w:val="24"/>
                <w:szCs w:val="24"/>
              </w:rPr>
              <w:t>ie</w:t>
            </w:r>
            <w:r w:rsidR="00D770E9" w:rsidRPr="00894D21">
              <w:rPr>
                <w:rFonts w:ascii="Times New Roman" w:hAnsi="Times New Roman" w:cs="Times New Roman"/>
                <w:sz w:val="24"/>
                <w:szCs w:val="24"/>
              </w:rPr>
              <w:t xml:space="preserve"> noteikum</w:t>
            </w:r>
            <w:r w:rsidR="00007625" w:rsidRPr="00894D21">
              <w:rPr>
                <w:rFonts w:ascii="Times New Roman" w:hAnsi="Times New Roman" w:cs="Times New Roman"/>
                <w:sz w:val="24"/>
                <w:szCs w:val="24"/>
              </w:rPr>
              <w:t>i</w:t>
            </w:r>
            <w:r w:rsidR="00D770E9" w:rsidRPr="00894D21">
              <w:rPr>
                <w:rFonts w:ascii="Times New Roman" w:hAnsi="Times New Roman" w:cs="Times New Roman"/>
                <w:sz w:val="24"/>
                <w:szCs w:val="24"/>
              </w:rPr>
              <w:t xml:space="preserve"> Nr.</w:t>
            </w:r>
            <w:r w:rsidR="00831F05" w:rsidRPr="00894D21">
              <w:rPr>
                <w:rFonts w:ascii="Times New Roman" w:hAnsi="Times New Roman" w:cs="Times New Roman"/>
                <w:sz w:val="24"/>
                <w:szCs w:val="24"/>
              </w:rPr>
              <w:t> </w:t>
            </w:r>
            <w:r w:rsidR="00D770E9" w:rsidRPr="00894D21">
              <w:rPr>
                <w:rFonts w:ascii="Times New Roman" w:hAnsi="Times New Roman" w:cs="Times New Roman"/>
                <w:sz w:val="24"/>
                <w:szCs w:val="24"/>
              </w:rPr>
              <w:t xml:space="preserve">124 </w:t>
            </w:r>
            <w:r w:rsidR="004C233F" w:rsidRPr="00894D21">
              <w:rPr>
                <w:rFonts w:ascii="Times New Roman" w:hAnsi="Times New Roman" w:cs="Times New Roman"/>
                <w:sz w:val="24"/>
                <w:szCs w:val="24"/>
              </w:rPr>
              <w:t>"</w:t>
            </w:r>
            <w:r w:rsidR="00D770E9" w:rsidRPr="00894D21">
              <w:rPr>
                <w:rFonts w:ascii="Times New Roman" w:hAnsi="Times New Roman" w:cs="Times New Roman"/>
                <w:sz w:val="24"/>
                <w:szCs w:val="24"/>
              </w:rPr>
              <w:t>Informācijas par pārņemto nekustamo īpašumu sagatavošanas normatīvie noteikumi</w:t>
            </w:r>
            <w:r w:rsidR="004C233F" w:rsidRPr="00894D21">
              <w:rPr>
                <w:rFonts w:ascii="Times New Roman" w:hAnsi="Times New Roman" w:cs="Times New Roman"/>
                <w:sz w:val="24"/>
                <w:szCs w:val="24"/>
              </w:rPr>
              <w:t>"</w:t>
            </w:r>
            <w:r w:rsidR="00245C21" w:rsidRPr="00894D21">
              <w:rPr>
                <w:rFonts w:ascii="Times New Roman" w:hAnsi="Times New Roman" w:cs="Times New Roman"/>
                <w:sz w:val="24"/>
                <w:szCs w:val="24"/>
              </w:rPr>
              <w:t>;</w:t>
            </w:r>
          </w:p>
          <w:p w14:paraId="39D3C731" w14:textId="3E5524B7" w:rsidR="00245C21" w:rsidRPr="00894D21" w:rsidRDefault="00894D21" w:rsidP="00894D21">
            <w:pPr>
              <w:pStyle w:val="ListParagraph"/>
              <w:numPr>
                <w:ilvl w:val="0"/>
                <w:numId w:val="6"/>
              </w:numPr>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t xml:space="preserve">Finanšu un kapitāla tirgus komisijas </w:t>
            </w:r>
            <w:r w:rsidR="00D770E9" w:rsidRPr="00894D21">
              <w:rPr>
                <w:rFonts w:ascii="Times New Roman" w:hAnsi="Times New Roman" w:cs="Times New Roman"/>
                <w:sz w:val="24"/>
                <w:szCs w:val="24"/>
              </w:rPr>
              <w:t>2020.</w:t>
            </w:r>
            <w:r w:rsidR="00831F05" w:rsidRPr="00894D21">
              <w:rPr>
                <w:rFonts w:ascii="Times New Roman" w:hAnsi="Times New Roman" w:cs="Times New Roman"/>
                <w:sz w:val="24"/>
                <w:szCs w:val="24"/>
              </w:rPr>
              <w:t> </w:t>
            </w:r>
            <w:r w:rsidR="00D770E9" w:rsidRPr="00894D21">
              <w:rPr>
                <w:rFonts w:ascii="Times New Roman" w:hAnsi="Times New Roman" w:cs="Times New Roman"/>
                <w:sz w:val="24"/>
                <w:szCs w:val="24"/>
              </w:rPr>
              <w:t>gada 1.</w:t>
            </w:r>
            <w:r w:rsidR="00831F05" w:rsidRPr="00894D21">
              <w:rPr>
                <w:rFonts w:ascii="Times New Roman" w:hAnsi="Times New Roman" w:cs="Times New Roman"/>
                <w:sz w:val="24"/>
                <w:szCs w:val="24"/>
              </w:rPr>
              <w:t> </w:t>
            </w:r>
            <w:r w:rsidR="00D770E9" w:rsidRPr="00894D21">
              <w:rPr>
                <w:rFonts w:ascii="Times New Roman" w:hAnsi="Times New Roman" w:cs="Times New Roman"/>
                <w:sz w:val="24"/>
                <w:szCs w:val="24"/>
              </w:rPr>
              <w:t>septembra normatīv</w:t>
            </w:r>
            <w:r w:rsidR="00007625" w:rsidRPr="00894D21">
              <w:rPr>
                <w:rFonts w:ascii="Times New Roman" w:hAnsi="Times New Roman" w:cs="Times New Roman"/>
                <w:sz w:val="24"/>
                <w:szCs w:val="24"/>
              </w:rPr>
              <w:t>ie</w:t>
            </w:r>
            <w:r w:rsidR="00D770E9" w:rsidRPr="00894D21">
              <w:rPr>
                <w:rFonts w:ascii="Times New Roman" w:hAnsi="Times New Roman" w:cs="Times New Roman"/>
                <w:sz w:val="24"/>
                <w:szCs w:val="24"/>
              </w:rPr>
              <w:t xml:space="preserve"> noteikum</w:t>
            </w:r>
            <w:r w:rsidR="00007625" w:rsidRPr="00894D21">
              <w:rPr>
                <w:rFonts w:ascii="Times New Roman" w:hAnsi="Times New Roman" w:cs="Times New Roman"/>
                <w:sz w:val="24"/>
                <w:szCs w:val="24"/>
              </w:rPr>
              <w:t>i</w:t>
            </w:r>
            <w:r w:rsidR="00D770E9" w:rsidRPr="00894D21">
              <w:rPr>
                <w:rFonts w:ascii="Times New Roman" w:hAnsi="Times New Roman" w:cs="Times New Roman"/>
                <w:sz w:val="24"/>
                <w:szCs w:val="24"/>
              </w:rPr>
              <w:t xml:space="preserve"> Nr.</w:t>
            </w:r>
            <w:r w:rsidR="00831F05" w:rsidRPr="00894D21">
              <w:rPr>
                <w:rFonts w:ascii="Times New Roman" w:hAnsi="Times New Roman" w:cs="Times New Roman"/>
                <w:sz w:val="24"/>
                <w:szCs w:val="24"/>
              </w:rPr>
              <w:t> </w:t>
            </w:r>
            <w:r w:rsidR="00D770E9" w:rsidRPr="00894D21">
              <w:rPr>
                <w:rFonts w:ascii="Times New Roman" w:hAnsi="Times New Roman" w:cs="Times New Roman"/>
                <w:sz w:val="24"/>
                <w:szCs w:val="24"/>
              </w:rPr>
              <w:t>141 "Informācijas par operacionālā riska notikumu iestāšanās gadījumiem sagatavošanas un iesniegšanas normatīvie noteikumi"</w:t>
            </w:r>
            <w:r w:rsidR="00245C21" w:rsidRPr="00894D21">
              <w:rPr>
                <w:rFonts w:ascii="Times New Roman" w:hAnsi="Times New Roman" w:cs="Times New Roman"/>
                <w:sz w:val="24"/>
                <w:szCs w:val="24"/>
              </w:rPr>
              <w:t>;</w:t>
            </w:r>
          </w:p>
          <w:p w14:paraId="7779B0E0" w14:textId="3DAB0A74" w:rsidR="00132833" w:rsidRPr="00894D21" w:rsidRDefault="00894D21" w:rsidP="00894D21">
            <w:pPr>
              <w:pStyle w:val="ListParagraph"/>
              <w:numPr>
                <w:ilvl w:val="0"/>
                <w:numId w:val="6"/>
              </w:numPr>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t xml:space="preserve">Finanšu un kapitāla tirgus komisijas </w:t>
            </w:r>
            <w:r w:rsidR="00974CF6" w:rsidRPr="00894D21">
              <w:rPr>
                <w:rFonts w:ascii="Times New Roman" w:hAnsi="Times New Roman" w:cs="Times New Roman"/>
                <w:sz w:val="24"/>
                <w:szCs w:val="24"/>
              </w:rPr>
              <w:t>2020. gada 8. decembra normatīvie noteikumi Nr. 233 "Pārskatu par kredītiestāžu finansēšanas plāniem normatīvie noteikumi"</w:t>
            </w:r>
            <w:r w:rsidR="00132833" w:rsidRPr="00894D21">
              <w:rPr>
                <w:rFonts w:ascii="Times New Roman" w:hAnsi="Times New Roman" w:cs="Times New Roman"/>
                <w:sz w:val="24"/>
                <w:szCs w:val="24"/>
              </w:rPr>
              <w:t>;</w:t>
            </w:r>
          </w:p>
          <w:p w14:paraId="49F8F979" w14:textId="55AC603E" w:rsidR="006C3828" w:rsidRPr="00894D21" w:rsidRDefault="004B1143" w:rsidP="00894D21">
            <w:pPr>
              <w:pStyle w:val="ListParagraph"/>
              <w:numPr>
                <w:ilvl w:val="0"/>
                <w:numId w:val="6"/>
              </w:numPr>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t xml:space="preserve"> noteikum</w:t>
            </w:r>
            <w:r w:rsidR="00FD0F3B" w:rsidRPr="00894D21">
              <w:rPr>
                <w:rFonts w:ascii="Times New Roman" w:hAnsi="Times New Roman" w:cs="Times New Roman"/>
                <w:sz w:val="24"/>
                <w:szCs w:val="24"/>
              </w:rPr>
              <w:t>i</w:t>
            </w:r>
            <w:r w:rsidRPr="00894D21">
              <w:rPr>
                <w:rFonts w:ascii="Times New Roman" w:hAnsi="Times New Roman" w:cs="Times New Roman"/>
                <w:sz w:val="24"/>
                <w:szCs w:val="24"/>
              </w:rPr>
              <w:t xml:space="preserve"> Nr.</w:t>
            </w:r>
            <w:r w:rsidR="00FD0F3B" w:rsidRPr="00894D21">
              <w:rPr>
                <w:rFonts w:ascii="Times New Roman" w:hAnsi="Times New Roman" w:cs="Times New Roman"/>
                <w:sz w:val="24"/>
                <w:szCs w:val="24"/>
              </w:rPr>
              <w:t> </w:t>
            </w:r>
            <w:r w:rsidRPr="00894D21">
              <w:rPr>
                <w:rFonts w:ascii="Times New Roman" w:hAnsi="Times New Roman" w:cs="Times New Roman"/>
                <w:sz w:val="24"/>
                <w:szCs w:val="24"/>
              </w:rPr>
              <w:t>191</w:t>
            </w:r>
            <w:r w:rsidR="006A1E74" w:rsidRPr="00894D21">
              <w:rPr>
                <w:rFonts w:ascii="Times New Roman" w:hAnsi="Times New Roman" w:cs="Times New Roman"/>
                <w:sz w:val="24"/>
                <w:szCs w:val="24"/>
              </w:rPr>
              <w:t>;</w:t>
            </w:r>
          </w:p>
          <w:p w14:paraId="57D50C85" w14:textId="5B54C9F9" w:rsidR="006C3828" w:rsidRPr="00D53AC5" w:rsidRDefault="003C653B" w:rsidP="00894D21">
            <w:pPr>
              <w:pStyle w:val="ListParagraph"/>
              <w:numPr>
                <w:ilvl w:val="0"/>
                <w:numId w:val="6"/>
              </w:numPr>
              <w:spacing w:after="0" w:line="240" w:lineRule="auto"/>
              <w:jc w:val="both"/>
              <w:rPr>
                <w:rFonts w:ascii="Times New Roman" w:eastAsia="Times New Roman" w:hAnsi="Times New Roman" w:cs="Times New Roman"/>
                <w:lang w:eastAsia="lv-LV"/>
              </w:rPr>
            </w:pPr>
            <w:r w:rsidRPr="00894D21">
              <w:rPr>
                <w:rFonts w:ascii="Times New Roman" w:hAnsi="Times New Roman" w:cs="Times New Roman"/>
                <w:sz w:val="24"/>
                <w:szCs w:val="24"/>
              </w:rPr>
              <w:t xml:space="preserve">Latvijas Bankas </w:t>
            </w:r>
            <w:r w:rsidR="00E41229" w:rsidRPr="00894D21">
              <w:rPr>
                <w:rFonts w:ascii="Times New Roman" w:hAnsi="Times New Roman" w:cs="Times New Roman"/>
                <w:sz w:val="24"/>
                <w:szCs w:val="24"/>
              </w:rPr>
              <w:t xml:space="preserve">2023. gada 18. decembra </w:t>
            </w:r>
            <w:r w:rsidRPr="00894D21">
              <w:rPr>
                <w:rFonts w:ascii="Times New Roman" w:hAnsi="Times New Roman" w:cs="Times New Roman"/>
                <w:sz w:val="24"/>
                <w:szCs w:val="24"/>
              </w:rPr>
              <w:t>noteikumi Nr.</w:t>
            </w:r>
            <w:r w:rsidR="00831F05" w:rsidRPr="00894D21">
              <w:rPr>
                <w:rFonts w:ascii="Times New Roman" w:hAnsi="Times New Roman" w:cs="Times New Roman"/>
                <w:sz w:val="24"/>
                <w:szCs w:val="24"/>
              </w:rPr>
              <w:t> </w:t>
            </w:r>
            <w:r w:rsidRPr="00894D21">
              <w:rPr>
                <w:rFonts w:ascii="Times New Roman" w:hAnsi="Times New Roman" w:cs="Times New Roman"/>
                <w:sz w:val="24"/>
                <w:szCs w:val="24"/>
              </w:rPr>
              <w:t>265 "Kredītriska pārvaldīšanas noteikumi"</w:t>
            </w:r>
            <w:r w:rsidR="00A06E04" w:rsidRPr="00894D21">
              <w:rPr>
                <w:rFonts w:ascii="Times New Roman" w:hAnsi="Times New Roman" w:cs="Times New Roman"/>
                <w:sz w:val="24"/>
                <w:szCs w:val="24"/>
              </w:rPr>
              <w:t>;</w:t>
            </w:r>
          </w:p>
          <w:p w14:paraId="794BA437" w14:textId="219DA5CF" w:rsidR="00D76B92" w:rsidRPr="00894D21" w:rsidRDefault="00C32023" w:rsidP="00894D21">
            <w:pPr>
              <w:pStyle w:val="ListParagraph"/>
              <w:numPr>
                <w:ilvl w:val="0"/>
                <w:numId w:val="6"/>
              </w:numPr>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t xml:space="preserve">Latvijas Bankas </w:t>
            </w:r>
            <w:r w:rsidR="008E1212" w:rsidRPr="00894D21">
              <w:rPr>
                <w:rFonts w:ascii="Times New Roman" w:hAnsi="Times New Roman" w:cs="Times New Roman"/>
                <w:sz w:val="24"/>
                <w:szCs w:val="24"/>
              </w:rPr>
              <w:t>2022.</w:t>
            </w:r>
            <w:r w:rsidR="00C86378" w:rsidRPr="00894D21">
              <w:rPr>
                <w:rFonts w:ascii="Times New Roman" w:hAnsi="Times New Roman" w:cs="Times New Roman"/>
                <w:sz w:val="24"/>
                <w:szCs w:val="24"/>
              </w:rPr>
              <w:t> </w:t>
            </w:r>
            <w:r w:rsidR="008E1212" w:rsidRPr="00894D21">
              <w:rPr>
                <w:rFonts w:ascii="Times New Roman" w:hAnsi="Times New Roman" w:cs="Times New Roman"/>
                <w:sz w:val="24"/>
                <w:szCs w:val="24"/>
              </w:rPr>
              <w:t>gada 24.</w:t>
            </w:r>
            <w:r w:rsidR="00C86378" w:rsidRPr="00894D21">
              <w:rPr>
                <w:rFonts w:ascii="Times New Roman" w:hAnsi="Times New Roman" w:cs="Times New Roman"/>
                <w:sz w:val="24"/>
                <w:szCs w:val="24"/>
              </w:rPr>
              <w:t> </w:t>
            </w:r>
            <w:r w:rsidR="008E1212" w:rsidRPr="00894D21">
              <w:rPr>
                <w:rFonts w:ascii="Times New Roman" w:hAnsi="Times New Roman" w:cs="Times New Roman"/>
                <w:sz w:val="24"/>
                <w:szCs w:val="24"/>
              </w:rPr>
              <w:t>oktobra</w:t>
            </w:r>
            <w:r w:rsidR="00F700C0" w:rsidRPr="00894D21">
              <w:rPr>
                <w:rFonts w:ascii="Times New Roman" w:hAnsi="Times New Roman" w:cs="Times New Roman"/>
                <w:sz w:val="24"/>
                <w:szCs w:val="24"/>
              </w:rPr>
              <w:t xml:space="preserve"> noteikumi Nr</w:t>
            </w:r>
            <w:r w:rsidR="006064AD" w:rsidRPr="00894D21">
              <w:rPr>
                <w:rFonts w:ascii="Times New Roman" w:hAnsi="Times New Roman" w:cs="Times New Roman"/>
                <w:sz w:val="24"/>
                <w:szCs w:val="24"/>
              </w:rPr>
              <w:t>.</w:t>
            </w:r>
            <w:r w:rsidR="00C86378" w:rsidRPr="00894D21">
              <w:rPr>
                <w:rFonts w:ascii="Times New Roman" w:hAnsi="Times New Roman" w:cs="Times New Roman"/>
                <w:sz w:val="24"/>
                <w:szCs w:val="24"/>
              </w:rPr>
              <w:t> </w:t>
            </w:r>
            <w:r w:rsidR="006064AD" w:rsidRPr="00894D21">
              <w:rPr>
                <w:rFonts w:ascii="Times New Roman" w:hAnsi="Times New Roman" w:cs="Times New Roman"/>
                <w:sz w:val="24"/>
                <w:szCs w:val="24"/>
              </w:rPr>
              <w:t>226 "Noteikumi par elektronisko informācijas apmaiņu ar Latvijas Banku"</w:t>
            </w:r>
            <w:r w:rsidR="009F4DED" w:rsidRPr="00894D21">
              <w:rPr>
                <w:rFonts w:ascii="Times New Roman" w:hAnsi="Times New Roman" w:cs="Times New Roman"/>
                <w:sz w:val="24"/>
                <w:szCs w:val="24"/>
              </w:rPr>
              <w:t>;</w:t>
            </w:r>
          </w:p>
          <w:p w14:paraId="3BE81602" w14:textId="0B669D93" w:rsidR="0033661A" w:rsidRPr="00894D21" w:rsidRDefault="009F4DED" w:rsidP="00894D21">
            <w:pPr>
              <w:pStyle w:val="ListParagraph"/>
              <w:numPr>
                <w:ilvl w:val="0"/>
                <w:numId w:val="6"/>
              </w:numPr>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t xml:space="preserve">Latvijas Bankas 2022. gada </w:t>
            </w:r>
            <w:r w:rsidR="00A90189" w:rsidRPr="00894D21">
              <w:rPr>
                <w:rFonts w:ascii="Times New Roman" w:hAnsi="Times New Roman" w:cs="Times New Roman"/>
                <w:sz w:val="24"/>
                <w:szCs w:val="24"/>
              </w:rPr>
              <w:t>12</w:t>
            </w:r>
            <w:r w:rsidRPr="00894D21">
              <w:rPr>
                <w:rFonts w:ascii="Times New Roman" w:hAnsi="Times New Roman" w:cs="Times New Roman"/>
                <w:sz w:val="24"/>
                <w:szCs w:val="24"/>
              </w:rPr>
              <w:t xml:space="preserve">. </w:t>
            </w:r>
            <w:r w:rsidR="00A90189" w:rsidRPr="00894D21">
              <w:rPr>
                <w:rFonts w:ascii="Times New Roman" w:hAnsi="Times New Roman" w:cs="Times New Roman"/>
                <w:sz w:val="24"/>
                <w:szCs w:val="24"/>
              </w:rPr>
              <w:t>septembra</w:t>
            </w:r>
            <w:r w:rsidRPr="00894D21">
              <w:rPr>
                <w:rFonts w:ascii="Times New Roman" w:hAnsi="Times New Roman" w:cs="Times New Roman"/>
                <w:sz w:val="24"/>
                <w:szCs w:val="24"/>
              </w:rPr>
              <w:t xml:space="preserve"> noteikumi Nr.</w:t>
            </w:r>
            <w:r w:rsidR="00C86378" w:rsidRPr="00894D21">
              <w:rPr>
                <w:rFonts w:ascii="Times New Roman" w:hAnsi="Times New Roman" w:cs="Times New Roman"/>
                <w:sz w:val="24"/>
                <w:szCs w:val="24"/>
              </w:rPr>
              <w:t> </w:t>
            </w:r>
            <w:r w:rsidRPr="00894D21">
              <w:rPr>
                <w:rFonts w:ascii="Times New Roman" w:hAnsi="Times New Roman" w:cs="Times New Roman"/>
                <w:sz w:val="24"/>
                <w:szCs w:val="24"/>
              </w:rPr>
              <w:t>2</w:t>
            </w:r>
            <w:r w:rsidR="00A90189" w:rsidRPr="00894D21">
              <w:rPr>
                <w:rFonts w:ascii="Times New Roman" w:hAnsi="Times New Roman" w:cs="Times New Roman"/>
                <w:sz w:val="24"/>
                <w:szCs w:val="24"/>
              </w:rPr>
              <w:t>18</w:t>
            </w:r>
            <w:r w:rsidRPr="00894D21">
              <w:rPr>
                <w:rFonts w:ascii="Times New Roman" w:hAnsi="Times New Roman" w:cs="Times New Roman"/>
                <w:sz w:val="24"/>
                <w:szCs w:val="24"/>
              </w:rPr>
              <w:t xml:space="preserve"> "</w:t>
            </w:r>
            <w:r w:rsidR="00A90189" w:rsidRPr="00894D21">
              <w:rPr>
                <w:rFonts w:ascii="Times New Roman" w:hAnsi="Times New Roman" w:cs="Times New Roman"/>
                <w:sz w:val="24"/>
                <w:szCs w:val="24"/>
              </w:rPr>
              <w:t>Statistisko datu par kredītiestāžu un citu monetāro finanšu iestāžu finansiālo stāvokli (MBP) sagatavošanas un iesniegšanas noteikumi</w:t>
            </w:r>
            <w:r w:rsidRPr="00894D21">
              <w:rPr>
                <w:rFonts w:ascii="Times New Roman" w:hAnsi="Times New Roman" w:cs="Times New Roman"/>
                <w:sz w:val="24"/>
                <w:szCs w:val="24"/>
              </w:rPr>
              <w:t>";</w:t>
            </w:r>
          </w:p>
          <w:p w14:paraId="37E58BF7" w14:textId="74F78532" w:rsidR="00A06E04" w:rsidRPr="00D53AC5" w:rsidRDefault="00A06E04" w:rsidP="00D53AC5">
            <w:pPr>
              <w:pStyle w:val="ListParagraph"/>
              <w:numPr>
                <w:ilvl w:val="0"/>
                <w:numId w:val="6"/>
              </w:numPr>
              <w:spacing w:after="120" w:line="240" w:lineRule="auto"/>
              <w:ind w:left="765" w:hanging="408"/>
              <w:jc w:val="both"/>
              <w:rPr>
                <w:rFonts w:ascii="Times New Roman" w:eastAsia="Times New Roman" w:hAnsi="Times New Roman" w:cs="Times New Roman"/>
                <w:lang w:eastAsia="lv-LV"/>
              </w:rPr>
            </w:pPr>
            <w:r w:rsidRPr="00894D21">
              <w:rPr>
                <w:rFonts w:ascii="Times New Roman" w:hAnsi="Times New Roman" w:cs="Times New Roman"/>
                <w:sz w:val="24"/>
                <w:szCs w:val="24"/>
              </w:rPr>
              <w:t>Eiropas Banku iestādes 2019. gada 9. decembra pamatnostādnes EBI/GL/2019/05 "</w:t>
            </w:r>
            <w:r w:rsidRPr="00894D21">
              <w:rPr>
                <w:rFonts w:ascii="Times New Roman" w:hAnsi="Times New Roman" w:cs="Times New Roman"/>
                <w:iCs/>
                <w:sz w:val="24"/>
                <w:szCs w:val="24"/>
              </w:rPr>
              <w:t>Pamatnostādnes par saskaņotām definīcijām un veidnēm kredītiestāžu finansēšanas plāniem saskaņā ar Eiropas Sistēmisko risku kolēģijas 2012. gada 20. decembra ieteikumu (ESRB/2012/2)</w:t>
            </w:r>
            <w:r w:rsidRPr="00894D21">
              <w:rPr>
                <w:rFonts w:ascii="Times New Roman" w:hAnsi="Times New Roman" w:cs="Times New Roman"/>
                <w:sz w:val="24"/>
                <w:szCs w:val="24"/>
              </w:rPr>
              <w:t>"</w:t>
            </w:r>
            <w:r w:rsidR="00B2773A" w:rsidRPr="00894D21">
              <w:rPr>
                <w:rFonts w:ascii="Times New Roman" w:hAnsi="Times New Roman" w:cs="Times New Roman"/>
                <w:sz w:val="24"/>
                <w:szCs w:val="24"/>
              </w:rPr>
              <w:t>.</w:t>
            </w:r>
          </w:p>
        </w:tc>
      </w:tr>
      <w:tr w:rsidR="006C3828" w:rsidRPr="00894D21" w14:paraId="40B6FA4E" w14:textId="77777777">
        <w:trPr>
          <w:trHeight w:val="567"/>
        </w:trPr>
        <w:tc>
          <w:tcPr>
            <w:tcW w:w="987" w:type="pct"/>
            <w:shd w:val="clear" w:color="auto" w:fill="auto"/>
            <w:hideMark/>
          </w:tcPr>
          <w:p w14:paraId="735A198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Saskaņošana ar Eiropas Centrālo banku</w:t>
            </w:r>
          </w:p>
          <w:p w14:paraId="62929148"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2BDC6261" w14:textId="3CCFC56B"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projektu nav nepieciešams saskaņot ar </w:t>
            </w:r>
            <w:r w:rsidR="000C0126" w:rsidRPr="00894D21">
              <w:rPr>
                <w:rFonts w:ascii="Times New Roman" w:eastAsia="Times New Roman" w:hAnsi="Times New Roman" w:cs="Times New Roman"/>
                <w:sz w:val="24"/>
                <w:szCs w:val="24"/>
                <w:lang w:eastAsia="lv-LV"/>
              </w:rPr>
              <w:t>E</w:t>
            </w:r>
            <w:r w:rsidR="00894D21" w:rsidRPr="00894D21">
              <w:rPr>
                <w:rFonts w:ascii="Times New Roman" w:eastAsia="Times New Roman" w:hAnsi="Times New Roman" w:cs="Times New Roman"/>
                <w:sz w:val="24"/>
                <w:szCs w:val="24"/>
                <w:lang w:eastAsia="lv-LV"/>
              </w:rPr>
              <w:t xml:space="preserve">iropas </w:t>
            </w:r>
            <w:r w:rsidR="000C0126" w:rsidRPr="00894D21">
              <w:rPr>
                <w:rFonts w:ascii="Times New Roman" w:eastAsia="Times New Roman" w:hAnsi="Times New Roman" w:cs="Times New Roman"/>
                <w:sz w:val="24"/>
                <w:szCs w:val="24"/>
                <w:lang w:eastAsia="lv-LV"/>
              </w:rPr>
              <w:t>C</w:t>
            </w:r>
            <w:r w:rsidR="00894D21" w:rsidRPr="00894D21">
              <w:rPr>
                <w:rFonts w:ascii="Times New Roman" w:eastAsia="Times New Roman" w:hAnsi="Times New Roman" w:cs="Times New Roman"/>
                <w:sz w:val="24"/>
                <w:szCs w:val="24"/>
                <w:lang w:eastAsia="lv-LV"/>
              </w:rPr>
              <w:t>entrālo banku</w:t>
            </w:r>
            <w:r w:rsidRPr="00894D21">
              <w:rPr>
                <w:rFonts w:ascii="Times New Roman" w:eastAsia="Times New Roman" w:hAnsi="Times New Roman" w:cs="Times New Roman"/>
                <w:sz w:val="24"/>
                <w:szCs w:val="24"/>
                <w:lang w:eastAsia="lv-LV"/>
              </w:rPr>
              <w:t>.</w:t>
            </w:r>
          </w:p>
        </w:tc>
      </w:tr>
      <w:tr w:rsidR="006C3828" w:rsidRPr="00894D21" w14:paraId="496F44FB" w14:textId="77777777">
        <w:trPr>
          <w:trHeight w:val="567"/>
        </w:trPr>
        <w:tc>
          <w:tcPr>
            <w:tcW w:w="987" w:type="pct"/>
            <w:shd w:val="clear" w:color="auto" w:fill="auto"/>
            <w:hideMark/>
          </w:tcPr>
          <w:p w14:paraId="46AD5EB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citām publiskām un privātām personām</w:t>
            </w:r>
          </w:p>
          <w:p w14:paraId="0417B7A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52E22708" w14:textId="46EE17A9" w:rsidR="0080286F" w:rsidRDefault="0080286F" w:rsidP="0080286F">
            <w:pPr>
              <w:pStyle w:val="NormalWeb"/>
              <w:spacing w:after="0" w:afterAutospacing="0"/>
            </w:pPr>
            <w:r>
              <w:t>Noteikumu projekts 202</w:t>
            </w:r>
            <w:r>
              <w:t>4</w:t>
            </w:r>
            <w:r>
              <w:t xml:space="preserve">. gada </w:t>
            </w:r>
            <w:r>
              <w:t>14</w:t>
            </w:r>
            <w:r>
              <w:t>. </w:t>
            </w:r>
            <w:r>
              <w:t>februārī</w:t>
            </w:r>
            <w:r>
              <w:t xml:space="preserve"> tika publicēts Latvijas Bankas tīmekļvietnes </w:t>
            </w:r>
            <w:hyperlink r:id="rId17" w:tgtFrame="_blank" w:tooltip="http://www.bank.lv/" w:history="1">
              <w:r>
                <w:rPr>
                  <w:rStyle w:val="Hyperlink"/>
                </w:rPr>
                <w:t>www.bank.lv</w:t>
              </w:r>
            </w:hyperlink>
            <w:r>
              <w:t xml:space="preserve"> sadaļā "Sabiedrības līdzdalība", un līdz 202</w:t>
            </w:r>
            <w:r>
              <w:t>4</w:t>
            </w:r>
            <w:r>
              <w:t>. gada 2</w:t>
            </w:r>
            <w:r>
              <w:t>8</w:t>
            </w:r>
            <w:r>
              <w:t>. </w:t>
            </w:r>
            <w:r>
              <w:t>februārim</w:t>
            </w:r>
            <w:r>
              <w:t xml:space="preserve"> sabiedrībai bija iespēja iesaistīties tā apspriešanā.</w:t>
            </w:r>
          </w:p>
          <w:p w14:paraId="2CCCD760" w14:textId="20267539" w:rsidR="0080286F" w:rsidRPr="00894D21" w:rsidRDefault="0080286F" w:rsidP="0080286F">
            <w:pPr>
              <w:pStyle w:val="NormalWeb"/>
            </w:pPr>
            <w:r>
              <w:t>Vienlaikus par Noteikumu projektu un notiekošo sabiedrības līdzdalību individuāli tika informēta Latvijas Finanšu nozares asociācija un tās kredītiestādes</w:t>
            </w:r>
            <w:r>
              <w:t xml:space="preserve"> un citās dalībvalstīs reģistrētu kredītiestāžu filiāles</w:t>
            </w:r>
            <w:r>
              <w:t>, kuras nav Latvijas Finanšu nozares asociācijas biedres</w:t>
            </w:r>
            <w:r>
              <w:t>.</w:t>
            </w:r>
          </w:p>
        </w:tc>
      </w:tr>
      <w:tr w:rsidR="006C3828" w:rsidRPr="00894D21" w14:paraId="61D339D9" w14:textId="77777777">
        <w:trPr>
          <w:trHeight w:val="567"/>
        </w:trPr>
        <w:tc>
          <w:tcPr>
            <w:tcW w:w="987" w:type="pct"/>
            <w:shd w:val="clear" w:color="auto" w:fill="auto"/>
            <w:hideMark/>
          </w:tcPr>
          <w:p w14:paraId="4CB6397C"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Saskaņošanas rezultāti</w:t>
            </w:r>
          </w:p>
          <w:p w14:paraId="05C81DE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692F977B" w14:textId="082CEF59" w:rsidR="006C3828" w:rsidRPr="00894D21" w:rsidRDefault="0080286F" w:rsidP="00D53AC5">
            <w:pPr>
              <w:spacing w:after="120" w:line="240" w:lineRule="auto"/>
              <w:jc w:val="both"/>
              <w:rPr>
                <w:rFonts w:ascii="Times New Roman" w:eastAsia="Times New Roman" w:hAnsi="Times New Roman" w:cs="Times New Roman"/>
                <w:sz w:val="24"/>
                <w:szCs w:val="24"/>
                <w:lang w:eastAsia="lv-LV"/>
              </w:rPr>
            </w:pPr>
            <w:r w:rsidRPr="0080286F">
              <w:rPr>
                <w:rFonts w:ascii="Times New Roman" w:eastAsia="Times New Roman" w:hAnsi="Times New Roman" w:cs="Times New Roman"/>
                <w:sz w:val="24"/>
                <w:szCs w:val="24"/>
                <w:lang w:eastAsia="lv-LV"/>
              </w:rPr>
              <w:t>Sabiedrības līdzdalības rezultātā par noteikumu projektu netika saņemti priekšlikumi vai iebildumi. Līdz ar to noteikumu projekts ir saskaņots bez priekšlikumiem vai iebildumiem.</w:t>
            </w:r>
          </w:p>
        </w:tc>
      </w:tr>
    </w:tbl>
    <w:p w14:paraId="086EF7E5" w14:textId="77777777" w:rsidR="00A62B63" w:rsidRPr="0017269A" w:rsidRDefault="00A62B63" w:rsidP="00D53AC5">
      <w:pPr>
        <w:spacing w:line="240" w:lineRule="auto"/>
      </w:pPr>
    </w:p>
    <w:sectPr w:rsidR="00A62B63" w:rsidRPr="0017269A">
      <w:headerReference w:type="default" r:id="rId18"/>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7A8D6" w14:textId="77777777" w:rsidR="00BA6414" w:rsidRDefault="00BA6414" w:rsidP="006C3828">
      <w:pPr>
        <w:spacing w:after="0" w:line="240" w:lineRule="auto"/>
      </w:pPr>
      <w:r>
        <w:separator/>
      </w:r>
    </w:p>
  </w:endnote>
  <w:endnote w:type="continuationSeparator" w:id="0">
    <w:p w14:paraId="680A6DD5" w14:textId="77777777" w:rsidR="00BA6414" w:rsidRDefault="00BA6414" w:rsidP="006C3828">
      <w:pPr>
        <w:spacing w:after="0" w:line="240" w:lineRule="auto"/>
      </w:pPr>
      <w:r>
        <w:continuationSeparator/>
      </w:r>
    </w:p>
  </w:endnote>
  <w:endnote w:type="continuationNotice" w:id="1">
    <w:p w14:paraId="5A1EE3E3" w14:textId="77777777" w:rsidR="00BA6414" w:rsidRDefault="00BA64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92B6F" w14:textId="77777777" w:rsidR="00BA6414" w:rsidRDefault="00BA6414" w:rsidP="006C3828">
      <w:pPr>
        <w:spacing w:after="0" w:line="240" w:lineRule="auto"/>
      </w:pPr>
      <w:r>
        <w:separator/>
      </w:r>
    </w:p>
  </w:footnote>
  <w:footnote w:type="continuationSeparator" w:id="0">
    <w:p w14:paraId="2ADBF945" w14:textId="77777777" w:rsidR="00BA6414" w:rsidRDefault="00BA6414" w:rsidP="006C3828">
      <w:pPr>
        <w:spacing w:after="0" w:line="240" w:lineRule="auto"/>
      </w:pPr>
      <w:r>
        <w:continuationSeparator/>
      </w:r>
    </w:p>
  </w:footnote>
  <w:footnote w:type="continuationNotice" w:id="1">
    <w:p w14:paraId="33D53A2B" w14:textId="77777777" w:rsidR="00BA6414" w:rsidRDefault="00BA6414">
      <w:pPr>
        <w:spacing w:after="0" w:line="240" w:lineRule="auto"/>
      </w:pPr>
    </w:p>
  </w:footnote>
  <w:footnote w:id="2">
    <w:p w14:paraId="64C377D2" w14:textId="41E8DBFF" w:rsidR="001E2E7A" w:rsidRPr="00D53AC5" w:rsidRDefault="00056B91">
      <w:pPr>
        <w:pStyle w:val="FootnoteText"/>
        <w:rPr>
          <w:rFonts w:ascii="Times New Roman" w:hAnsi="Times New Roman" w:cs="Times New Roman"/>
        </w:rPr>
      </w:pPr>
      <w:r>
        <w:rPr>
          <w:rStyle w:val="FootnoteReference"/>
        </w:rPr>
        <w:t>*</w:t>
      </w:r>
      <w:r w:rsidRPr="00D53AC5">
        <w:rPr>
          <w:rFonts w:ascii="Times New Roman" w:hAnsi="Times New Roman" w:cs="Times New Roman"/>
        </w:rPr>
        <w:t xml:space="preserve"> </w:t>
      </w:r>
      <w:hyperlink r:id="rId1" w:history="1">
        <w:r w:rsidRPr="00D53AC5">
          <w:rPr>
            <w:rStyle w:val="Hyperlink"/>
            <w:rFonts w:ascii="Times New Roman" w:hAnsi="Times New Roman" w:cs="Times New Roman"/>
          </w:rPr>
          <w:t>https://www.csp.gov.lv/lv/klasifikacija/buvju-klasifikacija</w:t>
        </w:r>
      </w:hyperlink>
      <w:r w:rsidRPr="00D53AC5">
        <w:rPr>
          <w:rFonts w:ascii="Times New Roman" w:hAnsi="Times New Roman" w:cs="Times New Roman"/>
        </w:rPr>
        <w:t xml:space="preserve"> un </w:t>
      </w:r>
      <w:hyperlink r:id="rId2" w:history="1">
        <w:r w:rsidR="001E2E7A" w:rsidRPr="00D53AC5">
          <w:rPr>
            <w:rStyle w:val="Hyperlink"/>
            <w:rFonts w:ascii="Times New Roman" w:hAnsi="Times New Roman" w:cs="Times New Roman"/>
          </w:rPr>
          <w:t>https://www.csp.gov.lv/lv/klasifikacija/atvk-2021/administrativo-teritoriju-un-teritoriala-iedalijuma-vienibu-klasifikators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D53AC5" w:rsidRDefault="00680366">
        <w:pPr>
          <w:pStyle w:val="Header"/>
          <w:jc w:val="center"/>
          <w:rPr>
            <w:rFonts w:ascii="Times New Roman" w:hAnsi="Times New Roman" w:cs="Times New Roman"/>
            <w:sz w:val="24"/>
            <w:szCs w:val="24"/>
          </w:rPr>
        </w:pPr>
        <w:r w:rsidRPr="00D53AC5">
          <w:rPr>
            <w:rFonts w:ascii="Times New Roman" w:hAnsi="Times New Roman" w:cs="Times New Roman"/>
            <w:sz w:val="24"/>
            <w:szCs w:val="24"/>
          </w:rPr>
          <w:fldChar w:fldCharType="begin"/>
        </w:r>
        <w:r w:rsidRPr="00D53AC5">
          <w:rPr>
            <w:rFonts w:ascii="Times New Roman" w:hAnsi="Times New Roman" w:cs="Times New Roman"/>
            <w:sz w:val="24"/>
            <w:szCs w:val="24"/>
          </w:rPr>
          <w:instrText>PAGE   \* MERGEFORMAT</w:instrText>
        </w:r>
        <w:r w:rsidRPr="00D53AC5">
          <w:rPr>
            <w:rFonts w:ascii="Times New Roman" w:hAnsi="Times New Roman" w:cs="Times New Roman"/>
            <w:sz w:val="24"/>
            <w:szCs w:val="24"/>
          </w:rPr>
          <w:fldChar w:fldCharType="separate"/>
        </w:r>
        <w:r w:rsidRPr="00D53AC5">
          <w:rPr>
            <w:rFonts w:ascii="Times New Roman" w:hAnsi="Times New Roman" w:cs="Times New Roman"/>
            <w:sz w:val="24"/>
            <w:szCs w:val="24"/>
          </w:rPr>
          <w:t>2</w:t>
        </w:r>
        <w:r w:rsidRPr="00D53AC5">
          <w:rPr>
            <w:rFonts w:ascii="Times New Roman" w:hAnsi="Times New Roman" w:cs="Times New Roman"/>
            <w:sz w:val="24"/>
            <w:szCs w:val="24"/>
          </w:rPr>
          <w:fldChar w:fldCharType="end"/>
        </w:r>
      </w:p>
    </w:sdtContent>
  </w:sdt>
  <w:p w14:paraId="46711C9B" w14:textId="77777777" w:rsidR="00680366"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2"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3"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3C1558E"/>
    <w:multiLevelType w:val="hybridMultilevel"/>
    <w:tmpl w:val="BAC8FABE"/>
    <w:lvl w:ilvl="0" w:tplc="FFFFFFFF">
      <w:start w:val="1"/>
      <w:numFmt w:val="decimal"/>
      <w:lvlText w:val="%1)"/>
      <w:lvlJc w:val="left"/>
      <w:pPr>
        <w:ind w:left="927"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6"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7"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3988287">
    <w:abstractNumId w:val="4"/>
  </w:num>
  <w:num w:numId="2" w16cid:durableId="66001806">
    <w:abstractNumId w:val="0"/>
  </w:num>
  <w:num w:numId="3" w16cid:durableId="1474834947">
    <w:abstractNumId w:val="7"/>
  </w:num>
  <w:num w:numId="4" w16cid:durableId="995378933">
    <w:abstractNumId w:val="6"/>
  </w:num>
  <w:num w:numId="5" w16cid:durableId="610938957">
    <w:abstractNumId w:val="1"/>
  </w:num>
  <w:num w:numId="6" w16cid:durableId="1992098003">
    <w:abstractNumId w:val="3"/>
  </w:num>
  <w:num w:numId="7" w16cid:durableId="1446123305">
    <w:abstractNumId w:val="5"/>
  </w:num>
  <w:num w:numId="8" w16cid:durableId="20203069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BA7"/>
    <w:rsid w:val="00002BCB"/>
    <w:rsid w:val="000033A4"/>
    <w:rsid w:val="00005CBA"/>
    <w:rsid w:val="00007625"/>
    <w:rsid w:val="00011527"/>
    <w:rsid w:val="0001158A"/>
    <w:rsid w:val="00011E6A"/>
    <w:rsid w:val="000128D4"/>
    <w:rsid w:val="00013F7A"/>
    <w:rsid w:val="00015F04"/>
    <w:rsid w:val="00016559"/>
    <w:rsid w:val="00016CFF"/>
    <w:rsid w:val="00017EBF"/>
    <w:rsid w:val="00020E1E"/>
    <w:rsid w:val="00023D0D"/>
    <w:rsid w:val="00025657"/>
    <w:rsid w:val="00026C7F"/>
    <w:rsid w:val="00031030"/>
    <w:rsid w:val="000346F9"/>
    <w:rsid w:val="00043BB1"/>
    <w:rsid w:val="00044039"/>
    <w:rsid w:val="000457D9"/>
    <w:rsid w:val="000460F0"/>
    <w:rsid w:val="00046130"/>
    <w:rsid w:val="00046B32"/>
    <w:rsid w:val="00051FF1"/>
    <w:rsid w:val="000546BD"/>
    <w:rsid w:val="00055599"/>
    <w:rsid w:val="000569F4"/>
    <w:rsid w:val="00056B91"/>
    <w:rsid w:val="0005752D"/>
    <w:rsid w:val="000651A4"/>
    <w:rsid w:val="00070B88"/>
    <w:rsid w:val="00071E26"/>
    <w:rsid w:val="0007692E"/>
    <w:rsid w:val="00086723"/>
    <w:rsid w:val="000916EA"/>
    <w:rsid w:val="000A1E24"/>
    <w:rsid w:val="000A2BA1"/>
    <w:rsid w:val="000B6C81"/>
    <w:rsid w:val="000C0126"/>
    <w:rsid w:val="000C0D4C"/>
    <w:rsid w:val="000C158C"/>
    <w:rsid w:val="000C2B69"/>
    <w:rsid w:val="000D4CBC"/>
    <w:rsid w:val="000E0577"/>
    <w:rsid w:val="000E346A"/>
    <w:rsid w:val="000E3AFF"/>
    <w:rsid w:val="000F0ED6"/>
    <w:rsid w:val="000F3ABE"/>
    <w:rsid w:val="000F4375"/>
    <w:rsid w:val="000F5E18"/>
    <w:rsid w:val="000F7131"/>
    <w:rsid w:val="000F7294"/>
    <w:rsid w:val="00100870"/>
    <w:rsid w:val="00100B55"/>
    <w:rsid w:val="0010366B"/>
    <w:rsid w:val="001038B2"/>
    <w:rsid w:val="00105FBE"/>
    <w:rsid w:val="0011062E"/>
    <w:rsid w:val="00110D41"/>
    <w:rsid w:val="001120C9"/>
    <w:rsid w:val="00114B2A"/>
    <w:rsid w:val="00123B5A"/>
    <w:rsid w:val="00131096"/>
    <w:rsid w:val="00132833"/>
    <w:rsid w:val="00133AA4"/>
    <w:rsid w:val="00133DD1"/>
    <w:rsid w:val="00141AB9"/>
    <w:rsid w:val="0015034B"/>
    <w:rsid w:val="00155273"/>
    <w:rsid w:val="00160409"/>
    <w:rsid w:val="0016071E"/>
    <w:rsid w:val="0017269A"/>
    <w:rsid w:val="00172B56"/>
    <w:rsid w:val="00193502"/>
    <w:rsid w:val="001A0DD7"/>
    <w:rsid w:val="001B08A2"/>
    <w:rsid w:val="001B4086"/>
    <w:rsid w:val="001B6287"/>
    <w:rsid w:val="001B7557"/>
    <w:rsid w:val="001C4B26"/>
    <w:rsid w:val="001C51F0"/>
    <w:rsid w:val="001C6278"/>
    <w:rsid w:val="001D0A40"/>
    <w:rsid w:val="001D15F6"/>
    <w:rsid w:val="001D3420"/>
    <w:rsid w:val="001E2E7A"/>
    <w:rsid w:val="001E3896"/>
    <w:rsid w:val="001E5AFF"/>
    <w:rsid w:val="001E718D"/>
    <w:rsid w:val="001E7AF1"/>
    <w:rsid w:val="001E7E15"/>
    <w:rsid w:val="001F069D"/>
    <w:rsid w:val="001F4690"/>
    <w:rsid w:val="001F55A2"/>
    <w:rsid w:val="001F6F78"/>
    <w:rsid w:val="00201593"/>
    <w:rsid w:val="00202AFF"/>
    <w:rsid w:val="00207DA3"/>
    <w:rsid w:val="002134DD"/>
    <w:rsid w:val="0021534E"/>
    <w:rsid w:val="00220CBD"/>
    <w:rsid w:val="0022224A"/>
    <w:rsid w:val="00226480"/>
    <w:rsid w:val="00227386"/>
    <w:rsid w:val="0023330A"/>
    <w:rsid w:val="002359D1"/>
    <w:rsid w:val="00237A0A"/>
    <w:rsid w:val="00245C21"/>
    <w:rsid w:val="00246E1F"/>
    <w:rsid w:val="002522C7"/>
    <w:rsid w:val="00253E4A"/>
    <w:rsid w:val="00257CA0"/>
    <w:rsid w:val="00260E91"/>
    <w:rsid w:val="00261400"/>
    <w:rsid w:val="00262330"/>
    <w:rsid w:val="00264914"/>
    <w:rsid w:val="00276C94"/>
    <w:rsid w:val="002821EA"/>
    <w:rsid w:val="00284D38"/>
    <w:rsid w:val="002855C4"/>
    <w:rsid w:val="00286B90"/>
    <w:rsid w:val="0028721D"/>
    <w:rsid w:val="00296A1E"/>
    <w:rsid w:val="00296D06"/>
    <w:rsid w:val="00297444"/>
    <w:rsid w:val="002A7D54"/>
    <w:rsid w:val="002B382B"/>
    <w:rsid w:val="002B3947"/>
    <w:rsid w:val="002C058B"/>
    <w:rsid w:val="002C0712"/>
    <w:rsid w:val="002C10BB"/>
    <w:rsid w:val="002C2A7E"/>
    <w:rsid w:val="002C3E3C"/>
    <w:rsid w:val="002C409A"/>
    <w:rsid w:val="002D17C7"/>
    <w:rsid w:val="002D62BB"/>
    <w:rsid w:val="002D7927"/>
    <w:rsid w:val="002E2076"/>
    <w:rsid w:val="002E6B3F"/>
    <w:rsid w:val="002F30E4"/>
    <w:rsid w:val="002F607C"/>
    <w:rsid w:val="002F6857"/>
    <w:rsid w:val="002F77FB"/>
    <w:rsid w:val="00306230"/>
    <w:rsid w:val="00306672"/>
    <w:rsid w:val="00310EDD"/>
    <w:rsid w:val="003134F1"/>
    <w:rsid w:val="003231B3"/>
    <w:rsid w:val="00326362"/>
    <w:rsid w:val="00331BC3"/>
    <w:rsid w:val="0033661A"/>
    <w:rsid w:val="00341646"/>
    <w:rsid w:val="00342AF3"/>
    <w:rsid w:val="003447BE"/>
    <w:rsid w:val="0035787E"/>
    <w:rsid w:val="00361CD6"/>
    <w:rsid w:val="00366E75"/>
    <w:rsid w:val="00370DA6"/>
    <w:rsid w:val="00374AC8"/>
    <w:rsid w:val="00376741"/>
    <w:rsid w:val="0038189C"/>
    <w:rsid w:val="00386D44"/>
    <w:rsid w:val="00393061"/>
    <w:rsid w:val="003930E2"/>
    <w:rsid w:val="003978C0"/>
    <w:rsid w:val="003A1DB0"/>
    <w:rsid w:val="003A3DAC"/>
    <w:rsid w:val="003A5B12"/>
    <w:rsid w:val="003A6361"/>
    <w:rsid w:val="003B25C0"/>
    <w:rsid w:val="003C08FF"/>
    <w:rsid w:val="003C3E41"/>
    <w:rsid w:val="003C653B"/>
    <w:rsid w:val="003D2EFB"/>
    <w:rsid w:val="003D5703"/>
    <w:rsid w:val="003D6EDD"/>
    <w:rsid w:val="003E7A38"/>
    <w:rsid w:val="003F3117"/>
    <w:rsid w:val="003F4CCA"/>
    <w:rsid w:val="003F511D"/>
    <w:rsid w:val="003F6C76"/>
    <w:rsid w:val="003F7A1F"/>
    <w:rsid w:val="00406646"/>
    <w:rsid w:val="004069D7"/>
    <w:rsid w:val="00415E32"/>
    <w:rsid w:val="00415F0F"/>
    <w:rsid w:val="004228C1"/>
    <w:rsid w:val="00424089"/>
    <w:rsid w:val="00425111"/>
    <w:rsid w:val="00427EFC"/>
    <w:rsid w:val="00440995"/>
    <w:rsid w:val="004457B0"/>
    <w:rsid w:val="00447D0E"/>
    <w:rsid w:val="0045291E"/>
    <w:rsid w:val="0045317F"/>
    <w:rsid w:val="00453F22"/>
    <w:rsid w:val="004544FD"/>
    <w:rsid w:val="004607F0"/>
    <w:rsid w:val="00460E2E"/>
    <w:rsid w:val="004712F1"/>
    <w:rsid w:val="0047310B"/>
    <w:rsid w:val="00483980"/>
    <w:rsid w:val="00484BD5"/>
    <w:rsid w:val="00484CFB"/>
    <w:rsid w:val="0048525E"/>
    <w:rsid w:val="004920FA"/>
    <w:rsid w:val="00492A77"/>
    <w:rsid w:val="00496BCF"/>
    <w:rsid w:val="00497C64"/>
    <w:rsid w:val="004A1DC3"/>
    <w:rsid w:val="004A2553"/>
    <w:rsid w:val="004B1143"/>
    <w:rsid w:val="004C112D"/>
    <w:rsid w:val="004C233F"/>
    <w:rsid w:val="004C2AB3"/>
    <w:rsid w:val="004C4E47"/>
    <w:rsid w:val="004D0490"/>
    <w:rsid w:val="004D25FC"/>
    <w:rsid w:val="004D40FF"/>
    <w:rsid w:val="004D5195"/>
    <w:rsid w:val="004D5704"/>
    <w:rsid w:val="004E6BCE"/>
    <w:rsid w:val="004F01AD"/>
    <w:rsid w:val="004F02A7"/>
    <w:rsid w:val="004F3EC2"/>
    <w:rsid w:val="004F5B9C"/>
    <w:rsid w:val="004F7AA5"/>
    <w:rsid w:val="005005A6"/>
    <w:rsid w:val="00500796"/>
    <w:rsid w:val="005079B0"/>
    <w:rsid w:val="00511299"/>
    <w:rsid w:val="005167A1"/>
    <w:rsid w:val="00516ADD"/>
    <w:rsid w:val="00517E8B"/>
    <w:rsid w:val="0052442B"/>
    <w:rsid w:val="00526DB7"/>
    <w:rsid w:val="00530FE0"/>
    <w:rsid w:val="005329F4"/>
    <w:rsid w:val="005333C9"/>
    <w:rsid w:val="00533B01"/>
    <w:rsid w:val="00533B50"/>
    <w:rsid w:val="00535960"/>
    <w:rsid w:val="00541ECF"/>
    <w:rsid w:val="00545CC7"/>
    <w:rsid w:val="0055074B"/>
    <w:rsid w:val="0055241A"/>
    <w:rsid w:val="00554136"/>
    <w:rsid w:val="005554D7"/>
    <w:rsid w:val="00556D06"/>
    <w:rsid w:val="005619C0"/>
    <w:rsid w:val="00561BA6"/>
    <w:rsid w:val="00561E86"/>
    <w:rsid w:val="00563287"/>
    <w:rsid w:val="00567A9C"/>
    <w:rsid w:val="00570818"/>
    <w:rsid w:val="00581381"/>
    <w:rsid w:val="00583F25"/>
    <w:rsid w:val="0058754A"/>
    <w:rsid w:val="00591CBF"/>
    <w:rsid w:val="005970F5"/>
    <w:rsid w:val="005A4392"/>
    <w:rsid w:val="005A4DDD"/>
    <w:rsid w:val="005B26BA"/>
    <w:rsid w:val="005B36FC"/>
    <w:rsid w:val="005D36EC"/>
    <w:rsid w:val="005D6FC6"/>
    <w:rsid w:val="005D793C"/>
    <w:rsid w:val="005E1DBA"/>
    <w:rsid w:val="005E2A59"/>
    <w:rsid w:val="005E3382"/>
    <w:rsid w:val="005E3DF1"/>
    <w:rsid w:val="005F0919"/>
    <w:rsid w:val="005F10BB"/>
    <w:rsid w:val="005F4ECC"/>
    <w:rsid w:val="005F660A"/>
    <w:rsid w:val="005F67CC"/>
    <w:rsid w:val="005F7915"/>
    <w:rsid w:val="006055D6"/>
    <w:rsid w:val="006064AD"/>
    <w:rsid w:val="0061086B"/>
    <w:rsid w:val="00613D58"/>
    <w:rsid w:val="00616F84"/>
    <w:rsid w:val="006170AC"/>
    <w:rsid w:val="006218CC"/>
    <w:rsid w:val="00621F4F"/>
    <w:rsid w:val="00624231"/>
    <w:rsid w:val="006248DB"/>
    <w:rsid w:val="00631E97"/>
    <w:rsid w:val="00634938"/>
    <w:rsid w:val="0063542F"/>
    <w:rsid w:val="00643F90"/>
    <w:rsid w:val="00646AD1"/>
    <w:rsid w:val="0065104E"/>
    <w:rsid w:val="006570A1"/>
    <w:rsid w:val="00660A87"/>
    <w:rsid w:val="00660BB1"/>
    <w:rsid w:val="00660F6C"/>
    <w:rsid w:val="00661EC6"/>
    <w:rsid w:val="00662AB8"/>
    <w:rsid w:val="00664457"/>
    <w:rsid w:val="00671872"/>
    <w:rsid w:val="00680242"/>
    <w:rsid w:val="00680366"/>
    <w:rsid w:val="00682971"/>
    <w:rsid w:val="0068362A"/>
    <w:rsid w:val="00685523"/>
    <w:rsid w:val="00687FD4"/>
    <w:rsid w:val="00690481"/>
    <w:rsid w:val="0069208D"/>
    <w:rsid w:val="006A1E74"/>
    <w:rsid w:val="006A2A11"/>
    <w:rsid w:val="006A4A2E"/>
    <w:rsid w:val="006A4D71"/>
    <w:rsid w:val="006B2A55"/>
    <w:rsid w:val="006B3421"/>
    <w:rsid w:val="006B461C"/>
    <w:rsid w:val="006B4F70"/>
    <w:rsid w:val="006C3828"/>
    <w:rsid w:val="006C429D"/>
    <w:rsid w:val="006C5842"/>
    <w:rsid w:val="006C72AD"/>
    <w:rsid w:val="006D0296"/>
    <w:rsid w:val="006D0D37"/>
    <w:rsid w:val="006D1B49"/>
    <w:rsid w:val="006D2A84"/>
    <w:rsid w:val="006D5A35"/>
    <w:rsid w:val="006F7B9A"/>
    <w:rsid w:val="007021CC"/>
    <w:rsid w:val="0071033A"/>
    <w:rsid w:val="007218F1"/>
    <w:rsid w:val="007223D9"/>
    <w:rsid w:val="00722DEF"/>
    <w:rsid w:val="00732243"/>
    <w:rsid w:val="007357DC"/>
    <w:rsid w:val="00737E9C"/>
    <w:rsid w:val="00740596"/>
    <w:rsid w:val="00742F43"/>
    <w:rsid w:val="00745442"/>
    <w:rsid w:val="00746B48"/>
    <w:rsid w:val="007471E3"/>
    <w:rsid w:val="0074791A"/>
    <w:rsid w:val="0075531E"/>
    <w:rsid w:val="00757B75"/>
    <w:rsid w:val="007676EA"/>
    <w:rsid w:val="00767878"/>
    <w:rsid w:val="00773EED"/>
    <w:rsid w:val="007816B1"/>
    <w:rsid w:val="00781A3E"/>
    <w:rsid w:val="00790887"/>
    <w:rsid w:val="00792ADE"/>
    <w:rsid w:val="00794470"/>
    <w:rsid w:val="00794EAF"/>
    <w:rsid w:val="0079577C"/>
    <w:rsid w:val="00796745"/>
    <w:rsid w:val="007B13FC"/>
    <w:rsid w:val="007B15A3"/>
    <w:rsid w:val="007B1B00"/>
    <w:rsid w:val="007B2A2B"/>
    <w:rsid w:val="007B315A"/>
    <w:rsid w:val="007B49FC"/>
    <w:rsid w:val="007B75B9"/>
    <w:rsid w:val="007B7B16"/>
    <w:rsid w:val="007B7C21"/>
    <w:rsid w:val="007C300A"/>
    <w:rsid w:val="007C7D57"/>
    <w:rsid w:val="007D1EBF"/>
    <w:rsid w:val="007D3112"/>
    <w:rsid w:val="007D4BE3"/>
    <w:rsid w:val="007E0362"/>
    <w:rsid w:val="007E0BD3"/>
    <w:rsid w:val="007E125A"/>
    <w:rsid w:val="007E378B"/>
    <w:rsid w:val="007E3AB6"/>
    <w:rsid w:val="007E4051"/>
    <w:rsid w:val="007E452C"/>
    <w:rsid w:val="007E520B"/>
    <w:rsid w:val="007F1630"/>
    <w:rsid w:val="007F1C0E"/>
    <w:rsid w:val="007F1C71"/>
    <w:rsid w:val="007F2955"/>
    <w:rsid w:val="007F2988"/>
    <w:rsid w:val="007F4D10"/>
    <w:rsid w:val="007F72B4"/>
    <w:rsid w:val="008014BA"/>
    <w:rsid w:val="0080286F"/>
    <w:rsid w:val="00804C24"/>
    <w:rsid w:val="00812050"/>
    <w:rsid w:val="008141E0"/>
    <w:rsid w:val="00817DDC"/>
    <w:rsid w:val="0082342F"/>
    <w:rsid w:val="0082704A"/>
    <w:rsid w:val="00830973"/>
    <w:rsid w:val="00830C70"/>
    <w:rsid w:val="00831F05"/>
    <w:rsid w:val="008342B7"/>
    <w:rsid w:val="008347DA"/>
    <w:rsid w:val="0083648E"/>
    <w:rsid w:val="00841A2A"/>
    <w:rsid w:val="00842DAA"/>
    <w:rsid w:val="008433D4"/>
    <w:rsid w:val="00854255"/>
    <w:rsid w:val="0086087C"/>
    <w:rsid w:val="00861FCB"/>
    <w:rsid w:val="0086200A"/>
    <w:rsid w:val="0086312A"/>
    <w:rsid w:val="00863C7B"/>
    <w:rsid w:val="008730EE"/>
    <w:rsid w:val="00873448"/>
    <w:rsid w:val="00875D2F"/>
    <w:rsid w:val="008778BB"/>
    <w:rsid w:val="00880843"/>
    <w:rsid w:val="0088143D"/>
    <w:rsid w:val="00881F26"/>
    <w:rsid w:val="00882736"/>
    <w:rsid w:val="00883EEF"/>
    <w:rsid w:val="00887CBC"/>
    <w:rsid w:val="008929B8"/>
    <w:rsid w:val="00894480"/>
    <w:rsid w:val="00894D21"/>
    <w:rsid w:val="00895104"/>
    <w:rsid w:val="00896DBD"/>
    <w:rsid w:val="00897948"/>
    <w:rsid w:val="00897A62"/>
    <w:rsid w:val="008A3468"/>
    <w:rsid w:val="008A3794"/>
    <w:rsid w:val="008A5438"/>
    <w:rsid w:val="008B0683"/>
    <w:rsid w:val="008B090E"/>
    <w:rsid w:val="008B1929"/>
    <w:rsid w:val="008B3C23"/>
    <w:rsid w:val="008B702A"/>
    <w:rsid w:val="008C6EEC"/>
    <w:rsid w:val="008D0C1B"/>
    <w:rsid w:val="008D0DC2"/>
    <w:rsid w:val="008D58BD"/>
    <w:rsid w:val="008E1212"/>
    <w:rsid w:val="008F1372"/>
    <w:rsid w:val="008F729E"/>
    <w:rsid w:val="00901061"/>
    <w:rsid w:val="0090117F"/>
    <w:rsid w:val="0090232B"/>
    <w:rsid w:val="00907E79"/>
    <w:rsid w:val="00916EC1"/>
    <w:rsid w:val="00921630"/>
    <w:rsid w:val="0092266E"/>
    <w:rsid w:val="009226BF"/>
    <w:rsid w:val="00922B4A"/>
    <w:rsid w:val="0093282C"/>
    <w:rsid w:val="00933239"/>
    <w:rsid w:val="00951C31"/>
    <w:rsid w:val="00954C36"/>
    <w:rsid w:val="00955419"/>
    <w:rsid w:val="009607EA"/>
    <w:rsid w:val="0096545F"/>
    <w:rsid w:val="00965525"/>
    <w:rsid w:val="00972EE3"/>
    <w:rsid w:val="00974CF6"/>
    <w:rsid w:val="0097512B"/>
    <w:rsid w:val="00975C81"/>
    <w:rsid w:val="0098127D"/>
    <w:rsid w:val="00986340"/>
    <w:rsid w:val="00987457"/>
    <w:rsid w:val="0099023D"/>
    <w:rsid w:val="00990C7D"/>
    <w:rsid w:val="00993856"/>
    <w:rsid w:val="009A1427"/>
    <w:rsid w:val="009A2505"/>
    <w:rsid w:val="009A27C5"/>
    <w:rsid w:val="009B1E0B"/>
    <w:rsid w:val="009C3E75"/>
    <w:rsid w:val="009D0104"/>
    <w:rsid w:val="009D13B7"/>
    <w:rsid w:val="009D2D30"/>
    <w:rsid w:val="009D4488"/>
    <w:rsid w:val="009D787C"/>
    <w:rsid w:val="009D799F"/>
    <w:rsid w:val="009E3C28"/>
    <w:rsid w:val="009E4874"/>
    <w:rsid w:val="009E69DC"/>
    <w:rsid w:val="009E7B0E"/>
    <w:rsid w:val="009F4C41"/>
    <w:rsid w:val="009F4DED"/>
    <w:rsid w:val="009F58E5"/>
    <w:rsid w:val="00A02D03"/>
    <w:rsid w:val="00A031C6"/>
    <w:rsid w:val="00A0462E"/>
    <w:rsid w:val="00A04E33"/>
    <w:rsid w:val="00A06E04"/>
    <w:rsid w:val="00A07E5B"/>
    <w:rsid w:val="00A07F57"/>
    <w:rsid w:val="00A11613"/>
    <w:rsid w:val="00A222EC"/>
    <w:rsid w:val="00A35B78"/>
    <w:rsid w:val="00A35C14"/>
    <w:rsid w:val="00A37114"/>
    <w:rsid w:val="00A372E9"/>
    <w:rsid w:val="00A413F5"/>
    <w:rsid w:val="00A428D2"/>
    <w:rsid w:val="00A443D9"/>
    <w:rsid w:val="00A44A82"/>
    <w:rsid w:val="00A4569C"/>
    <w:rsid w:val="00A47EB1"/>
    <w:rsid w:val="00A50F6C"/>
    <w:rsid w:val="00A54733"/>
    <w:rsid w:val="00A56648"/>
    <w:rsid w:val="00A62B63"/>
    <w:rsid w:val="00A64349"/>
    <w:rsid w:val="00A66566"/>
    <w:rsid w:val="00A66EEF"/>
    <w:rsid w:val="00A673F4"/>
    <w:rsid w:val="00A7604B"/>
    <w:rsid w:val="00A8548C"/>
    <w:rsid w:val="00A90189"/>
    <w:rsid w:val="00A90BD4"/>
    <w:rsid w:val="00A968A4"/>
    <w:rsid w:val="00AA2BB5"/>
    <w:rsid w:val="00AA2F5E"/>
    <w:rsid w:val="00AA5AB1"/>
    <w:rsid w:val="00AB25B1"/>
    <w:rsid w:val="00AB55C6"/>
    <w:rsid w:val="00AB66B0"/>
    <w:rsid w:val="00AB6738"/>
    <w:rsid w:val="00AB7167"/>
    <w:rsid w:val="00AC1A75"/>
    <w:rsid w:val="00AC1D96"/>
    <w:rsid w:val="00AC4761"/>
    <w:rsid w:val="00AD0DA2"/>
    <w:rsid w:val="00AD42FC"/>
    <w:rsid w:val="00AD5BE6"/>
    <w:rsid w:val="00AD6B42"/>
    <w:rsid w:val="00AD79E6"/>
    <w:rsid w:val="00AE07C5"/>
    <w:rsid w:val="00AE4F02"/>
    <w:rsid w:val="00AE52D9"/>
    <w:rsid w:val="00AF1013"/>
    <w:rsid w:val="00B00C35"/>
    <w:rsid w:val="00B01DB0"/>
    <w:rsid w:val="00B0470C"/>
    <w:rsid w:val="00B1460F"/>
    <w:rsid w:val="00B203C0"/>
    <w:rsid w:val="00B25316"/>
    <w:rsid w:val="00B25C30"/>
    <w:rsid w:val="00B25E9A"/>
    <w:rsid w:val="00B26309"/>
    <w:rsid w:val="00B26CA2"/>
    <w:rsid w:val="00B2773A"/>
    <w:rsid w:val="00B32147"/>
    <w:rsid w:val="00B36448"/>
    <w:rsid w:val="00B37735"/>
    <w:rsid w:val="00B45014"/>
    <w:rsid w:val="00B52652"/>
    <w:rsid w:val="00B538D8"/>
    <w:rsid w:val="00B55483"/>
    <w:rsid w:val="00B60307"/>
    <w:rsid w:val="00B609BE"/>
    <w:rsid w:val="00B62977"/>
    <w:rsid w:val="00B634A0"/>
    <w:rsid w:val="00B71A08"/>
    <w:rsid w:val="00B71E28"/>
    <w:rsid w:val="00B73FB5"/>
    <w:rsid w:val="00B76CDA"/>
    <w:rsid w:val="00B77A4B"/>
    <w:rsid w:val="00B823AC"/>
    <w:rsid w:val="00B86268"/>
    <w:rsid w:val="00B8646A"/>
    <w:rsid w:val="00B87348"/>
    <w:rsid w:val="00BA158A"/>
    <w:rsid w:val="00BA3DDB"/>
    <w:rsid w:val="00BA6414"/>
    <w:rsid w:val="00BA7271"/>
    <w:rsid w:val="00BA7799"/>
    <w:rsid w:val="00BA7EB2"/>
    <w:rsid w:val="00BB4163"/>
    <w:rsid w:val="00BB43FE"/>
    <w:rsid w:val="00BB4736"/>
    <w:rsid w:val="00BC41FD"/>
    <w:rsid w:val="00BD24BE"/>
    <w:rsid w:val="00BD4DF2"/>
    <w:rsid w:val="00BD6060"/>
    <w:rsid w:val="00BE026C"/>
    <w:rsid w:val="00BE1575"/>
    <w:rsid w:val="00BF3363"/>
    <w:rsid w:val="00BF37CB"/>
    <w:rsid w:val="00C00109"/>
    <w:rsid w:val="00C00A0B"/>
    <w:rsid w:val="00C027EF"/>
    <w:rsid w:val="00C03D36"/>
    <w:rsid w:val="00C05B30"/>
    <w:rsid w:val="00C067BE"/>
    <w:rsid w:val="00C071E2"/>
    <w:rsid w:val="00C07E3E"/>
    <w:rsid w:val="00C100BE"/>
    <w:rsid w:val="00C107CB"/>
    <w:rsid w:val="00C15D72"/>
    <w:rsid w:val="00C17CB8"/>
    <w:rsid w:val="00C20122"/>
    <w:rsid w:val="00C22272"/>
    <w:rsid w:val="00C2291F"/>
    <w:rsid w:val="00C24C64"/>
    <w:rsid w:val="00C2524C"/>
    <w:rsid w:val="00C32023"/>
    <w:rsid w:val="00C32E5B"/>
    <w:rsid w:val="00C377E1"/>
    <w:rsid w:val="00C40452"/>
    <w:rsid w:val="00C41B5C"/>
    <w:rsid w:val="00C420E2"/>
    <w:rsid w:val="00C46E8B"/>
    <w:rsid w:val="00C46EFD"/>
    <w:rsid w:val="00C5179B"/>
    <w:rsid w:val="00C52588"/>
    <w:rsid w:val="00C601BD"/>
    <w:rsid w:val="00C60929"/>
    <w:rsid w:val="00C70EFE"/>
    <w:rsid w:val="00C710DD"/>
    <w:rsid w:val="00C81530"/>
    <w:rsid w:val="00C8323B"/>
    <w:rsid w:val="00C86378"/>
    <w:rsid w:val="00C92D8B"/>
    <w:rsid w:val="00C948CA"/>
    <w:rsid w:val="00C96BDD"/>
    <w:rsid w:val="00C97300"/>
    <w:rsid w:val="00CA24FD"/>
    <w:rsid w:val="00CA2A0A"/>
    <w:rsid w:val="00CA7A24"/>
    <w:rsid w:val="00CB559B"/>
    <w:rsid w:val="00CC47B6"/>
    <w:rsid w:val="00CC6538"/>
    <w:rsid w:val="00CD3645"/>
    <w:rsid w:val="00CE1BD6"/>
    <w:rsid w:val="00CF2312"/>
    <w:rsid w:val="00CF3F5A"/>
    <w:rsid w:val="00CF74C0"/>
    <w:rsid w:val="00D112A9"/>
    <w:rsid w:val="00D135C9"/>
    <w:rsid w:val="00D16368"/>
    <w:rsid w:val="00D22BCE"/>
    <w:rsid w:val="00D255A8"/>
    <w:rsid w:val="00D26E32"/>
    <w:rsid w:val="00D2743A"/>
    <w:rsid w:val="00D31BC2"/>
    <w:rsid w:val="00D33B7B"/>
    <w:rsid w:val="00D35F7C"/>
    <w:rsid w:val="00D404CA"/>
    <w:rsid w:val="00D42BCE"/>
    <w:rsid w:val="00D46365"/>
    <w:rsid w:val="00D5091E"/>
    <w:rsid w:val="00D536F1"/>
    <w:rsid w:val="00D53AC5"/>
    <w:rsid w:val="00D603B0"/>
    <w:rsid w:val="00D64A47"/>
    <w:rsid w:val="00D65805"/>
    <w:rsid w:val="00D65F70"/>
    <w:rsid w:val="00D66869"/>
    <w:rsid w:val="00D71ADD"/>
    <w:rsid w:val="00D76833"/>
    <w:rsid w:val="00D76B92"/>
    <w:rsid w:val="00D770E9"/>
    <w:rsid w:val="00D80EF8"/>
    <w:rsid w:val="00D8333E"/>
    <w:rsid w:val="00D85DDE"/>
    <w:rsid w:val="00D8650E"/>
    <w:rsid w:val="00D874BA"/>
    <w:rsid w:val="00D879FE"/>
    <w:rsid w:val="00D902AB"/>
    <w:rsid w:val="00D91398"/>
    <w:rsid w:val="00D91FF5"/>
    <w:rsid w:val="00DA40EA"/>
    <w:rsid w:val="00DA7B63"/>
    <w:rsid w:val="00DB3BAB"/>
    <w:rsid w:val="00DC15F9"/>
    <w:rsid w:val="00DC31A6"/>
    <w:rsid w:val="00DD058F"/>
    <w:rsid w:val="00DD54AE"/>
    <w:rsid w:val="00DD5BA4"/>
    <w:rsid w:val="00DE3F52"/>
    <w:rsid w:val="00DF13C2"/>
    <w:rsid w:val="00DF4A3F"/>
    <w:rsid w:val="00DF6451"/>
    <w:rsid w:val="00E0097E"/>
    <w:rsid w:val="00E016F6"/>
    <w:rsid w:val="00E037FB"/>
    <w:rsid w:val="00E03A88"/>
    <w:rsid w:val="00E055AC"/>
    <w:rsid w:val="00E12A7D"/>
    <w:rsid w:val="00E13025"/>
    <w:rsid w:val="00E1384B"/>
    <w:rsid w:val="00E22CBD"/>
    <w:rsid w:val="00E23A37"/>
    <w:rsid w:val="00E32B51"/>
    <w:rsid w:val="00E3499E"/>
    <w:rsid w:val="00E36ABE"/>
    <w:rsid w:val="00E40201"/>
    <w:rsid w:val="00E4085B"/>
    <w:rsid w:val="00E41229"/>
    <w:rsid w:val="00E4131F"/>
    <w:rsid w:val="00E4176F"/>
    <w:rsid w:val="00E44413"/>
    <w:rsid w:val="00E44E45"/>
    <w:rsid w:val="00E475B0"/>
    <w:rsid w:val="00E5088A"/>
    <w:rsid w:val="00E5548E"/>
    <w:rsid w:val="00E60127"/>
    <w:rsid w:val="00E60CB2"/>
    <w:rsid w:val="00E6677A"/>
    <w:rsid w:val="00E7294C"/>
    <w:rsid w:val="00E8240C"/>
    <w:rsid w:val="00E83C44"/>
    <w:rsid w:val="00E858FE"/>
    <w:rsid w:val="00E87AFC"/>
    <w:rsid w:val="00E90892"/>
    <w:rsid w:val="00E9512C"/>
    <w:rsid w:val="00E963E5"/>
    <w:rsid w:val="00E97FDB"/>
    <w:rsid w:val="00EA7437"/>
    <w:rsid w:val="00EA74A4"/>
    <w:rsid w:val="00EA7F3C"/>
    <w:rsid w:val="00EB39FE"/>
    <w:rsid w:val="00EC3D3A"/>
    <w:rsid w:val="00EC7C63"/>
    <w:rsid w:val="00ED2754"/>
    <w:rsid w:val="00ED399C"/>
    <w:rsid w:val="00EE1A5E"/>
    <w:rsid w:val="00EE3694"/>
    <w:rsid w:val="00EE3D3F"/>
    <w:rsid w:val="00EE63D5"/>
    <w:rsid w:val="00EF381D"/>
    <w:rsid w:val="00EF4595"/>
    <w:rsid w:val="00EF675B"/>
    <w:rsid w:val="00F0112C"/>
    <w:rsid w:val="00F029CE"/>
    <w:rsid w:val="00F02B94"/>
    <w:rsid w:val="00F031B6"/>
    <w:rsid w:val="00F05C1B"/>
    <w:rsid w:val="00F06332"/>
    <w:rsid w:val="00F065CE"/>
    <w:rsid w:val="00F067E6"/>
    <w:rsid w:val="00F072B9"/>
    <w:rsid w:val="00F110A0"/>
    <w:rsid w:val="00F16F23"/>
    <w:rsid w:val="00F3170C"/>
    <w:rsid w:val="00F37FD2"/>
    <w:rsid w:val="00F40BF9"/>
    <w:rsid w:val="00F443B5"/>
    <w:rsid w:val="00F449DB"/>
    <w:rsid w:val="00F46960"/>
    <w:rsid w:val="00F47D28"/>
    <w:rsid w:val="00F52C5F"/>
    <w:rsid w:val="00F6251E"/>
    <w:rsid w:val="00F64B0A"/>
    <w:rsid w:val="00F64C2D"/>
    <w:rsid w:val="00F700C0"/>
    <w:rsid w:val="00F7013B"/>
    <w:rsid w:val="00F75790"/>
    <w:rsid w:val="00F76465"/>
    <w:rsid w:val="00F90992"/>
    <w:rsid w:val="00FA13FA"/>
    <w:rsid w:val="00FA5CD3"/>
    <w:rsid w:val="00FA6F1C"/>
    <w:rsid w:val="00FA721C"/>
    <w:rsid w:val="00FA7D6B"/>
    <w:rsid w:val="00FB01A2"/>
    <w:rsid w:val="00FB0F1F"/>
    <w:rsid w:val="00FB1D5B"/>
    <w:rsid w:val="00FB1F65"/>
    <w:rsid w:val="00FB2476"/>
    <w:rsid w:val="00FB2570"/>
    <w:rsid w:val="00FB3CEA"/>
    <w:rsid w:val="00FB43F3"/>
    <w:rsid w:val="00FB4403"/>
    <w:rsid w:val="00FB62D3"/>
    <w:rsid w:val="00FC0C84"/>
    <w:rsid w:val="00FC5242"/>
    <w:rsid w:val="00FD0F3B"/>
    <w:rsid w:val="00FD41B2"/>
    <w:rsid w:val="00FD78F5"/>
    <w:rsid w:val="00FE1306"/>
    <w:rsid w:val="00FE15AB"/>
    <w:rsid w:val="00FE1A5E"/>
    <w:rsid w:val="00FE52CC"/>
    <w:rsid w:val="00FF2D43"/>
    <w:rsid w:val="00FF31E0"/>
    <w:rsid w:val="00FF574F"/>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chartTrackingRefBased/>
  <w15:docId w15:val="{7AA7F3F0-FF9D-424D-A5DE-688178B4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828"/>
    <w:rPr>
      <w:kern w:val="0"/>
      <w14:ligatures w14:val="none"/>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styleId="NormalWeb">
    <w:name w:val="Normal (Web)"/>
    <w:basedOn w:val="Normal"/>
    <w:uiPriority w:val="99"/>
    <w:unhideWhenUsed/>
    <w:rsid w:val="0080286F"/>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11966533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eli/reg_impl/2021/451/oj/?locale=LV"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eli/reg_impl/2014/680/oj/?locale=LV" TargetMode="External"/><Relationship Id="rId17" Type="http://schemas.openxmlformats.org/officeDocument/2006/relationships/hyperlink" Target="http://www.bank.lv" TargetMode="External"/><Relationship Id="rId2" Type="http://schemas.openxmlformats.org/officeDocument/2006/relationships/customXml" Target="../customXml/item2.xml"/><Relationship Id="rId16" Type="http://schemas.openxmlformats.org/officeDocument/2006/relationships/hyperlink" Target="https://likumi.lv/ta/id/37426-kreditiestazu-likum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reg_impl/2021/451/oj/?locale=LV" TargetMode="External"/><Relationship Id="rId5" Type="http://schemas.openxmlformats.org/officeDocument/2006/relationships/numbering" Target="numbering.xml"/><Relationship Id="rId15" Type="http://schemas.openxmlformats.org/officeDocument/2006/relationships/hyperlink" Target="https://likumi.lv/ta/id/37426-kreditiestazu-likum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reg_impl/2021/451/oj/?locale=LV"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csp.gov.lv/lv/klasifikacija/atvk-2021/administrativo-teritoriju-un-teritoriala-iedalijuma-vienibu-klasifikators" TargetMode="External"/><Relationship Id="rId1" Type="http://schemas.openxmlformats.org/officeDocument/2006/relationships/hyperlink" Target="https://www.csp.gov.lv/lv/klasifikacija/buvju-klasifikac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B08A8D-21EE-4885-8C6C-65675735DE74}">
  <ds:schemaRefs>
    <ds:schemaRef ds:uri="http://schemas.microsoft.com/sharepoint/v3/contenttype/forms"/>
  </ds:schemaRefs>
</ds:datastoreItem>
</file>

<file path=customXml/itemProps3.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customXml/itemProps4.xml><?xml version="1.0" encoding="utf-8"?>
<ds:datastoreItem xmlns:ds="http://schemas.openxmlformats.org/officeDocument/2006/customXml" ds:itemID="{CCA7035F-2C0B-4B09-B2E5-83C199E9B67C}">
  <ds:schemaRefs>
    <ds:schemaRef ds:uri="http://purl.org/dc/elements/1.1/"/>
    <ds:schemaRef ds:uri="http://www.w3.org/XML/1998/namespace"/>
    <ds:schemaRef ds:uri="http://schemas.microsoft.com/office/2006/documentManagement/types"/>
    <ds:schemaRef ds:uri="http://schemas.microsoft.com/office/2006/metadata/properties"/>
    <ds:schemaRef ds:uri="http://purl.org/dc/terms/"/>
    <ds:schemaRef ds:uri="http://schemas.openxmlformats.org/package/2006/metadata/core-properties"/>
    <ds:schemaRef ds:uri="838f2b79-ba63-459d-9764-2ae4082e748a"/>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14912</Words>
  <Characters>8500</Characters>
  <Application>Microsoft Office Word</Application>
  <DocSecurity>0</DocSecurity>
  <Lines>70</Lines>
  <Paragraphs>46</Paragraphs>
  <ScaleCrop>false</ScaleCrop>
  <HeadingPairs>
    <vt:vector size="2" baseType="variant">
      <vt:variant>
        <vt:lpstr>Nosaukums</vt:lpstr>
      </vt:variant>
      <vt:variant>
        <vt:i4>1</vt:i4>
      </vt:variant>
    </vt:vector>
  </HeadingPairs>
  <TitlesOfParts>
    <vt:vector size="1" baseType="lpstr">
      <vt:lpstr/>
    </vt:vector>
  </TitlesOfParts>
  <Company>Latvijas Banka</Company>
  <LinksUpToDate>false</LinksUpToDate>
  <CharactersWithSpaces>23366</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Maija Valce</cp:lastModifiedBy>
  <cp:revision>3</cp:revision>
  <cp:lastPrinted>2024-02-14T10:29:00Z</cp:lastPrinted>
  <dcterms:created xsi:type="dcterms:W3CDTF">2024-02-29T08:52:00Z</dcterms:created>
  <dcterms:modified xsi:type="dcterms:W3CDTF">2024-02-29T08:55:00Z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