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9D7F" w14:textId="62E427AB" w:rsidR="004D7D20" w:rsidRPr="007B1360" w:rsidRDefault="004D7D20" w:rsidP="00A202C9">
      <w:pPr>
        <w:jc w:val="center"/>
        <w:rPr>
          <w:rFonts w:ascii="Times New Roman" w:hAnsi="Times New Roman" w:cs="Times New Roman"/>
          <w:b/>
          <w:bCs/>
          <w:sz w:val="24"/>
          <w:szCs w:val="24"/>
        </w:rPr>
      </w:pPr>
      <w:r w:rsidRPr="007B1360">
        <w:rPr>
          <w:rFonts w:ascii="Times New Roman" w:hAnsi="Times New Roman" w:cs="Times New Roman"/>
          <w:b/>
          <w:bCs/>
          <w:sz w:val="24"/>
          <w:szCs w:val="24"/>
        </w:rPr>
        <w:t>Latvijas Bankas noteikumu projekt</w:t>
      </w:r>
      <w:r w:rsidR="00595003" w:rsidRPr="007B1360">
        <w:rPr>
          <w:rFonts w:ascii="Times New Roman" w:hAnsi="Times New Roman" w:cs="Times New Roman"/>
          <w:b/>
          <w:bCs/>
          <w:sz w:val="24"/>
          <w:szCs w:val="24"/>
        </w:rPr>
        <w:t>a</w:t>
      </w:r>
      <w:r w:rsidRPr="007B1360">
        <w:rPr>
          <w:rFonts w:ascii="Times New Roman" w:hAnsi="Times New Roman" w:cs="Times New Roman"/>
          <w:b/>
          <w:bCs/>
          <w:sz w:val="24"/>
          <w:szCs w:val="24"/>
        </w:rPr>
        <w:t xml:space="preserve"> "</w:t>
      </w:r>
      <w:r w:rsidR="00E0655E" w:rsidRPr="007B1360">
        <w:rPr>
          <w:rFonts w:ascii="Times New Roman" w:hAnsi="Times New Roman" w:cs="Times New Roman"/>
          <w:b/>
          <w:bCs/>
          <w:sz w:val="24"/>
          <w:szCs w:val="24"/>
        </w:rPr>
        <w:t>M</w:t>
      </w:r>
      <w:r w:rsidR="00F575D8" w:rsidRPr="007B1360">
        <w:rPr>
          <w:rFonts w:ascii="Times New Roman" w:hAnsi="Times New Roman" w:cs="Times New Roman"/>
          <w:b/>
          <w:bCs/>
          <w:sz w:val="24"/>
          <w:szCs w:val="24"/>
        </w:rPr>
        <w:t xml:space="preserve">aksimāli sadalāmās summas aprēķināšanas </w:t>
      </w:r>
      <w:r w:rsidR="00E0655E" w:rsidRPr="007B1360">
        <w:rPr>
          <w:rFonts w:ascii="Times New Roman" w:hAnsi="Times New Roman" w:cs="Times New Roman"/>
          <w:b/>
          <w:bCs/>
          <w:sz w:val="24"/>
          <w:szCs w:val="24"/>
        </w:rPr>
        <w:t>kārtība</w:t>
      </w:r>
      <w:r w:rsidRPr="007B1360">
        <w:rPr>
          <w:rFonts w:ascii="Times New Roman" w:hAnsi="Times New Roman" w:cs="Times New Roman"/>
          <w:b/>
          <w:bCs/>
          <w:sz w:val="24"/>
          <w:szCs w:val="24"/>
        </w:rPr>
        <w:t>"</w:t>
      </w:r>
      <w:r w:rsidR="00595003" w:rsidRPr="007B1360">
        <w:rPr>
          <w:rFonts w:ascii="Times New Roman" w:hAnsi="Times New Roman" w:cs="Times New Roman"/>
          <w:b/>
          <w:bCs/>
          <w:sz w:val="24"/>
          <w:szCs w:val="24"/>
        </w:rPr>
        <w:t xml:space="preserve"> anotācija</w:t>
      </w:r>
    </w:p>
    <w:tbl>
      <w:tblPr>
        <w:tblStyle w:val="TableGrid"/>
        <w:tblW w:w="8359" w:type="dxa"/>
        <w:tblLook w:val="04A0" w:firstRow="1" w:lastRow="0" w:firstColumn="1" w:lastColumn="0" w:noHBand="0" w:noVBand="1"/>
      </w:tblPr>
      <w:tblGrid>
        <w:gridCol w:w="1980"/>
        <w:gridCol w:w="6379"/>
      </w:tblGrid>
      <w:tr w:rsidR="00E02C21" w:rsidRPr="007B1360" w14:paraId="2AC98F6A" w14:textId="77777777" w:rsidTr="009B620B">
        <w:tc>
          <w:tcPr>
            <w:tcW w:w="1980" w:type="dxa"/>
          </w:tcPr>
          <w:p w14:paraId="68548ECA" w14:textId="5D13C2F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Nosaukums</w:t>
            </w:r>
          </w:p>
        </w:tc>
        <w:tc>
          <w:tcPr>
            <w:tcW w:w="6379" w:type="dxa"/>
          </w:tcPr>
          <w:p w14:paraId="0EF6BD51" w14:textId="7ED8EA1B" w:rsidR="004D7D20" w:rsidRPr="007B1360" w:rsidRDefault="00952874" w:rsidP="00CB2ED4">
            <w:pPr>
              <w:jc w:val="both"/>
              <w:rPr>
                <w:rFonts w:ascii="Times New Roman" w:hAnsi="Times New Roman" w:cs="Times New Roman"/>
                <w:sz w:val="24"/>
                <w:szCs w:val="24"/>
              </w:rPr>
            </w:pPr>
            <w:r w:rsidRPr="007B1360">
              <w:rPr>
                <w:rFonts w:ascii="Times New Roman" w:hAnsi="Times New Roman" w:cs="Times New Roman"/>
                <w:sz w:val="24"/>
                <w:szCs w:val="24"/>
              </w:rPr>
              <w:t>Latvijas Bankas noteikumi "</w:t>
            </w:r>
            <w:r w:rsidR="00E0655E" w:rsidRPr="007B1360">
              <w:rPr>
                <w:rFonts w:ascii="Times New Roman" w:hAnsi="Times New Roman" w:cs="Times New Roman"/>
                <w:sz w:val="24"/>
                <w:szCs w:val="24"/>
              </w:rPr>
              <w:t>M</w:t>
            </w:r>
            <w:r w:rsidR="00F575D8" w:rsidRPr="007B1360">
              <w:rPr>
                <w:rFonts w:ascii="Times New Roman" w:hAnsi="Times New Roman" w:cs="Times New Roman"/>
                <w:sz w:val="24"/>
                <w:szCs w:val="24"/>
              </w:rPr>
              <w:t xml:space="preserve">aksimāli sadalāmās summas aprēķināšanas </w:t>
            </w:r>
            <w:r w:rsidR="00E0655E" w:rsidRPr="007B1360">
              <w:rPr>
                <w:rFonts w:ascii="Times New Roman" w:hAnsi="Times New Roman" w:cs="Times New Roman"/>
                <w:sz w:val="24"/>
                <w:szCs w:val="24"/>
              </w:rPr>
              <w:t>kārtība</w:t>
            </w:r>
            <w:r w:rsidRPr="007B1360">
              <w:rPr>
                <w:rFonts w:ascii="Times New Roman" w:hAnsi="Times New Roman" w:cs="Times New Roman"/>
                <w:sz w:val="24"/>
                <w:szCs w:val="24"/>
              </w:rPr>
              <w:t>"</w:t>
            </w:r>
          </w:p>
        </w:tc>
      </w:tr>
      <w:tr w:rsidR="00A61684" w:rsidRPr="007B1360" w14:paraId="02230D17" w14:textId="77777777" w:rsidTr="009B620B">
        <w:tc>
          <w:tcPr>
            <w:tcW w:w="1980" w:type="dxa"/>
          </w:tcPr>
          <w:p w14:paraId="118F97D3" w14:textId="47F841D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Dokumenta veids</w:t>
            </w:r>
          </w:p>
        </w:tc>
        <w:tc>
          <w:tcPr>
            <w:tcW w:w="6379" w:type="dxa"/>
          </w:tcPr>
          <w:p w14:paraId="4CC0239D" w14:textId="710EA1F9" w:rsidR="004D7D20" w:rsidRPr="007B1360" w:rsidRDefault="00952874" w:rsidP="00CB2ED4">
            <w:pPr>
              <w:jc w:val="both"/>
              <w:rPr>
                <w:rFonts w:ascii="Times New Roman" w:hAnsi="Times New Roman" w:cs="Times New Roman"/>
                <w:sz w:val="24"/>
                <w:szCs w:val="24"/>
              </w:rPr>
            </w:pPr>
            <w:r w:rsidRPr="007B1360">
              <w:rPr>
                <w:rFonts w:ascii="Times New Roman" w:hAnsi="Times New Roman" w:cs="Times New Roman"/>
                <w:sz w:val="24"/>
                <w:szCs w:val="24"/>
              </w:rPr>
              <w:t>Latvijas Bankas noteikumi</w:t>
            </w:r>
          </w:p>
        </w:tc>
      </w:tr>
      <w:tr w:rsidR="00A61684" w:rsidRPr="007B1360" w14:paraId="1E36ACC8" w14:textId="77777777" w:rsidTr="009B620B">
        <w:tc>
          <w:tcPr>
            <w:tcW w:w="1980" w:type="dxa"/>
          </w:tcPr>
          <w:p w14:paraId="15B9D0AC" w14:textId="168434E5"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Izdošanas pamatojums</w:t>
            </w:r>
          </w:p>
        </w:tc>
        <w:tc>
          <w:tcPr>
            <w:tcW w:w="6379" w:type="dxa"/>
          </w:tcPr>
          <w:p w14:paraId="14871B80" w14:textId="2CC2E4A2" w:rsidR="00AF3B0F" w:rsidRPr="007B1360" w:rsidRDefault="001A77AD" w:rsidP="00CB2ED4">
            <w:pPr>
              <w:jc w:val="both"/>
              <w:rPr>
                <w:rFonts w:ascii="Times New Roman" w:hAnsi="Times New Roman" w:cs="Times New Roman"/>
                <w:sz w:val="24"/>
                <w:szCs w:val="24"/>
              </w:rPr>
            </w:pPr>
            <w:r w:rsidRPr="007B1360">
              <w:rPr>
                <w:rFonts w:ascii="Times New Roman" w:hAnsi="Times New Roman" w:cs="Times New Roman"/>
                <w:sz w:val="24"/>
                <w:szCs w:val="24"/>
              </w:rPr>
              <w:t>Tiek i</w:t>
            </w:r>
            <w:r w:rsidR="00A23583" w:rsidRPr="007B1360">
              <w:rPr>
                <w:rFonts w:ascii="Times New Roman" w:hAnsi="Times New Roman" w:cs="Times New Roman"/>
                <w:sz w:val="24"/>
                <w:szCs w:val="24"/>
              </w:rPr>
              <w:t xml:space="preserve">zdoti saskaņā ar </w:t>
            </w:r>
            <w:r w:rsidR="0036658F" w:rsidRPr="007B1360">
              <w:rPr>
                <w:rFonts w:ascii="Times New Roman" w:hAnsi="Times New Roman" w:cs="Times New Roman"/>
                <w:sz w:val="24"/>
                <w:szCs w:val="24"/>
              </w:rPr>
              <w:t>Kredītiestāžu</w:t>
            </w:r>
            <w:r w:rsidR="003B5C31" w:rsidRPr="007B1360">
              <w:rPr>
                <w:rFonts w:ascii="Times New Roman" w:hAnsi="Times New Roman" w:cs="Times New Roman"/>
                <w:sz w:val="24"/>
                <w:szCs w:val="24"/>
              </w:rPr>
              <w:t xml:space="preserve"> likuma</w:t>
            </w:r>
            <w:r w:rsidR="008B7C5A" w:rsidRPr="007B1360">
              <w:rPr>
                <w:rFonts w:ascii="Times New Roman" w:hAnsi="Times New Roman" w:cs="Times New Roman"/>
                <w:sz w:val="24"/>
                <w:szCs w:val="24"/>
              </w:rPr>
              <w:t xml:space="preserve"> </w:t>
            </w:r>
            <w:r w:rsidR="0036658F" w:rsidRPr="007B1360">
              <w:rPr>
                <w:rFonts w:ascii="Times New Roman" w:hAnsi="Times New Roman" w:cs="Times New Roman"/>
                <w:sz w:val="24"/>
                <w:szCs w:val="24"/>
              </w:rPr>
              <w:t>35</w:t>
            </w:r>
            <w:r w:rsidR="008B7C5A" w:rsidRPr="007B1360">
              <w:rPr>
                <w:rFonts w:ascii="Times New Roman" w:hAnsi="Times New Roman" w:cs="Times New Roman"/>
                <w:sz w:val="24"/>
                <w:szCs w:val="24"/>
              </w:rPr>
              <w:t>.</w:t>
            </w:r>
            <w:r w:rsidR="0036658F" w:rsidRPr="007B1360">
              <w:rPr>
                <w:rFonts w:ascii="Times New Roman" w:hAnsi="Times New Roman" w:cs="Times New Roman"/>
                <w:sz w:val="24"/>
                <w:szCs w:val="24"/>
                <w:vertAlign w:val="superscript"/>
              </w:rPr>
              <w:t>27</w:t>
            </w:r>
            <w:r w:rsidR="008B03F7" w:rsidRPr="007B1360">
              <w:rPr>
                <w:rFonts w:ascii="Times New Roman" w:hAnsi="Times New Roman" w:cs="Times New Roman"/>
                <w:sz w:val="24"/>
                <w:szCs w:val="24"/>
              </w:rPr>
              <w:t> </w:t>
            </w:r>
            <w:r w:rsidR="008B7C5A" w:rsidRPr="007B1360">
              <w:rPr>
                <w:rFonts w:ascii="Times New Roman" w:hAnsi="Times New Roman" w:cs="Times New Roman"/>
                <w:sz w:val="24"/>
                <w:szCs w:val="24"/>
              </w:rPr>
              <w:t xml:space="preserve">panta </w:t>
            </w:r>
            <w:r w:rsidR="00A23583" w:rsidRPr="007B1360">
              <w:rPr>
                <w:rFonts w:ascii="Times New Roman" w:hAnsi="Times New Roman" w:cs="Times New Roman"/>
                <w:sz w:val="24"/>
                <w:szCs w:val="24"/>
              </w:rPr>
              <w:t>otro daļu</w:t>
            </w:r>
            <w:r w:rsidR="0050352A" w:rsidRPr="007B1360">
              <w:rPr>
                <w:rFonts w:ascii="Times New Roman" w:hAnsi="Times New Roman" w:cs="Times New Roman"/>
                <w:sz w:val="24"/>
                <w:szCs w:val="24"/>
              </w:rPr>
              <w:t xml:space="preserve"> un 35.</w:t>
            </w:r>
            <w:r w:rsidR="0050352A" w:rsidRPr="007B1360">
              <w:rPr>
                <w:rFonts w:ascii="Times New Roman" w:hAnsi="Times New Roman" w:cs="Times New Roman"/>
                <w:sz w:val="24"/>
                <w:szCs w:val="24"/>
                <w:vertAlign w:val="superscript"/>
              </w:rPr>
              <w:t>35</w:t>
            </w:r>
            <w:r w:rsidR="008B03F7" w:rsidRPr="007B1360">
              <w:rPr>
                <w:rFonts w:ascii="Times New Roman" w:hAnsi="Times New Roman" w:cs="Times New Roman"/>
                <w:sz w:val="24"/>
                <w:szCs w:val="24"/>
                <w:vertAlign w:val="superscript"/>
              </w:rPr>
              <w:t> </w:t>
            </w:r>
            <w:r w:rsidR="0050352A" w:rsidRPr="007B1360">
              <w:rPr>
                <w:rFonts w:ascii="Times New Roman" w:hAnsi="Times New Roman" w:cs="Times New Roman"/>
                <w:sz w:val="24"/>
                <w:szCs w:val="24"/>
              </w:rPr>
              <w:t>panta otro daļu</w:t>
            </w:r>
            <w:r w:rsidR="003B5C31" w:rsidRPr="007B1360">
              <w:rPr>
                <w:rFonts w:ascii="Times New Roman" w:hAnsi="Times New Roman" w:cs="Times New Roman"/>
                <w:sz w:val="24"/>
                <w:szCs w:val="24"/>
              </w:rPr>
              <w:t>.</w:t>
            </w:r>
          </w:p>
        </w:tc>
      </w:tr>
      <w:tr w:rsidR="00A61684" w:rsidRPr="007B1360" w14:paraId="46DB522F" w14:textId="77777777" w:rsidTr="009B620B">
        <w:tc>
          <w:tcPr>
            <w:tcW w:w="1980" w:type="dxa"/>
          </w:tcPr>
          <w:p w14:paraId="2B8F0582" w14:textId="51CB8878" w:rsidR="008D0C81"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t>Mērķis un būtība</w:t>
            </w:r>
          </w:p>
        </w:tc>
        <w:tc>
          <w:tcPr>
            <w:tcW w:w="6379" w:type="dxa"/>
          </w:tcPr>
          <w:p w14:paraId="1D7DB504" w14:textId="105E625D" w:rsidR="009B6162" w:rsidRPr="007B1360" w:rsidRDefault="004D1EB8" w:rsidP="00EA2EB2">
            <w:pPr>
              <w:jc w:val="both"/>
              <w:rPr>
                <w:rFonts w:ascii="Times New Roman" w:hAnsi="Times New Roman" w:cs="Times New Roman"/>
                <w:sz w:val="24"/>
                <w:szCs w:val="24"/>
              </w:rPr>
            </w:pPr>
            <w:bookmarkStart w:id="0" w:name="_Hlk131432007"/>
            <w:r w:rsidRPr="007B1360">
              <w:rPr>
                <w:rFonts w:ascii="Times New Roman" w:hAnsi="Times New Roman" w:cs="Times New Roman"/>
                <w:sz w:val="24"/>
                <w:szCs w:val="24"/>
              </w:rPr>
              <w:t>Kredītiestāžu</w:t>
            </w:r>
            <w:r w:rsidR="008D0C81" w:rsidRPr="007B1360">
              <w:rPr>
                <w:rFonts w:ascii="Times New Roman" w:hAnsi="Times New Roman" w:cs="Times New Roman"/>
                <w:sz w:val="24"/>
                <w:szCs w:val="24"/>
              </w:rPr>
              <w:t xml:space="preserve"> likuma </w:t>
            </w:r>
            <w:r w:rsidR="00686149" w:rsidRPr="007B1360">
              <w:rPr>
                <w:rFonts w:ascii="Times New Roman" w:hAnsi="Times New Roman" w:cs="Times New Roman"/>
                <w:sz w:val="24"/>
                <w:szCs w:val="24"/>
              </w:rPr>
              <w:t>35</w:t>
            </w:r>
            <w:r w:rsidR="008D0C81" w:rsidRPr="007B1360">
              <w:rPr>
                <w:rFonts w:ascii="Times New Roman" w:hAnsi="Times New Roman" w:cs="Times New Roman"/>
                <w:sz w:val="24"/>
                <w:szCs w:val="24"/>
              </w:rPr>
              <w:t>.</w:t>
            </w:r>
            <w:r w:rsidR="00686149" w:rsidRPr="007B1360">
              <w:rPr>
                <w:rFonts w:ascii="Times New Roman" w:hAnsi="Times New Roman" w:cs="Times New Roman"/>
                <w:sz w:val="24"/>
                <w:szCs w:val="24"/>
                <w:vertAlign w:val="superscript"/>
              </w:rPr>
              <w:t>27</w:t>
            </w:r>
            <w:r w:rsidR="003442A2" w:rsidRPr="007B1360">
              <w:rPr>
                <w:rFonts w:ascii="Times New Roman" w:hAnsi="Times New Roman" w:cs="Times New Roman"/>
                <w:sz w:val="24"/>
                <w:szCs w:val="24"/>
              </w:rPr>
              <w:t> </w:t>
            </w:r>
            <w:r w:rsidR="008D0C81" w:rsidRPr="007B1360">
              <w:rPr>
                <w:rFonts w:ascii="Times New Roman" w:hAnsi="Times New Roman" w:cs="Times New Roman"/>
                <w:sz w:val="24"/>
                <w:szCs w:val="24"/>
              </w:rPr>
              <w:t xml:space="preserve">panta </w:t>
            </w:r>
            <w:r w:rsidR="00686149" w:rsidRPr="007B1360">
              <w:rPr>
                <w:rFonts w:ascii="Times New Roman" w:hAnsi="Times New Roman" w:cs="Times New Roman"/>
                <w:sz w:val="24"/>
                <w:szCs w:val="24"/>
              </w:rPr>
              <w:t>otrā</w:t>
            </w:r>
            <w:r w:rsidR="00F1508E" w:rsidRPr="007B1360">
              <w:rPr>
                <w:rFonts w:ascii="Times New Roman" w:hAnsi="Times New Roman" w:cs="Times New Roman"/>
                <w:sz w:val="24"/>
                <w:szCs w:val="24"/>
              </w:rPr>
              <w:t xml:space="preserve"> </w:t>
            </w:r>
            <w:r w:rsidR="008D0C81" w:rsidRPr="007B1360">
              <w:rPr>
                <w:rFonts w:ascii="Times New Roman" w:hAnsi="Times New Roman" w:cs="Times New Roman"/>
                <w:sz w:val="24"/>
                <w:szCs w:val="24"/>
              </w:rPr>
              <w:t xml:space="preserve">daļa paredz deleģējumu Latvijas Bankai noteikt </w:t>
            </w:r>
            <w:r w:rsidR="009B6162" w:rsidRPr="007B1360">
              <w:rPr>
                <w:rFonts w:ascii="Times New Roman" w:hAnsi="Times New Roman" w:cs="Times New Roman"/>
                <w:sz w:val="24"/>
                <w:szCs w:val="24"/>
              </w:rPr>
              <w:t xml:space="preserve">ar kopējo kapitāla rezervju prasības neievērošanu saistītās </w:t>
            </w:r>
            <w:r w:rsidR="00686149" w:rsidRPr="007B1360">
              <w:rPr>
                <w:rFonts w:ascii="Times New Roman" w:hAnsi="Times New Roman" w:cs="Times New Roman"/>
                <w:sz w:val="24"/>
                <w:szCs w:val="24"/>
              </w:rPr>
              <w:t>maksimāli sadalāmās summas aprēķināšanas kārtību.</w:t>
            </w:r>
            <w:r w:rsidR="0050352A" w:rsidRPr="007B1360">
              <w:rPr>
                <w:rFonts w:ascii="Times New Roman" w:hAnsi="Times New Roman" w:cs="Times New Roman"/>
                <w:sz w:val="24"/>
                <w:szCs w:val="24"/>
              </w:rPr>
              <w:t xml:space="preserve"> Savukārt Kredītiestāžu likuma 35.</w:t>
            </w:r>
            <w:r w:rsidR="0050352A" w:rsidRPr="007B1360">
              <w:rPr>
                <w:rFonts w:ascii="Times New Roman" w:hAnsi="Times New Roman" w:cs="Times New Roman"/>
                <w:sz w:val="24"/>
                <w:szCs w:val="24"/>
                <w:vertAlign w:val="superscript"/>
              </w:rPr>
              <w:t>35</w:t>
            </w:r>
            <w:r w:rsidR="008B03F7" w:rsidRPr="007B1360">
              <w:rPr>
                <w:rFonts w:ascii="Times New Roman" w:hAnsi="Times New Roman" w:cs="Times New Roman"/>
                <w:sz w:val="24"/>
                <w:szCs w:val="24"/>
                <w:vertAlign w:val="superscript"/>
              </w:rPr>
              <w:t> </w:t>
            </w:r>
            <w:r w:rsidR="0050352A" w:rsidRPr="007B1360">
              <w:rPr>
                <w:rFonts w:ascii="Times New Roman" w:hAnsi="Times New Roman" w:cs="Times New Roman"/>
                <w:sz w:val="24"/>
                <w:szCs w:val="24"/>
              </w:rPr>
              <w:t xml:space="preserve">panta otrā daļa paredz deleģējumu Latvijas Bankai noteikt </w:t>
            </w:r>
            <w:r w:rsidR="009B6162" w:rsidRPr="007B1360">
              <w:rPr>
                <w:rFonts w:ascii="Times New Roman" w:hAnsi="Times New Roman" w:cs="Times New Roman"/>
                <w:sz w:val="24"/>
                <w:szCs w:val="24"/>
              </w:rPr>
              <w:t>ar sviras rādītāja rezerves prasības neievērošanu saistītās maksimāli sadalāmās summas aprēķināšanas kārtību.</w:t>
            </w:r>
          </w:p>
          <w:p w14:paraId="46A2F642" w14:textId="77777777" w:rsidR="00326F2F" w:rsidRPr="007B1360" w:rsidRDefault="00326F2F" w:rsidP="00EA2EB2">
            <w:pPr>
              <w:jc w:val="both"/>
              <w:rPr>
                <w:rFonts w:ascii="Times New Roman" w:hAnsi="Times New Roman" w:cs="Times New Roman"/>
                <w:sz w:val="24"/>
                <w:szCs w:val="24"/>
              </w:rPr>
            </w:pPr>
          </w:p>
          <w:p w14:paraId="2AB10F17" w14:textId="2EF718F2" w:rsidR="003442A2" w:rsidRPr="007B1360" w:rsidRDefault="00996D7D" w:rsidP="00EA2EB2">
            <w:pPr>
              <w:jc w:val="both"/>
              <w:rPr>
                <w:rFonts w:ascii="Times New Roman" w:hAnsi="Times New Roman" w:cs="Times New Roman"/>
                <w:sz w:val="24"/>
                <w:szCs w:val="24"/>
              </w:rPr>
            </w:pPr>
            <w:r w:rsidRPr="007B1360">
              <w:rPr>
                <w:rFonts w:ascii="Times New Roman" w:hAnsi="Times New Roman" w:cs="Times New Roman"/>
                <w:sz w:val="24"/>
                <w:szCs w:val="24"/>
              </w:rPr>
              <w:t xml:space="preserve">Maksimāli sadalāmās summas aprēķināšanas kārtība </w:t>
            </w:r>
            <w:r w:rsidR="00E0655E" w:rsidRPr="007B1360">
              <w:rPr>
                <w:rFonts w:ascii="Times New Roman" w:hAnsi="Times New Roman" w:cs="Times New Roman"/>
                <w:sz w:val="24"/>
                <w:szCs w:val="24"/>
              </w:rPr>
              <w:t xml:space="preserve">attiecībā uz </w:t>
            </w:r>
            <w:r w:rsidR="005B7F87" w:rsidRPr="0018395C">
              <w:rPr>
                <w:rFonts w:ascii="Times New Roman" w:hAnsi="Times New Roman" w:cs="Times New Roman"/>
                <w:sz w:val="24"/>
                <w:szCs w:val="24"/>
              </w:rPr>
              <w:t>iestādēm</w:t>
            </w:r>
            <w:r w:rsidR="00E0655E" w:rsidRPr="0018395C">
              <w:rPr>
                <w:rFonts w:ascii="Times New Roman" w:hAnsi="Times New Roman" w:cs="Times New Roman"/>
                <w:sz w:val="24"/>
                <w:szCs w:val="24"/>
              </w:rPr>
              <w:t xml:space="preserve">, </w:t>
            </w:r>
            <w:r w:rsidR="00B626DA" w:rsidRPr="0018395C">
              <w:rPr>
                <w:rFonts w:ascii="Times New Roman" w:hAnsi="Times New Roman" w:cs="Times New Roman"/>
                <w:sz w:val="24"/>
                <w:szCs w:val="24"/>
              </w:rPr>
              <w:t xml:space="preserve">ja tās </w:t>
            </w:r>
            <w:r w:rsidR="00E0655E" w:rsidRPr="0018395C">
              <w:rPr>
                <w:rFonts w:ascii="Times New Roman" w:hAnsi="Times New Roman" w:cs="Times New Roman"/>
                <w:sz w:val="24"/>
                <w:szCs w:val="24"/>
              </w:rPr>
              <w:t xml:space="preserve">neievēro kopējo kapitāla </w:t>
            </w:r>
            <w:r w:rsidR="008B03F7" w:rsidRPr="0018395C">
              <w:rPr>
                <w:rFonts w:ascii="Times New Roman" w:hAnsi="Times New Roman" w:cs="Times New Roman"/>
                <w:sz w:val="24"/>
                <w:szCs w:val="24"/>
              </w:rPr>
              <w:t xml:space="preserve">rezervju </w:t>
            </w:r>
            <w:r w:rsidR="00E0655E" w:rsidRPr="0018395C">
              <w:rPr>
                <w:rFonts w:ascii="Times New Roman" w:hAnsi="Times New Roman" w:cs="Times New Roman"/>
                <w:sz w:val="24"/>
                <w:szCs w:val="24"/>
              </w:rPr>
              <w:t>prasību</w:t>
            </w:r>
            <w:r w:rsidR="00E0655E" w:rsidRPr="007B1360">
              <w:rPr>
                <w:rFonts w:ascii="Times New Roman" w:hAnsi="Times New Roman" w:cs="Times New Roman"/>
                <w:sz w:val="24"/>
                <w:szCs w:val="24"/>
              </w:rPr>
              <w:t xml:space="preserve">, </w:t>
            </w:r>
            <w:r w:rsidRPr="007B1360">
              <w:rPr>
                <w:rFonts w:ascii="Times New Roman" w:hAnsi="Times New Roman" w:cs="Times New Roman"/>
                <w:sz w:val="24"/>
                <w:szCs w:val="24"/>
              </w:rPr>
              <w:t>ir noteikta Eiropas Parlamenta un Padomes 2013.</w:t>
            </w:r>
            <w:r w:rsidR="00577222" w:rsidRPr="007B1360">
              <w:rPr>
                <w:rFonts w:ascii="Times New Roman" w:hAnsi="Times New Roman" w:cs="Times New Roman"/>
                <w:sz w:val="24"/>
                <w:szCs w:val="24"/>
              </w:rPr>
              <w:t> </w:t>
            </w:r>
            <w:r w:rsidRPr="007B1360">
              <w:rPr>
                <w:rFonts w:ascii="Times New Roman" w:hAnsi="Times New Roman" w:cs="Times New Roman"/>
                <w:sz w:val="24"/>
                <w:szCs w:val="24"/>
              </w:rPr>
              <w:t>gada 26.</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 xml:space="preserve">jūnija </w:t>
            </w:r>
            <w:r w:rsidR="00B32AF1" w:rsidRPr="007B1360">
              <w:rPr>
                <w:rFonts w:ascii="Times New Roman" w:hAnsi="Times New Roman" w:cs="Times New Roman"/>
                <w:sz w:val="24"/>
                <w:szCs w:val="24"/>
              </w:rPr>
              <w:t>d</w:t>
            </w:r>
            <w:r w:rsidRPr="007B1360">
              <w:rPr>
                <w:rFonts w:ascii="Times New Roman" w:hAnsi="Times New Roman" w:cs="Times New Roman"/>
                <w:sz w:val="24"/>
                <w:szCs w:val="24"/>
              </w:rPr>
              <w:t>irektīvas 2013/36/ES</w:t>
            </w:r>
            <w:r w:rsidR="0040095C" w:rsidRPr="007B1360">
              <w:rPr>
                <w:rFonts w:ascii="Times New Roman" w:hAnsi="Times New Roman" w:cs="Times New Roman"/>
                <w:sz w:val="24"/>
                <w:szCs w:val="24"/>
              </w:rPr>
              <w:t> </w:t>
            </w:r>
            <w:r w:rsidRPr="007B1360">
              <w:rPr>
                <w:rFonts w:ascii="Times New Roman" w:hAnsi="Times New Roman" w:cs="Times New Roman"/>
                <w:sz w:val="24"/>
                <w:szCs w:val="24"/>
              </w:rPr>
              <w:t xml:space="preserve">par piekļuvi kredītiestāžu darbībai un kredītiestāžu prudenciālo uzraudzību, ar ko groza </w:t>
            </w:r>
            <w:r w:rsidR="00B32AF1" w:rsidRPr="007B1360">
              <w:rPr>
                <w:rFonts w:ascii="Times New Roman" w:hAnsi="Times New Roman" w:cs="Times New Roman"/>
                <w:sz w:val="24"/>
                <w:szCs w:val="24"/>
              </w:rPr>
              <w:t>d</w:t>
            </w:r>
            <w:r w:rsidRPr="007B1360">
              <w:rPr>
                <w:rFonts w:ascii="Times New Roman" w:hAnsi="Times New Roman" w:cs="Times New Roman"/>
                <w:sz w:val="24"/>
                <w:szCs w:val="24"/>
              </w:rPr>
              <w:t>irektīvu</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2002/87/EK</w:t>
            </w:r>
            <w:r w:rsidR="0084323D" w:rsidRPr="007B1360">
              <w:rPr>
                <w:rFonts w:ascii="Times New Roman" w:hAnsi="Times New Roman" w:cs="Times New Roman"/>
                <w:sz w:val="24"/>
                <w:szCs w:val="24"/>
              </w:rPr>
              <w:t xml:space="preserve"> </w:t>
            </w:r>
            <w:r w:rsidRPr="007B1360">
              <w:rPr>
                <w:rFonts w:ascii="Times New Roman" w:hAnsi="Times New Roman" w:cs="Times New Roman"/>
                <w:sz w:val="24"/>
                <w:szCs w:val="24"/>
              </w:rPr>
              <w:t>un</w:t>
            </w:r>
            <w:r w:rsidR="0040095C" w:rsidRPr="007B1360">
              <w:rPr>
                <w:rFonts w:ascii="Times New Roman" w:hAnsi="Times New Roman" w:cs="Times New Roman"/>
                <w:sz w:val="24"/>
                <w:szCs w:val="24"/>
              </w:rPr>
              <w:t xml:space="preserve"> </w:t>
            </w:r>
            <w:r w:rsidRPr="007B1360">
              <w:rPr>
                <w:rFonts w:ascii="Times New Roman" w:hAnsi="Times New Roman" w:cs="Times New Roman"/>
                <w:sz w:val="24"/>
                <w:szCs w:val="24"/>
              </w:rPr>
              <w:t>atceļ</w:t>
            </w:r>
            <w:r w:rsidR="0040095C" w:rsidRPr="007B1360">
              <w:rPr>
                <w:rFonts w:ascii="Times New Roman" w:hAnsi="Times New Roman" w:cs="Times New Roman"/>
                <w:sz w:val="24"/>
                <w:szCs w:val="24"/>
              </w:rPr>
              <w:t xml:space="preserve"> </w:t>
            </w:r>
            <w:r w:rsidR="00B32AF1" w:rsidRPr="007B1360">
              <w:rPr>
                <w:rFonts w:ascii="Times New Roman" w:hAnsi="Times New Roman" w:cs="Times New Roman"/>
                <w:sz w:val="24"/>
                <w:szCs w:val="24"/>
              </w:rPr>
              <w:t>d</w:t>
            </w:r>
            <w:r w:rsidRPr="007B1360">
              <w:rPr>
                <w:rFonts w:ascii="Times New Roman" w:hAnsi="Times New Roman" w:cs="Times New Roman"/>
                <w:sz w:val="24"/>
                <w:szCs w:val="24"/>
              </w:rPr>
              <w:t>irektīvas</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2006/48/EK</w:t>
            </w:r>
            <w:r w:rsidR="0040095C" w:rsidRPr="007B1360">
              <w:rPr>
                <w:rFonts w:ascii="Times New Roman" w:hAnsi="Times New Roman" w:cs="Times New Roman"/>
                <w:sz w:val="24"/>
                <w:szCs w:val="24"/>
              </w:rPr>
              <w:t xml:space="preserve"> </w:t>
            </w:r>
            <w:r w:rsidRPr="007B1360">
              <w:rPr>
                <w:rFonts w:ascii="Times New Roman" w:hAnsi="Times New Roman" w:cs="Times New Roman"/>
                <w:sz w:val="24"/>
                <w:szCs w:val="24"/>
              </w:rPr>
              <w:t>un</w:t>
            </w:r>
            <w:r w:rsidR="0084323D" w:rsidRPr="007B1360">
              <w:rPr>
                <w:rFonts w:ascii="Times New Roman" w:hAnsi="Times New Roman" w:cs="Times New Roman"/>
                <w:sz w:val="24"/>
                <w:szCs w:val="24"/>
              </w:rPr>
              <w:t xml:space="preserve"> </w:t>
            </w:r>
            <w:r w:rsidRPr="007B1360">
              <w:rPr>
                <w:rFonts w:ascii="Times New Roman" w:hAnsi="Times New Roman" w:cs="Times New Roman"/>
                <w:sz w:val="24"/>
                <w:szCs w:val="24"/>
              </w:rPr>
              <w:t>2006/49/EK</w:t>
            </w:r>
            <w:r w:rsidR="0084323D" w:rsidRPr="007B1360">
              <w:rPr>
                <w:rFonts w:ascii="Times New Roman" w:hAnsi="Times New Roman" w:cs="Times New Roman"/>
                <w:sz w:val="24"/>
                <w:szCs w:val="24"/>
              </w:rPr>
              <w:t xml:space="preserve"> </w:t>
            </w:r>
            <w:r w:rsidRPr="007B1360">
              <w:rPr>
                <w:rFonts w:ascii="Times New Roman" w:hAnsi="Times New Roman" w:cs="Times New Roman"/>
                <w:sz w:val="24"/>
                <w:szCs w:val="24"/>
              </w:rPr>
              <w:t>(turpmāk</w:t>
            </w:r>
            <w:r w:rsidR="0040095C" w:rsidRPr="007B1360">
              <w:rPr>
                <w:rFonts w:ascii="Times New Roman" w:hAnsi="Times New Roman" w:cs="Times New Roman"/>
                <w:sz w:val="24"/>
                <w:szCs w:val="24"/>
              </w:rPr>
              <w:t> </w:t>
            </w:r>
            <w:r w:rsidRPr="007B1360">
              <w:rPr>
                <w:rFonts w:ascii="Times New Roman" w:hAnsi="Times New Roman" w:cs="Times New Roman"/>
                <w:sz w:val="24"/>
                <w:szCs w:val="24"/>
              </w:rPr>
              <w:t>–</w:t>
            </w:r>
            <w:r w:rsidR="0040095C" w:rsidRPr="007B1360">
              <w:rPr>
                <w:rFonts w:ascii="Times New Roman" w:hAnsi="Times New Roman" w:cs="Times New Roman"/>
                <w:sz w:val="24"/>
                <w:szCs w:val="24"/>
              </w:rPr>
              <w:t xml:space="preserve"> </w:t>
            </w:r>
            <w:r w:rsidRPr="007B1360">
              <w:rPr>
                <w:rFonts w:ascii="Times New Roman" w:hAnsi="Times New Roman" w:cs="Times New Roman"/>
                <w:sz w:val="24"/>
                <w:szCs w:val="24"/>
              </w:rPr>
              <w:t>Direktīva</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2013/36/ES)</w:t>
            </w:r>
            <w:r w:rsidR="0040095C" w:rsidRPr="007B1360">
              <w:rPr>
                <w:rFonts w:ascii="Times New Roman" w:hAnsi="Times New Roman" w:cs="Times New Roman"/>
                <w:sz w:val="24"/>
                <w:szCs w:val="24"/>
              </w:rPr>
              <w:t xml:space="preserve"> </w:t>
            </w:r>
            <w:r w:rsidRPr="007B1360">
              <w:rPr>
                <w:rFonts w:ascii="Times New Roman" w:hAnsi="Times New Roman" w:cs="Times New Roman"/>
                <w:sz w:val="24"/>
                <w:szCs w:val="24"/>
              </w:rPr>
              <w:t>141.</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pantā</w:t>
            </w:r>
            <w:r w:rsidR="00C07599" w:rsidRPr="007B1360">
              <w:rPr>
                <w:rFonts w:ascii="Times New Roman" w:hAnsi="Times New Roman" w:cs="Times New Roman"/>
                <w:sz w:val="24"/>
                <w:szCs w:val="24"/>
              </w:rPr>
              <w:t>.</w:t>
            </w:r>
            <w:r w:rsidR="004A6F4E" w:rsidRPr="007B1360">
              <w:rPr>
                <w:rFonts w:ascii="Times New Roman" w:hAnsi="Times New Roman" w:cs="Times New Roman"/>
                <w:sz w:val="24"/>
                <w:szCs w:val="24"/>
              </w:rPr>
              <w:t xml:space="preserve"> </w:t>
            </w:r>
            <w:r w:rsidR="00F52256" w:rsidRPr="007B1360">
              <w:rPr>
                <w:rFonts w:ascii="Times New Roman" w:hAnsi="Times New Roman" w:cs="Times New Roman"/>
                <w:sz w:val="24"/>
                <w:szCs w:val="24"/>
              </w:rPr>
              <w:t>Minētā kārtība tika ieviesta Finanšu un kapitāla tirgus komisijas 2014. gada 23. jūlija normatīvajos noteikumos Nr. 145 "Normatīvie noteikumi par maksimāli sadalāmās summas aprēķināšanas kārtību".</w:t>
            </w:r>
          </w:p>
          <w:p w14:paraId="76066789" w14:textId="77777777" w:rsidR="00595003" w:rsidRPr="007B1360" w:rsidRDefault="00595003" w:rsidP="00EA2EB2">
            <w:pPr>
              <w:jc w:val="both"/>
              <w:rPr>
                <w:rFonts w:ascii="Times New Roman" w:hAnsi="Times New Roman" w:cs="Times New Roman"/>
                <w:sz w:val="24"/>
                <w:szCs w:val="24"/>
              </w:rPr>
            </w:pPr>
          </w:p>
          <w:p w14:paraId="77C79548" w14:textId="11C643FE" w:rsidR="00F52256" w:rsidRPr="007B1360" w:rsidRDefault="004A6F4E" w:rsidP="00EA2EB2">
            <w:pPr>
              <w:jc w:val="both"/>
              <w:rPr>
                <w:rFonts w:ascii="Times New Roman" w:hAnsi="Times New Roman" w:cs="Times New Roman"/>
                <w:sz w:val="24"/>
                <w:szCs w:val="24"/>
              </w:rPr>
            </w:pPr>
            <w:r w:rsidRPr="007B1360">
              <w:rPr>
                <w:rFonts w:ascii="Times New Roman" w:hAnsi="Times New Roman" w:cs="Times New Roman"/>
                <w:sz w:val="24"/>
                <w:szCs w:val="24"/>
              </w:rPr>
              <w:t>Eiropas Parlamenta un Padomes 2019.</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gada 20.</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 xml:space="preserve">maija </w:t>
            </w:r>
            <w:r w:rsidR="00B32AF1" w:rsidRPr="007B1360">
              <w:rPr>
                <w:rFonts w:ascii="Times New Roman" w:hAnsi="Times New Roman" w:cs="Times New Roman"/>
                <w:sz w:val="24"/>
                <w:szCs w:val="24"/>
              </w:rPr>
              <w:t>d</w:t>
            </w:r>
            <w:r w:rsidRPr="007B1360">
              <w:rPr>
                <w:rFonts w:ascii="Times New Roman" w:hAnsi="Times New Roman" w:cs="Times New Roman"/>
                <w:sz w:val="24"/>
                <w:szCs w:val="24"/>
              </w:rPr>
              <w:t>irektīva (ES)</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2019/878,</w:t>
            </w:r>
            <w:r w:rsidR="0040095C" w:rsidRPr="007B1360">
              <w:rPr>
                <w:rFonts w:ascii="Times New Roman" w:hAnsi="Times New Roman" w:cs="Times New Roman"/>
                <w:sz w:val="24"/>
                <w:szCs w:val="24"/>
              </w:rPr>
              <w:t xml:space="preserve"> </w:t>
            </w:r>
            <w:r w:rsidRPr="007B1360">
              <w:rPr>
                <w:rFonts w:ascii="Times New Roman" w:hAnsi="Times New Roman" w:cs="Times New Roman"/>
                <w:sz w:val="24"/>
                <w:szCs w:val="24"/>
              </w:rPr>
              <w:t xml:space="preserve">ar ko </w:t>
            </w:r>
            <w:r w:rsidR="00B32AF1" w:rsidRPr="007B1360">
              <w:rPr>
                <w:rFonts w:ascii="Times New Roman" w:hAnsi="Times New Roman" w:cs="Times New Roman"/>
                <w:sz w:val="24"/>
                <w:szCs w:val="24"/>
              </w:rPr>
              <w:t>d</w:t>
            </w:r>
            <w:r w:rsidRPr="007B1360">
              <w:rPr>
                <w:rFonts w:ascii="Times New Roman" w:hAnsi="Times New Roman" w:cs="Times New Roman"/>
                <w:sz w:val="24"/>
                <w:szCs w:val="24"/>
              </w:rPr>
              <w:t>irektīvu 2013/36/ES</w:t>
            </w:r>
            <w:r w:rsidR="0040095C" w:rsidRPr="007B1360">
              <w:rPr>
                <w:rFonts w:ascii="Times New Roman" w:hAnsi="Times New Roman" w:cs="Times New Roman"/>
                <w:sz w:val="24"/>
                <w:szCs w:val="24"/>
              </w:rPr>
              <w:t> </w:t>
            </w:r>
            <w:r w:rsidRPr="007B1360">
              <w:rPr>
                <w:rFonts w:ascii="Times New Roman" w:hAnsi="Times New Roman" w:cs="Times New Roman"/>
                <w:sz w:val="24"/>
                <w:szCs w:val="24"/>
              </w:rPr>
              <w:t xml:space="preserve">groza attiecībā uz atbrīvotajām sabiedrībām, finanšu </w:t>
            </w:r>
            <w:proofErr w:type="spellStart"/>
            <w:r w:rsidRPr="007B1360">
              <w:rPr>
                <w:rFonts w:ascii="Times New Roman" w:hAnsi="Times New Roman" w:cs="Times New Roman"/>
                <w:sz w:val="24"/>
                <w:szCs w:val="24"/>
              </w:rPr>
              <w:t>pārvaldītājsabiedrībām</w:t>
            </w:r>
            <w:proofErr w:type="spellEnd"/>
            <w:r w:rsidRPr="007B1360">
              <w:rPr>
                <w:rFonts w:ascii="Times New Roman" w:hAnsi="Times New Roman" w:cs="Times New Roman"/>
                <w:sz w:val="24"/>
                <w:szCs w:val="24"/>
              </w:rPr>
              <w:t xml:space="preserve">, jauktām finanšu </w:t>
            </w:r>
            <w:proofErr w:type="spellStart"/>
            <w:r w:rsidRPr="007B1360">
              <w:rPr>
                <w:rFonts w:ascii="Times New Roman" w:hAnsi="Times New Roman" w:cs="Times New Roman"/>
                <w:sz w:val="24"/>
                <w:szCs w:val="24"/>
              </w:rPr>
              <w:t>pārvaldītājsabiedrībām</w:t>
            </w:r>
            <w:proofErr w:type="spellEnd"/>
            <w:r w:rsidRPr="007B1360">
              <w:rPr>
                <w:rFonts w:ascii="Times New Roman" w:hAnsi="Times New Roman" w:cs="Times New Roman"/>
                <w:sz w:val="24"/>
                <w:szCs w:val="24"/>
              </w:rPr>
              <w:t>, atalgojumu, uzraudzības pasākumiem un pilnvarām, kā arī kapitāla saglabāšanas pasākumiem (turpmāk</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 Direktīva (ES)</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2019/878)</w:t>
            </w:r>
            <w:r w:rsidR="00996D7D" w:rsidRPr="007B1360">
              <w:rPr>
                <w:rFonts w:ascii="Times New Roman" w:hAnsi="Times New Roman" w:cs="Times New Roman"/>
                <w:sz w:val="24"/>
                <w:szCs w:val="24"/>
              </w:rPr>
              <w:t xml:space="preserve"> </w:t>
            </w:r>
            <w:r w:rsidRPr="007B1360">
              <w:rPr>
                <w:rFonts w:ascii="Times New Roman" w:hAnsi="Times New Roman" w:cs="Times New Roman"/>
                <w:sz w:val="24"/>
                <w:szCs w:val="24"/>
              </w:rPr>
              <w:t>precizē maksimāli sadalāmās summas aprēķināšanas kārtību, kas noteikta Direktīvas</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2013/36/ES 141.</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pantā</w:t>
            </w:r>
            <w:r w:rsidR="00D430B7" w:rsidRPr="007B1360">
              <w:rPr>
                <w:rFonts w:ascii="Times New Roman" w:hAnsi="Times New Roman" w:cs="Times New Roman"/>
                <w:sz w:val="24"/>
                <w:szCs w:val="24"/>
              </w:rPr>
              <w:t xml:space="preserve"> (Direktīvas (ES) 2019/878 1. panta 51. punkts)</w:t>
            </w:r>
            <w:r w:rsidR="00E0655E" w:rsidRPr="007B1360">
              <w:rPr>
                <w:rFonts w:ascii="Times New Roman" w:hAnsi="Times New Roman" w:cs="Times New Roman"/>
                <w:sz w:val="24"/>
                <w:szCs w:val="24"/>
              </w:rPr>
              <w:t xml:space="preserve">, kā arī </w:t>
            </w:r>
            <w:r w:rsidR="005F6090" w:rsidRPr="007B1360">
              <w:rPr>
                <w:rFonts w:ascii="Times New Roman" w:hAnsi="Times New Roman" w:cs="Times New Roman"/>
                <w:sz w:val="24"/>
                <w:szCs w:val="24"/>
              </w:rPr>
              <w:t>ar tās 1.</w:t>
            </w:r>
            <w:r w:rsidR="00577222" w:rsidRPr="007B1360">
              <w:rPr>
                <w:rFonts w:ascii="Times New Roman" w:hAnsi="Times New Roman" w:cs="Times New Roman"/>
                <w:sz w:val="24"/>
                <w:szCs w:val="24"/>
              </w:rPr>
              <w:t> </w:t>
            </w:r>
            <w:r w:rsidR="005F6090" w:rsidRPr="007B1360">
              <w:rPr>
                <w:rFonts w:ascii="Times New Roman" w:hAnsi="Times New Roman" w:cs="Times New Roman"/>
                <w:sz w:val="24"/>
                <w:szCs w:val="24"/>
              </w:rPr>
              <w:t>panta 52.</w:t>
            </w:r>
            <w:r w:rsidR="00577222" w:rsidRPr="007B1360">
              <w:rPr>
                <w:rFonts w:ascii="Times New Roman" w:hAnsi="Times New Roman" w:cs="Times New Roman"/>
                <w:sz w:val="24"/>
                <w:szCs w:val="24"/>
              </w:rPr>
              <w:t> </w:t>
            </w:r>
            <w:r w:rsidR="005F6090" w:rsidRPr="007B1360">
              <w:rPr>
                <w:rFonts w:ascii="Times New Roman" w:hAnsi="Times New Roman" w:cs="Times New Roman"/>
                <w:sz w:val="24"/>
                <w:szCs w:val="24"/>
              </w:rPr>
              <w:t>punktu ievieš Direktīvā</w:t>
            </w:r>
            <w:r w:rsidR="0084323D" w:rsidRPr="007B1360">
              <w:rPr>
                <w:rFonts w:ascii="Times New Roman" w:hAnsi="Times New Roman" w:cs="Times New Roman"/>
                <w:sz w:val="24"/>
                <w:szCs w:val="24"/>
              </w:rPr>
              <w:t> </w:t>
            </w:r>
            <w:r w:rsidR="005F6090" w:rsidRPr="007B1360">
              <w:rPr>
                <w:rFonts w:ascii="Times New Roman" w:hAnsi="Times New Roman" w:cs="Times New Roman"/>
                <w:sz w:val="24"/>
                <w:szCs w:val="24"/>
              </w:rPr>
              <w:t>2013/36/ES</w:t>
            </w:r>
            <w:r w:rsidR="0084323D" w:rsidRPr="007B1360">
              <w:rPr>
                <w:rFonts w:ascii="Times New Roman" w:hAnsi="Times New Roman" w:cs="Times New Roman"/>
                <w:sz w:val="24"/>
                <w:szCs w:val="24"/>
              </w:rPr>
              <w:t xml:space="preserve"> </w:t>
            </w:r>
            <w:r w:rsidR="00E0655E" w:rsidRPr="007B1360">
              <w:rPr>
                <w:rFonts w:ascii="Times New Roman" w:hAnsi="Times New Roman" w:cs="Times New Roman"/>
                <w:sz w:val="24"/>
                <w:szCs w:val="24"/>
              </w:rPr>
              <w:t>141.b</w:t>
            </w:r>
            <w:r w:rsidR="0084323D" w:rsidRPr="007B1360">
              <w:rPr>
                <w:rFonts w:ascii="Times New Roman" w:hAnsi="Times New Roman" w:cs="Times New Roman"/>
                <w:sz w:val="24"/>
                <w:szCs w:val="24"/>
              </w:rPr>
              <w:t> </w:t>
            </w:r>
            <w:r w:rsidR="00E0655E" w:rsidRPr="007B1360">
              <w:rPr>
                <w:rFonts w:ascii="Times New Roman" w:hAnsi="Times New Roman" w:cs="Times New Roman"/>
                <w:sz w:val="24"/>
                <w:szCs w:val="24"/>
              </w:rPr>
              <w:t>pant</w:t>
            </w:r>
            <w:r w:rsidR="005F6090" w:rsidRPr="007B1360">
              <w:rPr>
                <w:rFonts w:ascii="Times New Roman" w:hAnsi="Times New Roman" w:cs="Times New Roman"/>
                <w:sz w:val="24"/>
                <w:szCs w:val="24"/>
              </w:rPr>
              <w:t>u, kas</w:t>
            </w:r>
            <w:r w:rsidR="00E0655E" w:rsidRPr="007B1360">
              <w:rPr>
                <w:rFonts w:ascii="Times New Roman" w:hAnsi="Times New Roman" w:cs="Times New Roman"/>
                <w:sz w:val="24"/>
                <w:szCs w:val="24"/>
              </w:rPr>
              <w:t xml:space="preserve"> nosaka maksimāli sadalāmās summas aprēķināšanas kārtību </w:t>
            </w:r>
            <w:r w:rsidR="00E0655E" w:rsidRPr="00572BF3">
              <w:rPr>
                <w:rFonts w:ascii="Times New Roman" w:hAnsi="Times New Roman" w:cs="Times New Roman"/>
                <w:sz w:val="24"/>
                <w:szCs w:val="24"/>
              </w:rPr>
              <w:t xml:space="preserve">attiecībā uz </w:t>
            </w:r>
            <w:r w:rsidR="005B7F87" w:rsidRPr="00572BF3">
              <w:rPr>
                <w:rFonts w:ascii="Times New Roman" w:hAnsi="Times New Roman" w:cs="Times New Roman"/>
                <w:sz w:val="24"/>
                <w:szCs w:val="24"/>
              </w:rPr>
              <w:t>iestādēm</w:t>
            </w:r>
            <w:r w:rsidR="00E0655E" w:rsidRPr="00572BF3">
              <w:rPr>
                <w:rFonts w:ascii="Times New Roman" w:hAnsi="Times New Roman" w:cs="Times New Roman"/>
                <w:sz w:val="24"/>
                <w:szCs w:val="24"/>
              </w:rPr>
              <w:t xml:space="preserve">, </w:t>
            </w:r>
            <w:r w:rsidR="00300178" w:rsidRPr="00572BF3">
              <w:rPr>
                <w:rFonts w:ascii="Times New Roman" w:hAnsi="Times New Roman" w:cs="Times New Roman"/>
                <w:sz w:val="24"/>
                <w:szCs w:val="24"/>
              </w:rPr>
              <w:t>kas ir globāla</w:t>
            </w:r>
            <w:r w:rsidR="005B7F87" w:rsidRPr="00572BF3">
              <w:rPr>
                <w:rFonts w:ascii="Times New Roman" w:hAnsi="Times New Roman" w:cs="Times New Roman"/>
                <w:sz w:val="24"/>
                <w:szCs w:val="24"/>
              </w:rPr>
              <w:t>s</w:t>
            </w:r>
            <w:r w:rsidR="00300178" w:rsidRPr="00572BF3">
              <w:rPr>
                <w:rFonts w:ascii="Times New Roman" w:hAnsi="Times New Roman" w:cs="Times New Roman"/>
                <w:sz w:val="24"/>
                <w:szCs w:val="24"/>
              </w:rPr>
              <w:t xml:space="preserve"> sistēmiski nozīmīga</w:t>
            </w:r>
            <w:r w:rsidR="005B7F87" w:rsidRPr="00572BF3">
              <w:rPr>
                <w:rFonts w:ascii="Times New Roman" w:hAnsi="Times New Roman" w:cs="Times New Roman"/>
                <w:sz w:val="24"/>
                <w:szCs w:val="24"/>
              </w:rPr>
              <w:t>s</w:t>
            </w:r>
            <w:r w:rsidR="00300178" w:rsidRPr="00572BF3">
              <w:rPr>
                <w:rFonts w:ascii="Times New Roman" w:hAnsi="Times New Roman" w:cs="Times New Roman"/>
                <w:sz w:val="24"/>
                <w:szCs w:val="24"/>
              </w:rPr>
              <w:t xml:space="preserve"> iestāde</w:t>
            </w:r>
            <w:r w:rsidR="005B7F87" w:rsidRPr="00572BF3">
              <w:rPr>
                <w:rFonts w:ascii="Times New Roman" w:hAnsi="Times New Roman" w:cs="Times New Roman"/>
                <w:sz w:val="24"/>
                <w:szCs w:val="24"/>
              </w:rPr>
              <w:t>s</w:t>
            </w:r>
            <w:r w:rsidR="00300178" w:rsidRPr="00572BF3">
              <w:rPr>
                <w:rFonts w:ascii="Times New Roman" w:hAnsi="Times New Roman" w:cs="Times New Roman"/>
                <w:sz w:val="24"/>
                <w:szCs w:val="24"/>
              </w:rPr>
              <w:t xml:space="preserve">, </w:t>
            </w:r>
            <w:r w:rsidR="00B626DA" w:rsidRPr="00572BF3">
              <w:rPr>
                <w:rFonts w:ascii="Times New Roman" w:hAnsi="Times New Roman" w:cs="Times New Roman"/>
                <w:sz w:val="24"/>
                <w:szCs w:val="24"/>
              </w:rPr>
              <w:t xml:space="preserve">ja tās </w:t>
            </w:r>
            <w:r w:rsidR="00E0655E" w:rsidRPr="00572BF3">
              <w:rPr>
                <w:rFonts w:ascii="Times New Roman" w:hAnsi="Times New Roman" w:cs="Times New Roman"/>
                <w:sz w:val="24"/>
                <w:szCs w:val="24"/>
              </w:rPr>
              <w:t xml:space="preserve">neievēro </w:t>
            </w:r>
            <w:r w:rsidR="00561840" w:rsidRPr="00572BF3">
              <w:rPr>
                <w:rFonts w:ascii="Times New Roman" w:hAnsi="Times New Roman" w:cs="Times New Roman"/>
                <w:sz w:val="24"/>
                <w:szCs w:val="24"/>
              </w:rPr>
              <w:t>Eiropas Parlamenta un Padomes 2013.</w:t>
            </w:r>
            <w:r w:rsidR="00577222" w:rsidRPr="00572BF3">
              <w:rPr>
                <w:rFonts w:ascii="Times New Roman" w:hAnsi="Times New Roman" w:cs="Times New Roman"/>
                <w:sz w:val="24"/>
                <w:szCs w:val="24"/>
              </w:rPr>
              <w:t> </w:t>
            </w:r>
            <w:r w:rsidR="00561840" w:rsidRPr="00572BF3">
              <w:rPr>
                <w:rFonts w:ascii="Times New Roman" w:hAnsi="Times New Roman" w:cs="Times New Roman"/>
                <w:sz w:val="24"/>
                <w:szCs w:val="24"/>
              </w:rPr>
              <w:t>gada 26.</w:t>
            </w:r>
            <w:r w:rsidR="00577222" w:rsidRPr="00572BF3">
              <w:rPr>
                <w:rFonts w:ascii="Times New Roman" w:hAnsi="Times New Roman" w:cs="Times New Roman"/>
                <w:sz w:val="24"/>
                <w:szCs w:val="24"/>
              </w:rPr>
              <w:t> </w:t>
            </w:r>
            <w:r w:rsidR="00B32AF1" w:rsidRPr="00572BF3">
              <w:rPr>
                <w:rFonts w:ascii="Times New Roman" w:hAnsi="Times New Roman" w:cs="Times New Roman"/>
                <w:sz w:val="24"/>
                <w:szCs w:val="24"/>
              </w:rPr>
              <w:t>jūnija</w:t>
            </w:r>
            <w:r w:rsidR="00561840" w:rsidRPr="00572BF3">
              <w:rPr>
                <w:rFonts w:ascii="Times New Roman" w:hAnsi="Times New Roman" w:cs="Times New Roman"/>
                <w:sz w:val="24"/>
                <w:szCs w:val="24"/>
              </w:rPr>
              <w:t xml:space="preserve"> </w:t>
            </w:r>
            <w:r w:rsidR="00B32AF1" w:rsidRPr="00572BF3">
              <w:rPr>
                <w:rFonts w:ascii="Times New Roman" w:hAnsi="Times New Roman" w:cs="Times New Roman"/>
                <w:sz w:val="24"/>
                <w:szCs w:val="24"/>
              </w:rPr>
              <w:t>r</w:t>
            </w:r>
            <w:r w:rsidR="00561840" w:rsidRPr="00572BF3">
              <w:rPr>
                <w:rFonts w:ascii="Times New Roman" w:hAnsi="Times New Roman" w:cs="Times New Roman"/>
                <w:sz w:val="24"/>
                <w:szCs w:val="24"/>
              </w:rPr>
              <w:t>egulas (ES) Nr.</w:t>
            </w:r>
            <w:r w:rsidR="00577222" w:rsidRPr="00572BF3">
              <w:rPr>
                <w:rFonts w:ascii="Times New Roman" w:hAnsi="Times New Roman" w:cs="Times New Roman"/>
                <w:sz w:val="24"/>
                <w:szCs w:val="24"/>
              </w:rPr>
              <w:t> </w:t>
            </w:r>
            <w:r w:rsidR="00561840" w:rsidRPr="00572BF3">
              <w:rPr>
                <w:rFonts w:ascii="Times New Roman" w:hAnsi="Times New Roman" w:cs="Times New Roman"/>
                <w:sz w:val="24"/>
                <w:szCs w:val="24"/>
              </w:rPr>
              <w:t xml:space="preserve">575/2013 par prudenciālajām prasībām attiecībā uz kredītiestādēm, un ar ko groza </w:t>
            </w:r>
            <w:r w:rsidR="00B32AF1" w:rsidRPr="00572BF3">
              <w:rPr>
                <w:rFonts w:ascii="Times New Roman" w:hAnsi="Times New Roman" w:cs="Times New Roman"/>
                <w:sz w:val="24"/>
                <w:szCs w:val="24"/>
              </w:rPr>
              <w:t>r</w:t>
            </w:r>
            <w:r w:rsidR="00561840" w:rsidRPr="00572BF3">
              <w:rPr>
                <w:rFonts w:ascii="Times New Roman" w:hAnsi="Times New Roman" w:cs="Times New Roman"/>
                <w:sz w:val="24"/>
                <w:szCs w:val="24"/>
              </w:rPr>
              <w:t>egulu (ES) Nr.</w:t>
            </w:r>
            <w:r w:rsidR="00577222" w:rsidRPr="00572BF3">
              <w:rPr>
                <w:rFonts w:ascii="Times New Roman" w:hAnsi="Times New Roman" w:cs="Times New Roman"/>
                <w:sz w:val="24"/>
                <w:szCs w:val="24"/>
              </w:rPr>
              <w:t> </w:t>
            </w:r>
            <w:r w:rsidR="00561840" w:rsidRPr="00572BF3">
              <w:rPr>
                <w:rFonts w:ascii="Times New Roman" w:hAnsi="Times New Roman" w:cs="Times New Roman"/>
                <w:sz w:val="24"/>
                <w:szCs w:val="24"/>
              </w:rPr>
              <w:t>648/2012 (turpmāk</w:t>
            </w:r>
            <w:r w:rsidR="00577222" w:rsidRPr="00572BF3">
              <w:rPr>
                <w:rFonts w:ascii="Times New Roman" w:hAnsi="Times New Roman" w:cs="Times New Roman"/>
                <w:sz w:val="24"/>
                <w:szCs w:val="24"/>
              </w:rPr>
              <w:t> </w:t>
            </w:r>
            <w:r w:rsidR="00561840" w:rsidRPr="00572BF3">
              <w:rPr>
                <w:rFonts w:ascii="Times New Roman" w:hAnsi="Times New Roman" w:cs="Times New Roman"/>
                <w:sz w:val="24"/>
                <w:szCs w:val="24"/>
              </w:rPr>
              <w:t xml:space="preserve">– </w:t>
            </w:r>
            <w:r w:rsidR="006A4445" w:rsidRPr="00572BF3">
              <w:rPr>
                <w:rFonts w:ascii="Times New Roman" w:hAnsi="Times New Roman" w:cs="Times New Roman"/>
                <w:sz w:val="24"/>
                <w:szCs w:val="24"/>
              </w:rPr>
              <w:t xml:space="preserve">Regula </w:t>
            </w:r>
            <w:r w:rsidR="00561840" w:rsidRPr="00572BF3">
              <w:rPr>
                <w:rFonts w:ascii="Times New Roman" w:hAnsi="Times New Roman" w:cs="Times New Roman"/>
                <w:sz w:val="24"/>
                <w:szCs w:val="24"/>
              </w:rPr>
              <w:t>Nr.</w:t>
            </w:r>
            <w:r w:rsidR="00577222" w:rsidRPr="00572BF3">
              <w:rPr>
                <w:rFonts w:ascii="Times New Roman" w:hAnsi="Times New Roman" w:cs="Times New Roman"/>
                <w:sz w:val="24"/>
                <w:szCs w:val="24"/>
              </w:rPr>
              <w:t> </w:t>
            </w:r>
            <w:r w:rsidR="00561840" w:rsidRPr="00572BF3">
              <w:rPr>
                <w:rFonts w:ascii="Times New Roman" w:hAnsi="Times New Roman" w:cs="Times New Roman"/>
                <w:sz w:val="24"/>
                <w:szCs w:val="24"/>
              </w:rPr>
              <w:t>575/2013) 92.</w:t>
            </w:r>
            <w:r w:rsidR="00577222" w:rsidRPr="00572BF3">
              <w:rPr>
                <w:rFonts w:ascii="Times New Roman" w:hAnsi="Times New Roman" w:cs="Times New Roman"/>
                <w:sz w:val="24"/>
                <w:szCs w:val="24"/>
              </w:rPr>
              <w:t> </w:t>
            </w:r>
            <w:r w:rsidR="00561840" w:rsidRPr="00572BF3">
              <w:rPr>
                <w:rFonts w:ascii="Times New Roman" w:hAnsi="Times New Roman" w:cs="Times New Roman"/>
                <w:sz w:val="24"/>
                <w:szCs w:val="24"/>
              </w:rPr>
              <w:t>panta 1</w:t>
            </w:r>
            <w:r w:rsidR="00606FCF" w:rsidRPr="00572BF3">
              <w:rPr>
                <w:rFonts w:ascii="Times New Roman" w:hAnsi="Times New Roman" w:cs="Times New Roman"/>
                <w:sz w:val="24"/>
                <w:szCs w:val="24"/>
              </w:rPr>
              <w:t>.</w:t>
            </w:r>
            <w:r w:rsidR="00561840" w:rsidRPr="00572BF3">
              <w:rPr>
                <w:rFonts w:ascii="Times New Roman" w:hAnsi="Times New Roman" w:cs="Times New Roman"/>
                <w:sz w:val="24"/>
                <w:szCs w:val="24"/>
              </w:rPr>
              <w:t>a</w:t>
            </w:r>
            <w:r w:rsidR="00577222" w:rsidRPr="00572BF3">
              <w:rPr>
                <w:rFonts w:ascii="Times New Roman" w:hAnsi="Times New Roman" w:cs="Times New Roman"/>
                <w:sz w:val="24"/>
                <w:szCs w:val="24"/>
              </w:rPr>
              <w:t> </w:t>
            </w:r>
            <w:r w:rsidR="00561840" w:rsidRPr="00572BF3">
              <w:rPr>
                <w:rFonts w:ascii="Times New Roman" w:hAnsi="Times New Roman" w:cs="Times New Roman"/>
                <w:sz w:val="24"/>
                <w:szCs w:val="24"/>
              </w:rPr>
              <w:t>punkta prasības, t.</w:t>
            </w:r>
            <w:r w:rsidR="00C12CF8" w:rsidRPr="00572BF3">
              <w:rPr>
                <w:rFonts w:ascii="Times New Roman" w:hAnsi="Times New Roman" w:cs="Times New Roman"/>
                <w:sz w:val="24"/>
                <w:szCs w:val="24"/>
              </w:rPr>
              <w:t> </w:t>
            </w:r>
            <w:r w:rsidR="00561840" w:rsidRPr="00572BF3">
              <w:rPr>
                <w:rFonts w:ascii="Times New Roman" w:hAnsi="Times New Roman" w:cs="Times New Roman"/>
                <w:sz w:val="24"/>
                <w:szCs w:val="24"/>
              </w:rPr>
              <w:t xml:space="preserve">i., </w:t>
            </w:r>
            <w:r w:rsidR="00E0655E" w:rsidRPr="00572BF3">
              <w:rPr>
                <w:rFonts w:ascii="Times New Roman" w:hAnsi="Times New Roman" w:cs="Times New Roman"/>
                <w:sz w:val="24"/>
                <w:szCs w:val="24"/>
              </w:rPr>
              <w:t>sviras rādītāja rezerves prasību</w:t>
            </w:r>
            <w:r w:rsidRPr="007B1360">
              <w:rPr>
                <w:rFonts w:ascii="Times New Roman" w:hAnsi="Times New Roman" w:cs="Times New Roman"/>
                <w:sz w:val="24"/>
                <w:szCs w:val="24"/>
              </w:rPr>
              <w:t>.</w:t>
            </w:r>
            <w:r w:rsidR="00F52256" w:rsidRPr="007B1360">
              <w:rPr>
                <w:rFonts w:ascii="Times New Roman" w:hAnsi="Times New Roman" w:cs="Times New Roman"/>
                <w:sz w:val="24"/>
                <w:szCs w:val="24"/>
              </w:rPr>
              <w:t xml:space="preserve"> </w:t>
            </w:r>
          </w:p>
          <w:p w14:paraId="0DBB2541" w14:textId="77777777" w:rsidR="00EE61B4" w:rsidRPr="007B1360" w:rsidRDefault="00EE61B4" w:rsidP="00EA2EB2">
            <w:pPr>
              <w:jc w:val="both"/>
              <w:rPr>
                <w:rFonts w:ascii="Times New Roman" w:hAnsi="Times New Roman" w:cs="Times New Roman"/>
                <w:sz w:val="24"/>
                <w:szCs w:val="24"/>
              </w:rPr>
            </w:pPr>
          </w:p>
          <w:p w14:paraId="1CC6ADB0" w14:textId="4ED17553" w:rsidR="00996D7D" w:rsidRPr="007B1360" w:rsidRDefault="00F52256" w:rsidP="00EA2EB2">
            <w:pPr>
              <w:jc w:val="both"/>
              <w:rPr>
                <w:rFonts w:ascii="Times New Roman" w:hAnsi="Times New Roman" w:cs="Times New Roman"/>
                <w:sz w:val="24"/>
                <w:szCs w:val="24"/>
              </w:rPr>
            </w:pPr>
            <w:r w:rsidRPr="007B1360">
              <w:rPr>
                <w:rFonts w:ascii="Times New Roman" w:hAnsi="Times New Roman" w:cs="Times New Roman"/>
                <w:sz w:val="24"/>
                <w:szCs w:val="24"/>
              </w:rPr>
              <w:t>Lai nodrošinātu Direktīvas (ES) 2019/878 1. panta 51. punkta, kas precizē maksimāli sadalāmās summas aprēķināšanas kārtību, k</w:t>
            </w:r>
            <w:r w:rsidR="00437266" w:rsidRPr="007B1360">
              <w:rPr>
                <w:rFonts w:ascii="Times New Roman" w:hAnsi="Times New Roman" w:cs="Times New Roman"/>
                <w:sz w:val="24"/>
                <w:szCs w:val="24"/>
              </w:rPr>
              <w:t>ura</w:t>
            </w:r>
            <w:r w:rsidRPr="007B1360">
              <w:rPr>
                <w:rFonts w:ascii="Times New Roman" w:hAnsi="Times New Roman" w:cs="Times New Roman"/>
                <w:sz w:val="24"/>
                <w:szCs w:val="24"/>
              </w:rPr>
              <w:t xml:space="preserve"> noteikta Direktīvas 2013/36/ES 141. pantā, ieviešanu, tika </w:t>
            </w:r>
            <w:r w:rsidRPr="007B1360">
              <w:rPr>
                <w:rFonts w:ascii="Times New Roman" w:hAnsi="Times New Roman" w:cs="Times New Roman"/>
                <w:sz w:val="24"/>
                <w:szCs w:val="24"/>
              </w:rPr>
              <w:lastRenderedPageBreak/>
              <w:t xml:space="preserve">apstiprināti Finanšu un kapitāla tirgus komisijas 2020. gada 27. oktobra normatīvie noteikumi Nr. 198 "Normatīvie noteikumi par maksimāli sadalāmās summas aprēķināšanas kārtību". Stājoties spēkā minētajiem noteikumiem, </w:t>
            </w:r>
            <w:r w:rsidR="00F41E0D" w:rsidRPr="007B1360">
              <w:rPr>
                <w:rFonts w:ascii="Times New Roman" w:hAnsi="Times New Roman" w:cs="Times New Roman"/>
                <w:sz w:val="24"/>
                <w:szCs w:val="24"/>
              </w:rPr>
              <w:t>Finanšu un kapitāla tirgus komisijas 2014. gada 23. jūlija normatīvie noteikumi Nr. 145 "Normatīvie noteikumi par maksimāli sadalāmās summas aprēķināšanas kārtību"</w:t>
            </w:r>
            <w:r w:rsidRPr="007B1360">
              <w:rPr>
                <w:rFonts w:ascii="Times New Roman" w:hAnsi="Times New Roman" w:cs="Times New Roman"/>
                <w:sz w:val="24"/>
                <w:szCs w:val="24"/>
              </w:rPr>
              <w:t xml:space="preserve"> zaudēja spēku.</w:t>
            </w:r>
          </w:p>
          <w:p w14:paraId="2CB248EC" w14:textId="77777777" w:rsidR="00437266" w:rsidRPr="007B1360" w:rsidRDefault="00437266" w:rsidP="00EA2EB2">
            <w:pPr>
              <w:jc w:val="both"/>
              <w:rPr>
                <w:rFonts w:ascii="Times New Roman" w:hAnsi="Times New Roman" w:cs="Times New Roman"/>
                <w:sz w:val="24"/>
                <w:szCs w:val="24"/>
              </w:rPr>
            </w:pPr>
          </w:p>
          <w:p w14:paraId="37AB2300" w14:textId="3EE80954" w:rsidR="0021670E" w:rsidRPr="007B1360" w:rsidRDefault="00F52256" w:rsidP="00F11EC5">
            <w:pPr>
              <w:jc w:val="both"/>
              <w:rPr>
                <w:rFonts w:ascii="Times New Roman" w:hAnsi="Times New Roman" w:cs="Times New Roman"/>
                <w:sz w:val="24"/>
                <w:szCs w:val="24"/>
              </w:rPr>
            </w:pPr>
            <w:r w:rsidRPr="007B1360">
              <w:rPr>
                <w:rFonts w:ascii="Times New Roman" w:hAnsi="Times New Roman" w:cs="Times New Roman"/>
                <w:sz w:val="24"/>
                <w:szCs w:val="24"/>
              </w:rPr>
              <w:t>Savukārt, lai ieviestu Direktīvas (ES) 2019/878 1. panta 52. punktu, kas ievieš Direktīvā 2013/36/ES 141.b pantu, tika apstiprināti Finanšu un kapitāla tirgus komisijas 2021. gada 16. novembra normatīvie noteikumi Nr. 155 "Ar sviras rādītāja rezerves prasību saistītās maksimāli sadalāmās summas aprēķināšanas kārtība".</w:t>
            </w:r>
          </w:p>
          <w:p w14:paraId="0C51C91D" w14:textId="77777777" w:rsidR="0021670E" w:rsidRPr="007B1360" w:rsidRDefault="0021670E" w:rsidP="00F11EC5">
            <w:pPr>
              <w:jc w:val="both"/>
              <w:rPr>
                <w:rFonts w:ascii="Times New Roman" w:hAnsi="Times New Roman" w:cs="Times New Roman"/>
                <w:sz w:val="24"/>
                <w:szCs w:val="24"/>
              </w:rPr>
            </w:pPr>
          </w:p>
          <w:p w14:paraId="5943413F" w14:textId="5F07F814" w:rsidR="00686149" w:rsidRPr="007B1360" w:rsidRDefault="00914D5A" w:rsidP="00F11EC5">
            <w:pPr>
              <w:jc w:val="both"/>
              <w:rPr>
                <w:rFonts w:ascii="Times New Roman" w:hAnsi="Times New Roman" w:cs="Times New Roman"/>
                <w:sz w:val="24"/>
                <w:szCs w:val="24"/>
              </w:rPr>
            </w:pPr>
            <w:r w:rsidRPr="007B1360">
              <w:rPr>
                <w:rFonts w:ascii="Times New Roman" w:hAnsi="Times New Roman" w:cs="Times New Roman"/>
                <w:sz w:val="24"/>
                <w:szCs w:val="24"/>
              </w:rPr>
              <w:t>N</w:t>
            </w:r>
            <w:r w:rsidR="008D0C81" w:rsidRPr="007B1360">
              <w:rPr>
                <w:rFonts w:ascii="Times New Roman" w:hAnsi="Times New Roman" w:cs="Times New Roman"/>
                <w:sz w:val="24"/>
                <w:szCs w:val="24"/>
              </w:rPr>
              <w:t xml:space="preserve">oteikumu projekts izstrādāts ar mērķi noteikt </w:t>
            </w:r>
            <w:r w:rsidR="00686149" w:rsidRPr="007B1360">
              <w:rPr>
                <w:rFonts w:ascii="Times New Roman" w:hAnsi="Times New Roman" w:cs="Times New Roman"/>
                <w:sz w:val="24"/>
                <w:szCs w:val="24"/>
              </w:rPr>
              <w:t>maksimāli sadalāmās summas aprēķināšanas kārtību</w:t>
            </w:r>
            <w:r w:rsidR="005B7F87" w:rsidRPr="007B1360">
              <w:rPr>
                <w:rFonts w:ascii="Times New Roman" w:hAnsi="Times New Roman" w:cs="Times New Roman"/>
                <w:sz w:val="24"/>
                <w:szCs w:val="24"/>
              </w:rPr>
              <w:t xml:space="preserve"> attiecībā uz </w:t>
            </w:r>
            <w:r w:rsidR="005B7F87" w:rsidRPr="0018395C">
              <w:rPr>
                <w:rFonts w:ascii="Times New Roman" w:hAnsi="Times New Roman" w:cs="Times New Roman"/>
                <w:sz w:val="24"/>
                <w:szCs w:val="24"/>
              </w:rPr>
              <w:t xml:space="preserve">iestādēm, </w:t>
            </w:r>
            <w:r w:rsidR="00B626DA" w:rsidRPr="0018395C">
              <w:rPr>
                <w:rFonts w:ascii="Times New Roman" w:hAnsi="Times New Roman" w:cs="Times New Roman"/>
                <w:sz w:val="24"/>
                <w:szCs w:val="24"/>
              </w:rPr>
              <w:t xml:space="preserve">ja tās </w:t>
            </w:r>
            <w:r w:rsidR="005B7F87" w:rsidRPr="0018395C">
              <w:rPr>
                <w:rFonts w:ascii="Times New Roman" w:hAnsi="Times New Roman" w:cs="Times New Roman"/>
                <w:sz w:val="24"/>
                <w:szCs w:val="24"/>
              </w:rPr>
              <w:t>neievēro kopējo kapitāla rezervju prasību</w:t>
            </w:r>
            <w:r w:rsidR="00F3350F" w:rsidRPr="007B1360">
              <w:rPr>
                <w:rFonts w:ascii="Times New Roman" w:hAnsi="Times New Roman" w:cs="Times New Roman"/>
                <w:sz w:val="24"/>
                <w:szCs w:val="24"/>
              </w:rPr>
              <w:t>,</w:t>
            </w:r>
            <w:r w:rsidR="005B7F87" w:rsidRPr="007B1360">
              <w:rPr>
                <w:rFonts w:ascii="Times New Roman" w:hAnsi="Times New Roman" w:cs="Times New Roman"/>
                <w:sz w:val="24"/>
                <w:szCs w:val="24"/>
              </w:rPr>
              <w:t xml:space="preserve"> un </w:t>
            </w:r>
            <w:r w:rsidR="005B7F87" w:rsidRPr="0018395C">
              <w:rPr>
                <w:rFonts w:ascii="Times New Roman" w:hAnsi="Times New Roman" w:cs="Times New Roman"/>
                <w:sz w:val="24"/>
                <w:szCs w:val="24"/>
              </w:rPr>
              <w:t xml:space="preserve">iestādēm, kas ir globālas sistēmiski nozīmīgas iestādes, </w:t>
            </w:r>
            <w:r w:rsidR="00B626DA" w:rsidRPr="0018395C">
              <w:rPr>
                <w:rFonts w:ascii="Times New Roman" w:hAnsi="Times New Roman" w:cs="Times New Roman"/>
                <w:sz w:val="24"/>
                <w:szCs w:val="24"/>
              </w:rPr>
              <w:t xml:space="preserve">ja tās </w:t>
            </w:r>
            <w:r w:rsidR="005B7F87" w:rsidRPr="0018395C">
              <w:rPr>
                <w:rFonts w:ascii="Times New Roman" w:hAnsi="Times New Roman" w:cs="Times New Roman"/>
                <w:sz w:val="24"/>
                <w:szCs w:val="24"/>
              </w:rPr>
              <w:t>neievēro sviras rādītāja rezerves prasību</w:t>
            </w:r>
            <w:r w:rsidR="00996D7D" w:rsidRPr="007B1360">
              <w:rPr>
                <w:rFonts w:ascii="Times New Roman" w:hAnsi="Times New Roman" w:cs="Times New Roman"/>
                <w:sz w:val="24"/>
                <w:szCs w:val="24"/>
              </w:rPr>
              <w:t xml:space="preserve">, tādējādi nodrošinot </w:t>
            </w:r>
            <w:r w:rsidR="0071625E" w:rsidRPr="007B1360">
              <w:rPr>
                <w:rFonts w:ascii="Times New Roman" w:hAnsi="Times New Roman" w:cs="Times New Roman"/>
                <w:sz w:val="24"/>
                <w:szCs w:val="24"/>
              </w:rPr>
              <w:t>Direktīvas</w:t>
            </w:r>
            <w:r w:rsidR="0084323D" w:rsidRPr="007B1360">
              <w:rPr>
                <w:rFonts w:ascii="Times New Roman" w:hAnsi="Times New Roman" w:cs="Times New Roman"/>
                <w:sz w:val="24"/>
                <w:szCs w:val="24"/>
              </w:rPr>
              <w:t> </w:t>
            </w:r>
            <w:r w:rsidR="0071625E" w:rsidRPr="007B1360">
              <w:rPr>
                <w:rFonts w:ascii="Times New Roman" w:hAnsi="Times New Roman" w:cs="Times New Roman"/>
                <w:sz w:val="24"/>
                <w:szCs w:val="24"/>
              </w:rPr>
              <w:t>2013/36/ES</w:t>
            </w:r>
            <w:r w:rsidR="0003590D" w:rsidRPr="007B1360">
              <w:rPr>
                <w:rFonts w:ascii="Times New Roman" w:hAnsi="Times New Roman" w:cs="Times New Roman"/>
                <w:sz w:val="24"/>
                <w:szCs w:val="24"/>
              </w:rPr>
              <w:t>, ko groza Direktīva (ES)</w:t>
            </w:r>
            <w:r w:rsidR="0084323D" w:rsidRPr="007B1360">
              <w:rPr>
                <w:rFonts w:ascii="Times New Roman" w:hAnsi="Times New Roman" w:cs="Times New Roman"/>
                <w:sz w:val="24"/>
                <w:szCs w:val="24"/>
              </w:rPr>
              <w:t> </w:t>
            </w:r>
            <w:r w:rsidR="0003590D" w:rsidRPr="007B1360">
              <w:rPr>
                <w:rFonts w:ascii="Times New Roman" w:hAnsi="Times New Roman" w:cs="Times New Roman"/>
                <w:sz w:val="24"/>
                <w:szCs w:val="24"/>
              </w:rPr>
              <w:t>2019/878,</w:t>
            </w:r>
            <w:r w:rsidR="0071625E" w:rsidRPr="007B1360">
              <w:rPr>
                <w:rFonts w:ascii="Times New Roman" w:hAnsi="Times New Roman" w:cs="Times New Roman"/>
                <w:sz w:val="24"/>
                <w:szCs w:val="24"/>
              </w:rPr>
              <w:t xml:space="preserve"> 141.</w:t>
            </w:r>
            <w:r w:rsidR="008B03F7" w:rsidRPr="007B1360">
              <w:rPr>
                <w:rFonts w:ascii="Times New Roman" w:hAnsi="Times New Roman" w:cs="Times New Roman"/>
                <w:sz w:val="24"/>
                <w:szCs w:val="24"/>
              </w:rPr>
              <w:t> </w:t>
            </w:r>
            <w:r w:rsidR="0071625E" w:rsidRPr="007B1360">
              <w:rPr>
                <w:rFonts w:ascii="Times New Roman" w:hAnsi="Times New Roman" w:cs="Times New Roman"/>
                <w:sz w:val="24"/>
                <w:szCs w:val="24"/>
              </w:rPr>
              <w:t xml:space="preserve">panta </w:t>
            </w:r>
            <w:r w:rsidR="00494F09" w:rsidRPr="007B1360">
              <w:rPr>
                <w:rFonts w:ascii="Times New Roman" w:hAnsi="Times New Roman" w:cs="Times New Roman"/>
                <w:sz w:val="24"/>
                <w:szCs w:val="24"/>
              </w:rPr>
              <w:t>un 141.b</w:t>
            </w:r>
            <w:r w:rsidR="008B03F7" w:rsidRPr="007B1360">
              <w:rPr>
                <w:rFonts w:ascii="Times New Roman" w:hAnsi="Times New Roman" w:cs="Times New Roman"/>
                <w:sz w:val="24"/>
                <w:szCs w:val="24"/>
              </w:rPr>
              <w:t> </w:t>
            </w:r>
            <w:r w:rsidR="00494F09" w:rsidRPr="007B1360">
              <w:rPr>
                <w:rFonts w:ascii="Times New Roman" w:hAnsi="Times New Roman" w:cs="Times New Roman"/>
                <w:sz w:val="24"/>
                <w:szCs w:val="24"/>
              </w:rPr>
              <w:t xml:space="preserve">panta </w:t>
            </w:r>
            <w:r w:rsidR="0071625E" w:rsidRPr="007B1360">
              <w:rPr>
                <w:rFonts w:ascii="Times New Roman" w:hAnsi="Times New Roman" w:cs="Times New Roman"/>
                <w:sz w:val="24"/>
                <w:szCs w:val="24"/>
              </w:rPr>
              <w:t>prasību ieviešanu Latvijas Republikas normatīvajos aktos</w:t>
            </w:r>
            <w:r w:rsidR="00996D7D" w:rsidRPr="007B1360">
              <w:rPr>
                <w:rFonts w:ascii="Times New Roman" w:hAnsi="Times New Roman" w:cs="Times New Roman"/>
                <w:sz w:val="24"/>
                <w:szCs w:val="24"/>
              </w:rPr>
              <w:t>.</w:t>
            </w:r>
            <w:r w:rsidR="00686149" w:rsidRPr="007B1360">
              <w:rPr>
                <w:rFonts w:ascii="Times New Roman" w:hAnsi="Times New Roman" w:cs="Times New Roman"/>
                <w:sz w:val="24"/>
                <w:szCs w:val="24"/>
              </w:rPr>
              <w:t xml:space="preserve"> </w:t>
            </w:r>
          </w:p>
          <w:p w14:paraId="45BDA4A8" w14:textId="77777777" w:rsidR="00BE22D3" w:rsidRPr="007B1360" w:rsidRDefault="00BE22D3" w:rsidP="00F11EC5">
            <w:pPr>
              <w:jc w:val="both"/>
              <w:rPr>
                <w:rFonts w:ascii="Times New Roman" w:hAnsi="Times New Roman" w:cs="Times New Roman"/>
                <w:sz w:val="24"/>
                <w:szCs w:val="24"/>
              </w:rPr>
            </w:pPr>
          </w:p>
          <w:p w14:paraId="3ED45EF6" w14:textId="04943B90" w:rsidR="00BE22D3" w:rsidRPr="007B1360" w:rsidRDefault="00BE22D3" w:rsidP="00F11EC5">
            <w:pPr>
              <w:jc w:val="both"/>
              <w:rPr>
                <w:rFonts w:ascii="Times New Roman" w:hAnsi="Times New Roman" w:cs="Times New Roman"/>
                <w:sz w:val="24"/>
                <w:szCs w:val="24"/>
              </w:rPr>
            </w:pPr>
            <w:r w:rsidRPr="007B1360">
              <w:rPr>
                <w:rFonts w:ascii="Times New Roman" w:hAnsi="Times New Roman" w:cs="Times New Roman"/>
                <w:sz w:val="24"/>
                <w:szCs w:val="24"/>
              </w:rPr>
              <w:t xml:space="preserve">Šāds regulējums nepieciešams, lai veicinātu, ka </w:t>
            </w:r>
            <w:r w:rsidRPr="0018395C">
              <w:rPr>
                <w:rFonts w:ascii="Times New Roman" w:hAnsi="Times New Roman" w:cs="Times New Roman"/>
                <w:sz w:val="24"/>
                <w:szCs w:val="24"/>
              </w:rPr>
              <w:t>iestādes, ja tās neievēro kopējo kapitāla rezervju prasību, un iestādes, kas ir globālas sistēmiski nozīmīgas iestādes, ja tās neievēro sviras rādītāja rezerves prasību</w:t>
            </w:r>
            <w:r w:rsidRPr="007B1360">
              <w:rPr>
                <w:rFonts w:ascii="Times New Roman" w:hAnsi="Times New Roman" w:cs="Times New Roman"/>
                <w:sz w:val="24"/>
                <w:szCs w:val="24"/>
              </w:rPr>
              <w:t xml:space="preserve">, saglabā pirmā līmeņa pamata kapitāla aprēķinā neiekļauto starpposma peļņu un pārskata gada peļņu, nevis to sadala, tādējādi stiprinot to pašu kapitālu un aizsargājot </w:t>
            </w:r>
            <w:r w:rsidRPr="00C33A7E">
              <w:rPr>
                <w:rFonts w:ascii="Times New Roman" w:hAnsi="Times New Roman" w:cs="Times New Roman"/>
                <w:sz w:val="24"/>
                <w:szCs w:val="24"/>
              </w:rPr>
              <w:t>kreditoru</w:t>
            </w:r>
            <w:r w:rsidRPr="007B1360">
              <w:rPr>
                <w:rFonts w:ascii="Times New Roman" w:hAnsi="Times New Roman" w:cs="Times New Roman"/>
                <w:sz w:val="24"/>
                <w:szCs w:val="24"/>
              </w:rPr>
              <w:t xml:space="preserve"> intereses.</w:t>
            </w:r>
          </w:p>
          <w:p w14:paraId="7DA3D541" w14:textId="77777777" w:rsidR="00686149" w:rsidRPr="007B1360" w:rsidRDefault="00686149" w:rsidP="00F11EC5">
            <w:pPr>
              <w:jc w:val="both"/>
              <w:rPr>
                <w:rFonts w:ascii="Times New Roman" w:hAnsi="Times New Roman" w:cs="Times New Roman"/>
                <w:sz w:val="24"/>
                <w:szCs w:val="24"/>
              </w:rPr>
            </w:pPr>
          </w:p>
          <w:bookmarkEnd w:id="0"/>
          <w:p w14:paraId="077C269E" w14:textId="6AE8C996" w:rsidR="00E0655E" w:rsidRPr="007B1360" w:rsidRDefault="00F1508E" w:rsidP="00F1508E">
            <w:pPr>
              <w:jc w:val="both"/>
              <w:rPr>
                <w:rFonts w:ascii="Times New Roman" w:hAnsi="Times New Roman" w:cs="Times New Roman"/>
                <w:sz w:val="24"/>
                <w:szCs w:val="24"/>
              </w:rPr>
            </w:pPr>
            <w:r w:rsidRPr="007B1360">
              <w:rPr>
                <w:rFonts w:ascii="Times New Roman" w:hAnsi="Times New Roman" w:cs="Times New Roman"/>
                <w:sz w:val="24"/>
                <w:szCs w:val="24"/>
              </w:rPr>
              <w:t>Noteikumi būs saistoši</w:t>
            </w:r>
            <w:r w:rsidR="00DE2569">
              <w:rPr>
                <w:rFonts w:ascii="Times New Roman" w:hAnsi="Times New Roman" w:cs="Times New Roman"/>
                <w:sz w:val="24"/>
                <w:szCs w:val="24"/>
              </w:rPr>
              <w:t xml:space="preserve"> iestādēm, ja tās neievēro kopējo kapitāla rezervju prasību</w:t>
            </w:r>
            <w:r w:rsidR="005D0938">
              <w:rPr>
                <w:rFonts w:ascii="Times New Roman" w:hAnsi="Times New Roman" w:cs="Times New Roman"/>
                <w:sz w:val="24"/>
                <w:szCs w:val="24"/>
              </w:rPr>
              <w:t>,</w:t>
            </w:r>
            <w:r w:rsidR="00DE2569">
              <w:rPr>
                <w:rFonts w:ascii="Times New Roman" w:hAnsi="Times New Roman" w:cs="Times New Roman"/>
                <w:sz w:val="24"/>
                <w:szCs w:val="24"/>
              </w:rPr>
              <w:t xml:space="preserve"> un iestādēm, </w:t>
            </w:r>
            <w:r w:rsidR="00CD4AE2" w:rsidRPr="00CD4AE2">
              <w:rPr>
                <w:rFonts w:ascii="Times New Roman" w:hAnsi="Times New Roman" w:cs="Times New Roman"/>
                <w:sz w:val="24"/>
                <w:szCs w:val="24"/>
              </w:rPr>
              <w:t xml:space="preserve">kas ir globālas sistēmiski nozīmīgas iestādes, </w:t>
            </w:r>
            <w:r w:rsidR="00DE2569">
              <w:rPr>
                <w:rFonts w:ascii="Times New Roman" w:hAnsi="Times New Roman" w:cs="Times New Roman"/>
                <w:sz w:val="24"/>
                <w:szCs w:val="24"/>
              </w:rPr>
              <w:t xml:space="preserve">ja tās neievēro </w:t>
            </w:r>
            <w:r w:rsidR="00DE2569" w:rsidRPr="00DE2569">
              <w:rPr>
                <w:rFonts w:ascii="Times New Roman" w:hAnsi="Times New Roman" w:cs="Times New Roman"/>
                <w:sz w:val="24"/>
                <w:szCs w:val="24"/>
              </w:rPr>
              <w:t>sviras rādītāja rezerves prasību</w:t>
            </w:r>
            <w:r w:rsidR="00DE2569">
              <w:rPr>
                <w:rFonts w:ascii="Times New Roman" w:hAnsi="Times New Roman" w:cs="Times New Roman"/>
                <w:sz w:val="24"/>
                <w:szCs w:val="24"/>
              </w:rPr>
              <w:t>, t.</w:t>
            </w:r>
            <w:r w:rsidR="006452B4">
              <w:rPr>
                <w:rFonts w:ascii="Times New Roman" w:hAnsi="Times New Roman" w:cs="Times New Roman"/>
                <w:sz w:val="24"/>
                <w:szCs w:val="24"/>
              </w:rPr>
              <w:t> </w:t>
            </w:r>
            <w:r w:rsidR="00DE2569">
              <w:rPr>
                <w:rFonts w:ascii="Times New Roman" w:hAnsi="Times New Roman" w:cs="Times New Roman"/>
                <w:sz w:val="24"/>
                <w:szCs w:val="24"/>
              </w:rPr>
              <w:t>i.</w:t>
            </w:r>
            <w:r w:rsidR="00E0655E" w:rsidRPr="007B1360">
              <w:rPr>
                <w:rFonts w:ascii="Times New Roman" w:hAnsi="Times New Roman" w:cs="Times New Roman"/>
                <w:sz w:val="24"/>
                <w:szCs w:val="24"/>
              </w:rPr>
              <w:t>:</w:t>
            </w:r>
          </w:p>
          <w:p w14:paraId="4CD76D50" w14:textId="7F622993" w:rsidR="00E0655E" w:rsidRPr="007B1360" w:rsidRDefault="00E0655E" w:rsidP="00F1508E">
            <w:pPr>
              <w:jc w:val="both"/>
              <w:rPr>
                <w:rFonts w:ascii="Times New Roman" w:hAnsi="Times New Roman" w:cs="Times New Roman"/>
                <w:sz w:val="24"/>
                <w:szCs w:val="24"/>
              </w:rPr>
            </w:pPr>
            <w:r w:rsidRPr="007B1360">
              <w:rPr>
                <w:rFonts w:ascii="Times New Roman" w:hAnsi="Times New Roman" w:cs="Times New Roman"/>
                <w:sz w:val="24"/>
                <w:szCs w:val="24"/>
              </w:rPr>
              <w:t>1)</w:t>
            </w:r>
            <w:r w:rsidR="00F1508E" w:rsidRPr="007B1360">
              <w:rPr>
                <w:rFonts w:ascii="Times New Roman" w:hAnsi="Times New Roman" w:cs="Times New Roman"/>
                <w:sz w:val="24"/>
                <w:szCs w:val="24"/>
              </w:rPr>
              <w:t xml:space="preserve"> </w:t>
            </w:r>
            <w:r w:rsidR="0071625E" w:rsidRPr="007B1360">
              <w:rPr>
                <w:rFonts w:ascii="Times New Roman" w:hAnsi="Times New Roman" w:cs="Times New Roman"/>
                <w:sz w:val="24"/>
                <w:szCs w:val="24"/>
              </w:rPr>
              <w:t>Latvijas Republikā reģistrētām kredītiestādēm, Kredītiestāžu likuma 11.</w:t>
            </w:r>
            <w:r w:rsidR="0071625E" w:rsidRPr="007B1360">
              <w:rPr>
                <w:rFonts w:ascii="Times New Roman" w:hAnsi="Times New Roman" w:cs="Times New Roman"/>
                <w:sz w:val="24"/>
                <w:szCs w:val="24"/>
                <w:vertAlign w:val="superscript"/>
              </w:rPr>
              <w:t>2</w:t>
            </w:r>
            <w:r w:rsidR="008B03F7" w:rsidRPr="007B1360">
              <w:rPr>
                <w:rFonts w:ascii="Times New Roman" w:hAnsi="Times New Roman" w:cs="Times New Roman"/>
                <w:sz w:val="24"/>
                <w:szCs w:val="24"/>
              </w:rPr>
              <w:t> </w:t>
            </w:r>
            <w:r w:rsidR="0071625E" w:rsidRPr="007B1360">
              <w:rPr>
                <w:rFonts w:ascii="Times New Roman" w:hAnsi="Times New Roman" w:cs="Times New Roman"/>
                <w:sz w:val="24"/>
                <w:szCs w:val="24"/>
              </w:rPr>
              <w:t xml:space="preserve">pantā minētajām ieguldījumu brokeru sabiedrībām un </w:t>
            </w:r>
            <w:r w:rsidRPr="007B1360">
              <w:rPr>
                <w:rFonts w:ascii="Times New Roman" w:hAnsi="Times New Roman" w:cs="Times New Roman"/>
                <w:sz w:val="24"/>
                <w:szCs w:val="24"/>
              </w:rPr>
              <w:t>Eiropas Parlamenta un Padomes 2019.</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gada 27.</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 xml:space="preserve">novembra </w:t>
            </w:r>
            <w:r w:rsidR="00B32AF1" w:rsidRPr="007B1360">
              <w:rPr>
                <w:rFonts w:ascii="Times New Roman" w:hAnsi="Times New Roman" w:cs="Times New Roman"/>
                <w:sz w:val="24"/>
                <w:szCs w:val="24"/>
              </w:rPr>
              <w:t>r</w:t>
            </w:r>
            <w:r w:rsidRPr="007B1360">
              <w:rPr>
                <w:rFonts w:ascii="Times New Roman" w:hAnsi="Times New Roman" w:cs="Times New Roman"/>
                <w:sz w:val="24"/>
                <w:szCs w:val="24"/>
              </w:rPr>
              <w:t>egulas (ES)</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 xml:space="preserve">2019/2033 par prudenciālajām prasībām ieguldījumu brokeru sabiedrībām un ar ko groza </w:t>
            </w:r>
            <w:r w:rsidR="00B32AF1" w:rsidRPr="007B1360">
              <w:rPr>
                <w:rFonts w:ascii="Times New Roman" w:hAnsi="Times New Roman" w:cs="Times New Roman"/>
                <w:sz w:val="24"/>
                <w:szCs w:val="24"/>
              </w:rPr>
              <w:t>r</w:t>
            </w:r>
            <w:r w:rsidRPr="007B1360">
              <w:rPr>
                <w:rFonts w:ascii="Times New Roman" w:hAnsi="Times New Roman" w:cs="Times New Roman"/>
                <w:sz w:val="24"/>
                <w:szCs w:val="24"/>
              </w:rPr>
              <w:t>egulas (ES) Nr.</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1093/2010, (ES) Nr.</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575/2013, (ES) Nr.</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600/2014 un (ES) Nr.</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806/2014 (turpmāk</w:t>
            </w:r>
            <w:r w:rsidR="0040095C" w:rsidRPr="007B1360">
              <w:rPr>
                <w:rFonts w:ascii="Times New Roman" w:hAnsi="Times New Roman" w:cs="Times New Roman"/>
                <w:sz w:val="24"/>
                <w:szCs w:val="24"/>
              </w:rPr>
              <w:t> </w:t>
            </w:r>
            <w:r w:rsidRPr="007B1360">
              <w:rPr>
                <w:rFonts w:ascii="Times New Roman" w:hAnsi="Times New Roman" w:cs="Times New Roman"/>
                <w:sz w:val="24"/>
                <w:szCs w:val="24"/>
              </w:rPr>
              <w:t xml:space="preserve">– </w:t>
            </w:r>
            <w:r w:rsidR="006A4445" w:rsidRPr="007B1360">
              <w:rPr>
                <w:rFonts w:ascii="Times New Roman" w:hAnsi="Times New Roman" w:cs="Times New Roman"/>
                <w:sz w:val="24"/>
                <w:szCs w:val="24"/>
              </w:rPr>
              <w:t xml:space="preserve">Regula </w:t>
            </w:r>
            <w:r w:rsidR="005B7F87" w:rsidRPr="007B1360">
              <w:rPr>
                <w:rFonts w:ascii="Times New Roman" w:hAnsi="Times New Roman" w:cs="Times New Roman"/>
                <w:sz w:val="24"/>
                <w:szCs w:val="24"/>
              </w:rPr>
              <w:t>Nr. </w:t>
            </w:r>
            <w:r w:rsidRPr="007B1360">
              <w:rPr>
                <w:rFonts w:ascii="Times New Roman" w:hAnsi="Times New Roman" w:cs="Times New Roman"/>
                <w:sz w:val="24"/>
                <w:szCs w:val="24"/>
              </w:rPr>
              <w:t>2019/2033) 1.</w:t>
            </w:r>
            <w:r w:rsidR="00577222" w:rsidRPr="007B1360">
              <w:rPr>
                <w:rFonts w:ascii="Times New Roman" w:hAnsi="Times New Roman" w:cs="Times New Roman"/>
                <w:sz w:val="24"/>
                <w:szCs w:val="24"/>
              </w:rPr>
              <w:t> </w:t>
            </w:r>
            <w:r w:rsidRPr="007B1360">
              <w:rPr>
                <w:rFonts w:ascii="Times New Roman" w:hAnsi="Times New Roman" w:cs="Times New Roman"/>
                <w:sz w:val="24"/>
                <w:szCs w:val="24"/>
              </w:rPr>
              <w:t>panta 2.</w:t>
            </w:r>
            <w:r w:rsidR="00577222" w:rsidRPr="007B1360">
              <w:rPr>
                <w:rFonts w:ascii="Times New Roman" w:hAnsi="Times New Roman" w:cs="Times New Roman"/>
                <w:sz w:val="24"/>
                <w:szCs w:val="24"/>
              </w:rPr>
              <w:t> </w:t>
            </w:r>
            <w:r w:rsidRPr="007B1360">
              <w:rPr>
                <w:rFonts w:ascii="Times New Roman" w:hAnsi="Times New Roman" w:cs="Times New Roman"/>
                <w:sz w:val="24"/>
                <w:szCs w:val="24"/>
              </w:rPr>
              <w:t>un 5.</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punktā minēt</w:t>
            </w:r>
            <w:r w:rsidR="007C3713" w:rsidRPr="007B1360">
              <w:rPr>
                <w:rFonts w:ascii="Times New Roman" w:hAnsi="Times New Roman" w:cs="Times New Roman"/>
                <w:sz w:val="24"/>
                <w:szCs w:val="24"/>
              </w:rPr>
              <w:t>aj</w:t>
            </w:r>
            <w:r w:rsidRPr="007B1360">
              <w:rPr>
                <w:rFonts w:ascii="Times New Roman" w:hAnsi="Times New Roman" w:cs="Times New Roman"/>
                <w:sz w:val="24"/>
                <w:szCs w:val="24"/>
              </w:rPr>
              <w:t>ām</w:t>
            </w:r>
            <w:r w:rsidR="0071625E" w:rsidRPr="007B1360">
              <w:rPr>
                <w:rFonts w:ascii="Times New Roman" w:hAnsi="Times New Roman" w:cs="Times New Roman"/>
                <w:sz w:val="24"/>
                <w:szCs w:val="24"/>
              </w:rPr>
              <w:t xml:space="preserve"> ieguldījumu brokeru sabiedrībām, </w:t>
            </w:r>
            <w:r w:rsidR="00B626DA" w:rsidRPr="007B1360">
              <w:rPr>
                <w:rFonts w:ascii="Times New Roman" w:hAnsi="Times New Roman" w:cs="Times New Roman"/>
                <w:sz w:val="24"/>
                <w:szCs w:val="24"/>
              </w:rPr>
              <w:t xml:space="preserve">ja tās </w:t>
            </w:r>
            <w:r w:rsidRPr="007B1360">
              <w:rPr>
                <w:rFonts w:ascii="Times New Roman" w:hAnsi="Times New Roman" w:cs="Times New Roman"/>
                <w:sz w:val="24"/>
                <w:szCs w:val="24"/>
              </w:rPr>
              <w:t>neievēro kopējo kapitāla rezervju prasību</w:t>
            </w:r>
            <w:r w:rsidR="003442A2" w:rsidRPr="007B1360">
              <w:rPr>
                <w:rFonts w:ascii="Times New Roman" w:hAnsi="Times New Roman" w:cs="Times New Roman"/>
                <w:sz w:val="24"/>
                <w:szCs w:val="24"/>
              </w:rPr>
              <w:t xml:space="preserve">, </w:t>
            </w:r>
            <w:r w:rsidR="00B90C07" w:rsidRPr="007B1360">
              <w:rPr>
                <w:rFonts w:ascii="Times New Roman" w:hAnsi="Times New Roman" w:cs="Times New Roman"/>
                <w:sz w:val="24"/>
                <w:szCs w:val="24"/>
              </w:rPr>
              <w:t xml:space="preserve">kura </w:t>
            </w:r>
            <w:r w:rsidR="003442A2" w:rsidRPr="007B1360">
              <w:rPr>
                <w:rFonts w:ascii="Times New Roman" w:hAnsi="Times New Roman" w:cs="Times New Roman"/>
                <w:sz w:val="24"/>
                <w:szCs w:val="24"/>
              </w:rPr>
              <w:t>noteikta saskaņā ar Kredītiestāžu likuma 35.</w:t>
            </w:r>
            <w:r w:rsidR="003442A2" w:rsidRPr="007B1360">
              <w:rPr>
                <w:rFonts w:ascii="Times New Roman" w:hAnsi="Times New Roman" w:cs="Times New Roman"/>
                <w:sz w:val="24"/>
                <w:szCs w:val="24"/>
                <w:vertAlign w:val="superscript"/>
              </w:rPr>
              <w:t>22</w:t>
            </w:r>
            <w:r w:rsidR="003442A2" w:rsidRPr="007B1360">
              <w:rPr>
                <w:rFonts w:ascii="Times New Roman" w:hAnsi="Times New Roman" w:cs="Times New Roman"/>
                <w:sz w:val="24"/>
                <w:szCs w:val="24"/>
              </w:rPr>
              <w:t>, 35.</w:t>
            </w:r>
            <w:r w:rsidR="003442A2" w:rsidRPr="007B1360">
              <w:rPr>
                <w:rFonts w:ascii="Times New Roman" w:hAnsi="Times New Roman" w:cs="Times New Roman"/>
                <w:sz w:val="24"/>
                <w:szCs w:val="24"/>
                <w:vertAlign w:val="superscript"/>
              </w:rPr>
              <w:t>23</w:t>
            </w:r>
            <w:r w:rsidR="003442A2" w:rsidRPr="007B1360">
              <w:rPr>
                <w:rFonts w:ascii="Times New Roman" w:hAnsi="Times New Roman" w:cs="Times New Roman"/>
                <w:sz w:val="24"/>
                <w:szCs w:val="24"/>
              </w:rPr>
              <w:t>, 35.</w:t>
            </w:r>
            <w:r w:rsidR="003442A2" w:rsidRPr="007B1360">
              <w:rPr>
                <w:rFonts w:ascii="Times New Roman" w:hAnsi="Times New Roman" w:cs="Times New Roman"/>
                <w:sz w:val="24"/>
                <w:szCs w:val="24"/>
                <w:vertAlign w:val="superscript"/>
              </w:rPr>
              <w:t>24</w:t>
            </w:r>
            <w:r w:rsidR="003442A2" w:rsidRPr="007B1360">
              <w:rPr>
                <w:rFonts w:ascii="Times New Roman" w:hAnsi="Times New Roman" w:cs="Times New Roman"/>
                <w:sz w:val="24"/>
                <w:szCs w:val="24"/>
              </w:rPr>
              <w:t xml:space="preserve"> un 35.</w:t>
            </w:r>
            <w:r w:rsidR="003442A2" w:rsidRPr="007B1360">
              <w:rPr>
                <w:rFonts w:ascii="Times New Roman" w:hAnsi="Times New Roman" w:cs="Times New Roman"/>
                <w:sz w:val="24"/>
                <w:szCs w:val="24"/>
                <w:vertAlign w:val="superscript"/>
              </w:rPr>
              <w:t>25</w:t>
            </w:r>
            <w:r w:rsidR="00577222" w:rsidRPr="007B1360">
              <w:rPr>
                <w:rFonts w:ascii="Times New Roman" w:hAnsi="Times New Roman" w:cs="Times New Roman"/>
                <w:sz w:val="24"/>
                <w:szCs w:val="24"/>
                <w:vertAlign w:val="superscript"/>
              </w:rPr>
              <w:t> </w:t>
            </w:r>
            <w:r w:rsidR="003442A2" w:rsidRPr="007B1360">
              <w:rPr>
                <w:rFonts w:ascii="Times New Roman" w:hAnsi="Times New Roman" w:cs="Times New Roman"/>
                <w:sz w:val="24"/>
                <w:szCs w:val="24"/>
              </w:rPr>
              <w:t>panta prasībām</w:t>
            </w:r>
            <w:r w:rsidRPr="00DE2569">
              <w:rPr>
                <w:rFonts w:ascii="Times New Roman" w:hAnsi="Times New Roman" w:cs="Times New Roman"/>
                <w:sz w:val="24"/>
                <w:szCs w:val="24"/>
              </w:rPr>
              <w:t>.</w:t>
            </w:r>
            <w:r w:rsidRPr="007B1360">
              <w:rPr>
                <w:rFonts w:ascii="Times New Roman" w:hAnsi="Times New Roman" w:cs="Times New Roman"/>
                <w:sz w:val="24"/>
                <w:szCs w:val="24"/>
              </w:rPr>
              <w:t xml:space="preserve"> Noteikumi būs saistoši ieguldījumu brokeru sabiedrībām, kuras minētas </w:t>
            </w:r>
            <w:r w:rsidR="006A4445" w:rsidRPr="007B1360">
              <w:rPr>
                <w:rFonts w:ascii="Times New Roman" w:hAnsi="Times New Roman" w:cs="Times New Roman"/>
                <w:sz w:val="24"/>
                <w:szCs w:val="24"/>
              </w:rPr>
              <w:t xml:space="preserve">Regulas </w:t>
            </w:r>
            <w:r w:rsidR="005B7F87" w:rsidRPr="007B1360">
              <w:rPr>
                <w:rFonts w:ascii="Times New Roman" w:hAnsi="Times New Roman" w:cs="Times New Roman"/>
                <w:sz w:val="24"/>
                <w:szCs w:val="24"/>
              </w:rPr>
              <w:t>Nr. </w:t>
            </w:r>
            <w:r w:rsidRPr="007B1360">
              <w:rPr>
                <w:rFonts w:ascii="Times New Roman" w:hAnsi="Times New Roman" w:cs="Times New Roman"/>
                <w:sz w:val="24"/>
                <w:szCs w:val="24"/>
              </w:rPr>
              <w:t>2019/2033 1.</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panta 2.</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un 5.</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punktā, ņemot vērā Ieguldījumu brokeru sabiedrību likuma 3.</w:t>
            </w:r>
            <w:r w:rsidR="008B03F7" w:rsidRPr="007B1360">
              <w:rPr>
                <w:rFonts w:ascii="Times New Roman" w:hAnsi="Times New Roman" w:cs="Times New Roman"/>
                <w:sz w:val="24"/>
                <w:szCs w:val="24"/>
              </w:rPr>
              <w:t> </w:t>
            </w:r>
            <w:r w:rsidRPr="007B1360">
              <w:rPr>
                <w:rFonts w:ascii="Times New Roman" w:hAnsi="Times New Roman" w:cs="Times New Roman"/>
                <w:sz w:val="24"/>
                <w:szCs w:val="24"/>
              </w:rPr>
              <w:t xml:space="preserve">panta trešo daļu, kas nosaka, ka tām piemēro </w:t>
            </w:r>
            <w:r w:rsidRPr="007B1360">
              <w:rPr>
                <w:rFonts w:ascii="Times New Roman" w:hAnsi="Times New Roman" w:cs="Times New Roman"/>
                <w:sz w:val="24"/>
                <w:szCs w:val="24"/>
              </w:rPr>
              <w:lastRenderedPageBreak/>
              <w:t>Kredītiestāžu likumā un uz tā pamata Latvijas Bankas izdotajos noteikumos paredzētās prudenciālās prasības;</w:t>
            </w:r>
          </w:p>
          <w:p w14:paraId="27F642B7" w14:textId="5AE9C533" w:rsidR="00F1508E" w:rsidRPr="007B1360" w:rsidRDefault="00E0655E" w:rsidP="00F1508E">
            <w:pPr>
              <w:jc w:val="both"/>
              <w:rPr>
                <w:rFonts w:ascii="Times New Roman" w:hAnsi="Times New Roman" w:cs="Times New Roman"/>
                <w:sz w:val="24"/>
                <w:szCs w:val="24"/>
              </w:rPr>
            </w:pPr>
            <w:r w:rsidRPr="007B1360">
              <w:rPr>
                <w:rFonts w:ascii="Times New Roman" w:hAnsi="Times New Roman" w:cs="Times New Roman"/>
                <w:sz w:val="24"/>
                <w:szCs w:val="24"/>
              </w:rPr>
              <w:t xml:space="preserve">2) Latvijas Republikā reģistrētām kredītiestādēm, kas ir globālas sistēmiski nozīmīgas iestādes </w:t>
            </w:r>
            <w:r w:rsidR="00E82790" w:rsidRPr="007B1360">
              <w:rPr>
                <w:rFonts w:ascii="Times New Roman" w:hAnsi="Times New Roman" w:cs="Times New Roman"/>
                <w:sz w:val="24"/>
                <w:szCs w:val="24"/>
              </w:rPr>
              <w:t xml:space="preserve">Regulas </w:t>
            </w:r>
            <w:r w:rsidRPr="007B1360">
              <w:rPr>
                <w:rFonts w:ascii="Times New Roman" w:hAnsi="Times New Roman" w:cs="Times New Roman"/>
                <w:sz w:val="24"/>
                <w:szCs w:val="24"/>
              </w:rPr>
              <w:t>Nr.</w:t>
            </w:r>
            <w:r w:rsidR="005B7F87" w:rsidRPr="007B1360">
              <w:rPr>
                <w:rFonts w:ascii="Times New Roman" w:hAnsi="Times New Roman" w:cs="Times New Roman"/>
                <w:sz w:val="24"/>
                <w:szCs w:val="24"/>
              </w:rPr>
              <w:t> </w:t>
            </w:r>
            <w:r w:rsidRPr="007B1360">
              <w:rPr>
                <w:rFonts w:ascii="Times New Roman" w:hAnsi="Times New Roman" w:cs="Times New Roman"/>
                <w:sz w:val="24"/>
                <w:szCs w:val="24"/>
              </w:rPr>
              <w:t>575/2013 4.</w:t>
            </w:r>
            <w:r w:rsidR="005B7F87" w:rsidRPr="007B1360">
              <w:rPr>
                <w:rFonts w:ascii="Times New Roman" w:hAnsi="Times New Roman" w:cs="Times New Roman"/>
                <w:sz w:val="24"/>
                <w:szCs w:val="24"/>
              </w:rPr>
              <w:t> </w:t>
            </w:r>
            <w:r w:rsidRPr="007B1360">
              <w:rPr>
                <w:rFonts w:ascii="Times New Roman" w:hAnsi="Times New Roman" w:cs="Times New Roman"/>
                <w:sz w:val="24"/>
                <w:szCs w:val="24"/>
              </w:rPr>
              <w:t>panta 1.</w:t>
            </w:r>
            <w:r w:rsidR="005B7F87" w:rsidRPr="007B1360">
              <w:rPr>
                <w:rFonts w:ascii="Times New Roman" w:hAnsi="Times New Roman" w:cs="Times New Roman"/>
                <w:sz w:val="24"/>
                <w:szCs w:val="24"/>
              </w:rPr>
              <w:t> </w:t>
            </w:r>
            <w:r w:rsidRPr="007B1360">
              <w:rPr>
                <w:rFonts w:ascii="Times New Roman" w:hAnsi="Times New Roman" w:cs="Times New Roman"/>
                <w:sz w:val="24"/>
                <w:szCs w:val="24"/>
              </w:rPr>
              <w:t>punkta 133.</w:t>
            </w:r>
            <w:r w:rsidR="005B7F87" w:rsidRPr="007B1360">
              <w:rPr>
                <w:rFonts w:ascii="Times New Roman" w:hAnsi="Times New Roman" w:cs="Times New Roman"/>
                <w:sz w:val="24"/>
                <w:szCs w:val="24"/>
              </w:rPr>
              <w:t> </w:t>
            </w:r>
            <w:r w:rsidRPr="007B1360">
              <w:rPr>
                <w:rFonts w:ascii="Times New Roman" w:hAnsi="Times New Roman" w:cs="Times New Roman"/>
                <w:sz w:val="24"/>
                <w:szCs w:val="24"/>
              </w:rPr>
              <w:t>apakšpunkta izpratnē</w:t>
            </w:r>
            <w:r w:rsidR="00F3350F" w:rsidRPr="007B1360">
              <w:rPr>
                <w:rFonts w:ascii="Times New Roman" w:hAnsi="Times New Roman" w:cs="Times New Roman"/>
                <w:sz w:val="24"/>
                <w:szCs w:val="24"/>
              </w:rPr>
              <w:t xml:space="preserve">, </w:t>
            </w:r>
            <w:r w:rsidR="006A3B94" w:rsidRPr="007B1360">
              <w:rPr>
                <w:rFonts w:ascii="Times New Roman" w:hAnsi="Times New Roman" w:cs="Times New Roman"/>
                <w:sz w:val="24"/>
                <w:szCs w:val="24"/>
              </w:rPr>
              <w:t>ja tā</w:t>
            </w:r>
            <w:r w:rsidR="00B626DA" w:rsidRPr="007B1360">
              <w:rPr>
                <w:rFonts w:ascii="Times New Roman" w:hAnsi="Times New Roman" w:cs="Times New Roman"/>
                <w:sz w:val="24"/>
                <w:szCs w:val="24"/>
              </w:rPr>
              <w:t>s</w:t>
            </w:r>
            <w:r w:rsidR="006A3B94" w:rsidRPr="007B1360">
              <w:rPr>
                <w:rFonts w:ascii="Times New Roman" w:hAnsi="Times New Roman" w:cs="Times New Roman"/>
                <w:sz w:val="24"/>
                <w:szCs w:val="24"/>
              </w:rPr>
              <w:t xml:space="preserve"> </w:t>
            </w:r>
            <w:r w:rsidRPr="007B1360">
              <w:rPr>
                <w:rFonts w:ascii="Times New Roman" w:hAnsi="Times New Roman" w:cs="Times New Roman"/>
                <w:sz w:val="24"/>
                <w:szCs w:val="24"/>
              </w:rPr>
              <w:t>neievēro sviras rādītāja rezerves prasību</w:t>
            </w:r>
            <w:r w:rsidR="003442A2" w:rsidRPr="007B1360">
              <w:rPr>
                <w:rFonts w:ascii="Times New Roman" w:hAnsi="Times New Roman" w:cs="Times New Roman"/>
                <w:sz w:val="24"/>
                <w:szCs w:val="24"/>
              </w:rPr>
              <w:t xml:space="preserve">, </w:t>
            </w:r>
            <w:r w:rsidR="00B90C07" w:rsidRPr="007B1360">
              <w:rPr>
                <w:rFonts w:ascii="Times New Roman" w:hAnsi="Times New Roman" w:cs="Times New Roman"/>
                <w:sz w:val="24"/>
                <w:szCs w:val="24"/>
              </w:rPr>
              <w:t xml:space="preserve">kura </w:t>
            </w:r>
            <w:r w:rsidR="00E366A0" w:rsidRPr="007B1360">
              <w:rPr>
                <w:rFonts w:ascii="Times New Roman" w:hAnsi="Times New Roman" w:cs="Times New Roman"/>
                <w:sz w:val="24"/>
                <w:szCs w:val="24"/>
              </w:rPr>
              <w:t xml:space="preserve">noteikta saskaņā ar </w:t>
            </w:r>
            <w:r w:rsidR="00084683" w:rsidRPr="007B1360">
              <w:rPr>
                <w:rFonts w:ascii="Times New Roman" w:hAnsi="Times New Roman" w:cs="Times New Roman"/>
                <w:sz w:val="24"/>
                <w:szCs w:val="24"/>
              </w:rPr>
              <w:t xml:space="preserve">Regulas </w:t>
            </w:r>
            <w:r w:rsidR="00E366A0" w:rsidRPr="007B1360">
              <w:rPr>
                <w:rFonts w:ascii="Times New Roman" w:hAnsi="Times New Roman" w:cs="Times New Roman"/>
                <w:sz w:val="24"/>
                <w:szCs w:val="24"/>
              </w:rPr>
              <w:t>Nr.</w:t>
            </w:r>
            <w:r w:rsidR="00577222" w:rsidRPr="007B1360">
              <w:rPr>
                <w:rFonts w:ascii="Times New Roman" w:hAnsi="Times New Roman" w:cs="Times New Roman"/>
                <w:sz w:val="24"/>
                <w:szCs w:val="24"/>
              </w:rPr>
              <w:t> </w:t>
            </w:r>
            <w:r w:rsidR="00E366A0" w:rsidRPr="007B1360">
              <w:rPr>
                <w:rFonts w:ascii="Times New Roman" w:hAnsi="Times New Roman" w:cs="Times New Roman"/>
                <w:sz w:val="24"/>
                <w:szCs w:val="24"/>
              </w:rPr>
              <w:t>575/2013 92.</w:t>
            </w:r>
            <w:r w:rsidR="00577222" w:rsidRPr="007B1360">
              <w:rPr>
                <w:rFonts w:ascii="Times New Roman" w:hAnsi="Times New Roman" w:cs="Times New Roman"/>
                <w:sz w:val="24"/>
                <w:szCs w:val="24"/>
              </w:rPr>
              <w:t> </w:t>
            </w:r>
            <w:r w:rsidR="00E366A0" w:rsidRPr="007B1360">
              <w:rPr>
                <w:rFonts w:ascii="Times New Roman" w:hAnsi="Times New Roman" w:cs="Times New Roman"/>
                <w:sz w:val="24"/>
                <w:szCs w:val="24"/>
              </w:rPr>
              <w:t>panta 1.a</w:t>
            </w:r>
            <w:r w:rsidR="00577222" w:rsidRPr="007B1360">
              <w:rPr>
                <w:rFonts w:ascii="Times New Roman" w:hAnsi="Times New Roman" w:cs="Times New Roman"/>
                <w:sz w:val="24"/>
                <w:szCs w:val="24"/>
              </w:rPr>
              <w:t> </w:t>
            </w:r>
            <w:r w:rsidR="00E366A0" w:rsidRPr="007B1360">
              <w:rPr>
                <w:rFonts w:ascii="Times New Roman" w:hAnsi="Times New Roman" w:cs="Times New Roman"/>
                <w:sz w:val="24"/>
                <w:szCs w:val="24"/>
              </w:rPr>
              <w:t>punktu</w:t>
            </w:r>
            <w:r w:rsidR="0071625E" w:rsidRPr="00DE2569">
              <w:rPr>
                <w:rFonts w:ascii="Times New Roman" w:hAnsi="Times New Roman" w:cs="Times New Roman"/>
                <w:sz w:val="24"/>
                <w:szCs w:val="24"/>
              </w:rPr>
              <w:t>.</w:t>
            </w:r>
            <w:r w:rsidR="0071625E" w:rsidRPr="007B1360">
              <w:rPr>
                <w:rFonts w:ascii="Times New Roman" w:hAnsi="Times New Roman" w:cs="Times New Roman"/>
                <w:sz w:val="24"/>
                <w:szCs w:val="24"/>
              </w:rPr>
              <w:t xml:space="preserve"> </w:t>
            </w:r>
          </w:p>
          <w:p w14:paraId="2C5E09F4" w14:textId="77777777" w:rsidR="00494F09" w:rsidRPr="007B1360" w:rsidRDefault="00494F09" w:rsidP="00F1508E">
            <w:pPr>
              <w:jc w:val="both"/>
              <w:rPr>
                <w:rFonts w:ascii="Times New Roman" w:hAnsi="Times New Roman" w:cs="Times New Roman"/>
                <w:sz w:val="24"/>
                <w:szCs w:val="24"/>
              </w:rPr>
            </w:pPr>
          </w:p>
          <w:p w14:paraId="6FAD6052" w14:textId="2DDEC715" w:rsidR="00F1508E" w:rsidRPr="007B1360" w:rsidRDefault="0071625E" w:rsidP="00F1508E">
            <w:pPr>
              <w:jc w:val="both"/>
              <w:rPr>
                <w:rFonts w:ascii="Times New Roman" w:hAnsi="Times New Roman" w:cs="Times New Roman"/>
                <w:sz w:val="24"/>
                <w:szCs w:val="24"/>
              </w:rPr>
            </w:pPr>
            <w:r w:rsidRPr="007B1360">
              <w:rPr>
                <w:rFonts w:ascii="Times New Roman" w:hAnsi="Times New Roman" w:cs="Times New Roman"/>
                <w:sz w:val="24"/>
                <w:szCs w:val="24"/>
              </w:rPr>
              <w:t>Šobrīd nav tādu Latvijas Republikā reģistrētu ieguldījumu brokeru sabiedrību, kuras minētas Kredītiestāžu likuma 11.</w:t>
            </w:r>
            <w:r w:rsidRPr="007B1360">
              <w:rPr>
                <w:rFonts w:ascii="Times New Roman" w:hAnsi="Times New Roman" w:cs="Times New Roman"/>
                <w:sz w:val="24"/>
                <w:szCs w:val="24"/>
                <w:vertAlign w:val="superscript"/>
              </w:rPr>
              <w:t>2</w:t>
            </w:r>
            <w:r w:rsidR="00577222" w:rsidRPr="007B1360">
              <w:rPr>
                <w:rFonts w:ascii="Times New Roman" w:hAnsi="Times New Roman" w:cs="Times New Roman"/>
                <w:sz w:val="24"/>
                <w:szCs w:val="24"/>
              </w:rPr>
              <w:t> </w:t>
            </w:r>
            <w:r w:rsidRPr="007B1360">
              <w:rPr>
                <w:rFonts w:ascii="Times New Roman" w:hAnsi="Times New Roman" w:cs="Times New Roman"/>
                <w:sz w:val="24"/>
                <w:szCs w:val="24"/>
              </w:rPr>
              <w:t xml:space="preserve">pantā un </w:t>
            </w:r>
            <w:r w:rsidR="006A3B94" w:rsidRPr="007B1360">
              <w:rPr>
                <w:rFonts w:ascii="Times New Roman" w:hAnsi="Times New Roman" w:cs="Times New Roman"/>
                <w:sz w:val="24"/>
                <w:szCs w:val="24"/>
              </w:rPr>
              <w:t xml:space="preserve">Regulas </w:t>
            </w:r>
            <w:r w:rsidR="00B90C07" w:rsidRPr="007B1360">
              <w:rPr>
                <w:rFonts w:ascii="Times New Roman" w:hAnsi="Times New Roman" w:cs="Times New Roman"/>
                <w:sz w:val="24"/>
                <w:szCs w:val="24"/>
              </w:rPr>
              <w:t>Nr.</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2019/2033 1.</w:t>
            </w:r>
            <w:r w:rsidR="00577222" w:rsidRPr="007B1360">
              <w:rPr>
                <w:rFonts w:ascii="Times New Roman" w:hAnsi="Times New Roman" w:cs="Times New Roman"/>
                <w:sz w:val="24"/>
                <w:szCs w:val="24"/>
              </w:rPr>
              <w:t> </w:t>
            </w:r>
            <w:r w:rsidRPr="007B1360">
              <w:rPr>
                <w:rFonts w:ascii="Times New Roman" w:hAnsi="Times New Roman" w:cs="Times New Roman"/>
                <w:sz w:val="24"/>
                <w:szCs w:val="24"/>
              </w:rPr>
              <w:t>panta 2.</w:t>
            </w:r>
            <w:r w:rsidR="00577222" w:rsidRPr="007B1360">
              <w:rPr>
                <w:rFonts w:ascii="Times New Roman" w:hAnsi="Times New Roman" w:cs="Times New Roman"/>
                <w:sz w:val="24"/>
                <w:szCs w:val="24"/>
              </w:rPr>
              <w:t> </w:t>
            </w:r>
            <w:r w:rsidRPr="007B1360">
              <w:rPr>
                <w:rFonts w:ascii="Times New Roman" w:hAnsi="Times New Roman" w:cs="Times New Roman"/>
                <w:sz w:val="24"/>
                <w:szCs w:val="24"/>
              </w:rPr>
              <w:t>un 5.</w:t>
            </w:r>
            <w:r w:rsidR="00577222" w:rsidRPr="007B1360">
              <w:rPr>
                <w:rFonts w:ascii="Times New Roman" w:hAnsi="Times New Roman" w:cs="Times New Roman"/>
                <w:sz w:val="24"/>
                <w:szCs w:val="24"/>
              </w:rPr>
              <w:t> </w:t>
            </w:r>
            <w:r w:rsidRPr="007B1360">
              <w:rPr>
                <w:rFonts w:ascii="Times New Roman" w:hAnsi="Times New Roman" w:cs="Times New Roman"/>
                <w:sz w:val="24"/>
                <w:szCs w:val="24"/>
              </w:rPr>
              <w:t>punktā</w:t>
            </w:r>
            <w:r w:rsidR="00866469" w:rsidRPr="007B1360">
              <w:rPr>
                <w:rFonts w:ascii="Times New Roman" w:hAnsi="Times New Roman" w:cs="Times New Roman"/>
                <w:sz w:val="24"/>
                <w:szCs w:val="24"/>
              </w:rPr>
              <w:t xml:space="preserve">, kā arī nav Latvijas Republikā reģistrētu </w:t>
            </w:r>
            <w:r w:rsidR="00171022" w:rsidRPr="007B1360">
              <w:rPr>
                <w:rFonts w:ascii="Times New Roman" w:hAnsi="Times New Roman" w:cs="Times New Roman"/>
                <w:sz w:val="24"/>
                <w:szCs w:val="24"/>
              </w:rPr>
              <w:t xml:space="preserve">kredītiestāžu, kas ir globālas </w:t>
            </w:r>
            <w:r w:rsidR="00866469" w:rsidRPr="007B1360">
              <w:rPr>
                <w:rFonts w:ascii="Times New Roman" w:hAnsi="Times New Roman" w:cs="Times New Roman"/>
                <w:sz w:val="24"/>
                <w:szCs w:val="24"/>
              </w:rPr>
              <w:t xml:space="preserve">sistēmiski </w:t>
            </w:r>
            <w:r w:rsidR="00171022" w:rsidRPr="007B1360">
              <w:rPr>
                <w:rFonts w:ascii="Times New Roman" w:hAnsi="Times New Roman" w:cs="Times New Roman"/>
                <w:sz w:val="24"/>
                <w:szCs w:val="24"/>
              </w:rPr>
              <w:t>nozīmīgas iestādes</w:t>
            </w:r>
            <w:r w:rsidRPr="007B1360">
              <w:rPr>
                <w:rFonts w:ascii="Times New Roman" w:hAnsi="Times New Roman" w:cs="Times New Roman"/>
                <w:sz w:val="24"/>
                <w:szCs w:val="24"/>
              </w:rPr>
              <w:t>.</w:t>
            </w:r>
          </w:p>
          <w:p w14:paraId="23A0C46A" w14:textId="77777777" w:rsidR="0071625E" w:rsidRPr="007B1360" w:rsidRDefault="0071625E" w:rsidP="00F1508E">
            <w:pPr>
              <w:jc w:val="both"/>
              <w:rPr>
                <w:rFonts w:ascii="Times New Roman" w:hAnsi="Times New Roman" w:cs="Times New Roman"/>
                <w:sz w:val="24"/>
                <w:szCs w:val="24"/>
              </w:rPr>
            </w:pPr>
          </w:p>
          <w:p w14:paraId="3AFAC054" w14:textId="23647129" w:rsidR="00EE426C" w:rsidRPr="007B1360" w:rsidRDefault="00F1508E" w:rsidP="003770FF">
            <w:pPr>
              <w:jc w:val="both"/>
              <w:rPr>
                <w:rFonts w:ascii="Times New Roman" w:hAnsi="Times New Roman" w:cs="Times New Roman"/>
                <w:sz w:val="24"/>
                <w:szCs w:val="24"/>
              </w:rPr>
            </w:pPr>
            <w:r w:rsidRPr="007B1360">
              <w:rPr>
                <w:rFonts w:ascii="Times New Roman" w:hAnsi="Times New Roman" w:cs="Times New Roman"/>
                <w:sz w:val="24"/>
                <w:szCs w:val="24"/>
              </w:rPr>
              <w:t xml:space="preserve">Noteikumu projekts nosaka </w:t>
            </w:r>
            <w:r w:rsidR="00093104" w:rsidRPr="007B1360">
              <w:rPr>
                <w:rFonts w:ascii="Times New Roman" w:hAnsi="Times New Roman" w:cs="Times New Roman"/>
                <w:sz w:val="24"/>
                <w:szCs w:val="24"/>
              </w:rPr>
              <w:t>maksimāli sadalāmās summas aprēķināšanas kārtību</w:t>
            </w:r>
            <w:r w:rsidRPr="007B1360">
              <w:rPr>
                <w:rFonts w:ascii="Times New Roman" w:hAnsi="Times New Roman" w:cs="Times New Roman"/>
                <w:sz w:val="24"/>
                <w:szCs w:val="24"/>
              </w:rPr>
              <w:t xml:space="preserve">, kas paredz </w:t>
            </w:r>
            <w:r w:rsidR="00C07599" w:rsidRPr="007B1360">
              <w:rPr>
                <w:rFonts w:ascii="Times New Roman" w:hAnsi="Times New Roman" w:cs="Times New Roman"/>
                <w:sz w:val="24"/>
                <w:szCs w:val="24"/>
              </w:rPr>
              <w:t>aprēķināt summu, ko iestāde</w:t>
            </w:r>
            <w:r w:rsidR="00B626DA" w:rsidRPr="007B1360">
              <w:rPr>
                <w:rFonts w:ascii="Times New Roman" w:hAnsi="Times New Roman" w:cs="Times New Roman"/>
                <w:sz w:val="24"/>
                <w:szCs w:val="24"/>
              </w:rPr>
              <w:t>s</w:t>
            </w:r>
            <w:r w:rsidR="00C07599" w:rsidRPr="007B1360">
              <w:rPr>
                <w:rFonts w:ascii="Times New Roman" w:hAnsi="Times New Roman" w:cs="Times New Roman"/>
                <w:sz w:val="24"/>
                <w:szCs w:val="24"/>
              </w:rPr>
              <w:t xml:space="preserve">, </w:t>
            </w:r>
            <w:r w:rsidR="00B626DA" w:rsidRPr="007B1360">
              <w:rPr>
                <w:rFonts w:ascii="Times New Roman" w:hAnsi="Times New Roman" w:cs="Times New Roman"/>
                <w:sz w:val="24"/>
                <w:szCs w:val="24"/>
              </w:rPr>
              <w:t xml:space="preserve">ja tās </w:t>
            </w:r>
            <w:r w:rsidR="00C07599" w:rsidRPr="007B1360">
              <w:rPr>
                <w:rFonts w:ascii="Times New Roman" w:hAnsi="Times New Roman" w:cs="Times New Roman"/>
                <w:sz w:val="24"/>
                <w:szCs w:val="24"/>
              </w:rPr>
              <w:t>neievēro kopējo kapitāla rezervju prasību</w:t>
            </w:r>
            <w:r w:rsidR="00494F09" w:rsidRPr="007B1360">
              <w:rPr>
                <w:rFonts w:ascii="Times New Roman" w:hAnsi="Times New Roman" w:cs="Times New Roman"/>
                <w:sz w:val="24"/>
                <w:szCs w:val="24"/>
              </w:rPr>
              <w:t>,</w:t>
            </w:r>
            <w:r w:rsidR="00866469" w:rsidRPr="007B1360">
              <w:rPr>
                <w:rFonts w:ascii="Times New Roman" w:hAnsi="Times New Roman" w:cs="Times New Roman"/>
                <w:sz w:val="24"/>
                <w:szCs w:val="24"/>
              </w:rPr>
              <w:t xml:space="preserve"> </w:t>
            </w:r>
            <w:r w:rsidR="0040095C" w:rsidRPr="007B1360">
              <w:rPr>
                <w:rFonts w:ascii="Times New Roman" w:hAnsi="Times New Roman" w:cs="Times New Roman"/>
                <w:sz w:val="24"/>
                <w:szCs w:val="24"/>
              </w:rPr>
              <w:t xml:space="preserve">un </w:t>
            </w:r>
            <w:r w:rsidR="00866469" w:rsidRPr="007B1360">
              <w:rPr>
                <w:rFonts w:ascii="Times New Roman" w:hAnsi="Times New Roman" w:cs="Times New Roman"/>
                <w:sz w:val="24"/>
                <w:szCs w:val="24"/>
              </w:rPr>
              <w:t>iestāde</w:t>
            </w:r>
            <w:r w:rsidR="00B626DA" w:rsidRPr="007B1360">
              <w:rPr>
                <w:rFonts w:ascii="Times New Roman" w:hAnsi="Times New Roman" w:cs="Times New Roman"/>
                <w:sz w:val="24"/>
                <w:szCs w:val="24"/>
              </w:rPr>
              <w:t>s</w:t>
            </w:r>
            <w:r w:rsidR="00866469" w:rsidRPr="007B1360">
              <w:rPr>
                <w:rFonts w:ascii="Times New Roman" w:hAnsi="Times New Roman" w:cs="Times New Roman"/>
                <w:sz w:val="24"/>
                <w:szCs w:val="24"/>
              </w:rPr>
              <w:t>,</w:t>
            </w:r>
            <w:r w:rsidR="00CD4AE2">
              <w:t xml:space="preserve"> </w:t>
            </w:r>
            <w:r w:rsidR="00CD4AE2" w:rsidRPr="00CD4AE2">
              <w:rPr>
                <w:rFonts w:ascii="Times New Roman" w:hAnsi="Times New Roman" w:cs="Times New Roman"/>
                <w:sz w:val="24"/>
                <w:szCs w:val="24"/>
              </w:rPr>
              <w:t>kas ir globālas sistēmiski nozīmīgas iestādes,</w:t>
            </w:r>
            <w:r w:rsidR="00866469" w:rsidRPr="007B1360">
              <w:rPr>
                <w:rFonts w:ascii="Times New Roman" w:hAnsi="Times New Roman" w:cs="Times New Roman"/>
                <w:sz w:val="24"/>
                <w:szCs w:val="24"/>
              </w:rPr>
              <w:t xml:space="preserve"> </w:t>
            </w:r>
            <w:r w:rsidR="00B626DA" w:rsidRPr="007B1360">
              <w:rPr>
                <w:rFonts w:ascii="Times New Roman" w:hAnsi="Times New Roman" w:cs="Times New Roman"/>
                <w:sz w:val="24"/>
                <w:szCs w:val="24"/>
              </w:rPr>
              <w:t xml:space="preserve">ja tās </w:t>
            </w:r>
            <w:r w:rsidR="00866469" w:rsidRPr="007B1360">
              <w:rPr>
                <w:rFonts w:ascii="Times New Roman" w:hAnsi="Times New Roman" w:cs="Times New Roman"/>
                <w:sz w:val="24"/>
                <w:szCs w:val="24"/>
              </w:rPr>
              <w:t>neievēro sviras rādītāja rezerves prasību</w:t>
            </w:r>
            <w:r w:rsidR="00C07599" w:rsidRPr="007B1360">
              <w:rPr>
                <w:rFonts w:ascii="Times New Roman" w:hAnsi="Times New Roman" w:cs="Times New Roman"/>
                <w:sz w:val="24"/>
                <w:szCs w:val="24"/>
              </w:rPr>
              <w:t xml:space="preserve">, drīkst sadalīt, veicot jebkuru no Kredītiestāžu likuma </w:t>
            </w:r>
            <w:r w:rsidR="005B0D79" w:rsidRPr="007B1360">
              <w:rPr>
                <w:rFonts w:ascii="Times New Roman" w:hAnsi="Times New Roman" w:cs="Times New Roman"/>
                <w:sz w:val="24"/>
                <w:szCs w:val="24"/>
              </w:rPr>
              <w:t xml:space="preserve">attiecīgi </w:t>
            </w:r>
            <w:r w:rsidR="00C07599" w:rsidRPr="007B1360">
              <w:rPr>
                <w:rFonts w:ascii="Times New Roman" w:hAnsi="Times New Roman" w:cs="Times New Roman"/>
                <w:sz w:val="24"/>
                <w:szCs w:val="24"/>
              </w:rPr>
              <w:t>35.</w:t>
            </w:r>
            <w:r w:rsidR="00C07599" w:rsidRPr="007B1360">
              <w:rPr>
                <w:rFonts w:ascii="Times New Roman" w:hAnsi="Times New Roman" w:cs="Times New Roman"/>
                <w:sz w:val="24"/>
                <w:szCs w:val="24"/>
                <w:vertAlign w:val="superscript"/>
              </w:rPr>
              <w:t>27</w:t>
            </w:r>
            <w:r w:rsidR="00577222" w:rsidRPr="007B1360">
              <w:rPr>
                <w:rFonts w:ascii="Times New Roman" w:hAnsi="Times New Roman" w:cs="Times New Roman"/>
                <w:sz w:val="24"/>
                <w:szCs w:val="24"/>
              </w:rPr>
              <w:t> </w:t>
            </w:r>
            <w:r w:rsidR="005B0D79" w:rsidRPr="007B1360">
              <w:rPr>
                <w:rFonts w:ascii="Times New Roman" w:hAnsi="Times New Roman" w:cs="Times New Roman"/>
                <w:sz w:val="24"/>
                <w:szCs w:val="24"/>
              </w:rPr>
              <w:t xml:space="preserve">panta </w:t>
            </w:r>
            <w:r w:rsidR="00C07599" w:rsidRPr="007B1360">
              <w:rPr>
                <w:rFonts w:ascii="Times New Roman" w:hAnsi="Times New Roman" w:cs="Times New Roman"/>
                <w:sz w:val="24"/>
                <w:szCs w:val="24"/>
              </w:rPr>
              <w:t>pirmās daļas 1.,</w:t>
            </w:r>
            <w:r w:rsidR="00577222" w:rsidRPr="007B1360">
              <w:rPr>
                <w:rFonts w:ascii="Times New Roman" w:hAnsi="Times New Roman" w:cs="Times New Roman"/>
                <w:sz w:val="24"/>
                <w:szCs w:val="24"/>
              </w:rPr>
              <w:t xml:space="preserve"> </w:t>
            </w:r>
            <w:r w:rsidR="00C07599" w:rsidRPr="007B1360">
              <w:rPr>
                <w:rFonts w:ascii="Times New Roman" w:hAnsi="Times New Roman" w:cs="Times New Roman"/>
                <w:sz w:val="24"/>
                <w:szCs w:val="24"/>
              </w:rPr>
              <w:t>2.</w:t>
            </w:r>
            <w:r w:rsidR="0040095C" w:rsidRPr="007B1360">
              <w:rPr>
                <w:rFonts w:ascii="Times New Roman" w:hAnsi="Times New Roman" w:cs="Times New Roman"/>
                <w:sz w:val="24"/>
                <w:szCs w:val="24"/>
              </w:rPr>
              <w:t> </w:t>
            </w:r>
            <w:r w:rsidR="00C07599" w:rsidRPr="007B1360">
              <w:rPr>
                <w:rFonts w:ascii="Times New Roman" w:hAnsi="Times New Roman" w:cs="Times New Roman"/>
                <w:sz w:val="24"/>
                <w:szCs w:val="24"/>
              </w:rPr>
              <w:t>un 3.</w:t>
            </w:r>
            <w:r w:rsidR="00577222" w:rsidRPr="007B1360">
              <w:rPr>
                <w:rFonts w:ascii="Times New Roman" w:hAnsi="Times New Roman" w:cs="Times New Roman"/>
                <w:sz w:val="24"/>
                <w:szCs w:val="24"/>
              </w:rPr>
              <w:t> </w:t>
            </w:r>
            <w:r w:rsidR="00C07599" w:rsidRPr="007B1360">
              <w:rPr>
                <w:rFonts w:ascii="Times New Roman" w:hAnsi="Times New Roman" w:cs="Times New Roman"/>
                <w:sz w:val="24"/>
                <w:szCs w:val="24"/>
              </w:rPr>
              <w:t>punktā</w:t>
            </w:r>
            <w:r w:rsidR="005B0D79" w:rsidRPr="007B1360">
              <w:rPr>
                <w:rFonts w:ascii="Times New Roman" w:hAnsi="Times New Roman" w:cs="Times New Roman"/>
                <w:sz w:val="24"/>
                <w:szCs w:val="24"/>
              </w:rPr>
              <w:t xml:space="preserve"> vai 35.</w:t>
            </w:r>
            <w:r w:rsidR="005B0D79" w:rsidRPr="007B1360">
              <w:rPr>
                <w:rFonts w:ascii="Times New Roman" w:hAnsi="Times New Roman" w:cs="Times New Roman"/>
                <w:sz w:val="24"/>
                <w:szCs w:val="24"/>
                <w:vertAlign w:val="superscript"/>
              </w:rPr>
              <w:t>35</w:t>
            </w:r>
            <w:r w:rsidR="00577222" w:rsidRPr="007B1360">
              <w:rPr>
                <w:rFonts w:ascii="Times New Roman" w:hAnsi="Times New Roman" w:cs="Times New Roman"/>
                <w:sz w:val="24"/>
                <w:szCs w:val="24"/>
                <w:vertAlign w:val="superscript"/>
              </w:rPr>
              <w:t> </w:t>
            </w:r>
            <w:r w:rsidR="005B0D79" w:rsidRPr="007B1360">
              <w:rPr>
                <w:rFonts w:ascii="Times New Roman" w:hAnsi="Times New Roman" w:cs="Times New Roman"/>
                <w:sz w:val="24"/>
                <w:szCs w:val="24"/>
              </w:rPr>
              <w:t>panta pirmās daļas 1.,</w:t>
            </w:r>
            <w:r w:rsidR="0084323D" w:rsidRPr="007B1360">
              <w:rPr>
                <w:rFonts w:ascii="Times New Roman" w:hAnsi="Times New Roman" w:cs="Times New Roman"/>
                <w:sz w:val="24"/>
                <w:szCs w:val="24"/>
              </w:rPr>
              <w:t xml:space="preserve"> </w:t>
            </w:r>
            <w:r w:rsidR="005B0D79" w:rsidRPr="007B1360">
              <w:rPr>
                <w:rFonts w:ascii="Times New Roman" w:hAnsi="Times New Roman" w:cs="Times New Roman"/>
                <w:sz w:val="24"/>
                <w:szCs w:val="24"/>
              </w:rPr>
              <w:t>2. un 3.</w:t>
            </w:r>
            <w:r w:rsidR="00577222" w:rsidRPr="007B1360">
              <w:rPr>
                <w:rFonts w:ascii="Times New Roman" w:hAnsi="Times New Roman" w:cs="Times New Roman"/>
                <w:sz w:val="24"/>
                <w:szCs w:val="24"/>
              </w:rPr>
              <w:t> </w:t>
            </w:r>
            <w:r w:rsidR="005B0D79" w:rsidRPr="007B1360">
              <w:rPr>
                <w:rFonts w:ascii="Times New Roman" w:hAnsi="Times New Roman" w:cs="Times New Roman"/>
                <w:sz w:val="24"/>
                <w:szCs w:val="24"/>
              </w:rPr>
              <w:t>punktā</w:t>
            </w:r>
            <w:r w:rsidR="00C07599" w:rsidRPr="007B1360">
              <w:rPr>
                <w:rFonts w:ascii="Times New Roman" w:hAnsi="Times New Roman" w:cs="Times New Roman"/>
                <w:sz w:val="24"/>
                <w:szCs w:val="24"/>
              </w:rPr>
              <w:t xml:space="preserve"> minētajām darbībām</w:t>
            </w:r>
            <w:r w:rsidR="00533C38" w:rsidRPr="007B1360">
              <w:rPr>
                <w:rFonts w:ascii="Times New Roman" w:hAnsi="Times New Roman" w:cs="Times New Roman"/>
                <w:sz w:val="24"/>
                <w:szCs w:val="24"/>
              </w:rPr>
              <w:t xml:space="preserve"> (piemēram, dividen</w:t>
            </w:r>
            <w:r w:rsidR="00F2777F" w:rsidRPr="007B1360">
              <w:rPr>
                <w:rFonts w:ascii="Times New Roman" w:hAnsi="Times New Roman" w:cs="Times New Roman"/>
                <w:sz w:val="24"/>
                <w:szCs w:val="24"/>
              </w:rPr>
              <w:t>žu izmaksa</w:t>
            </w:r>
            <w:r w:rsidR="00533C38" w:rsidRPr="007B1360">
              <w:rPr>
                <w:rFonts w:ascii="Times New Roman" w:hAnsi="Times New Roman" w:cs="Times New Roman"/>
                <w:sz w:val="24"/>
                <w:szCs w:val="24"/>
              </w:rPr>
              <w:t xml:space="preserve">, </w:t>
            </w:r>
            <w:r w:rsidR="00F2777F" w:rsidRPr="007B1360">
              <w:rPr>
                <w:rFonts w:ascii="Times New Roman" w:hAnsi="Times New Roman" w:cs="Times New Roman"/>
                <w:sz w:val="24"/>
                <w:szCs w:val="24"/>
              </w:rPr>
              <w:t>m</w:t>
            </w:r>
            <w:r w:rsidR="00533C38" w:rsidRPr="007B1360">
              <w:rPr>
                <w:rFonts w:ascii="Times New Roman" w:hAnsi="Times New Roman" w:cs="Times New Roman"/>
                <w:sz w:val="24"/>
                <w:szCs w:val="24"/>
              </w:rPr>
              <w:t>aksājum</w:t>
            </w:r>
            <w:r w:rsidR="00F2777F" w:rsidRPr="007B1360">
              <w:rPr>
                <w:rFonts w:ascii="Times New Roman" w:hAnsi="Times New Roman" w:cs="Times New Roman"/>
                <w:sz w:val="24"/>
                <w:szCs w:val="24"/>
              </w:rPr>
              <w:t>i</w:t>
            </w:r>
            <w:r w:rsidR="00533C38" w:rsidRPr="007B1360">
              <w:rPr>
                <w:rFonts w:ascii="Times New Roman" w:hAnsi="Times New Roman" w:cs="Times New Roman"/>
                <w:sz w:val="24"/>
                <w:szCs w:val="24"/>
              </w:rPr>
              <w:t xml:space="preserve"> par pirmā līmeņa papildu kapitāla instrumentiem</w:t>
            </w:r>
            <w:r w:rsidR="00F2777F" w:rsidRPr="007B1360">
              <w:rPr>
                <w:rFonts w:ascii="Times New Roman" w:hAnsi="Times New Roman" w:cs="Times New Roman"/>
                <w:sz w:val="24"/>
                <w:szCs w:val="24"/>
              </w:rPr>
              <w:t xml:space="preserve">, atalgojuma mainīgās daļas </w:t>
            </w:r>
            <w:r w:rsidR="000151B7" w:rsidRPr="007B1360">
              <w:rPr>
                <w:rFonts w:ascii="Times New Roman" w:hAnsi="Times New Roman" w:cs="Times New Roman"/>
                <w:sz w:val="24"/>
                <w:szCs w:val="24"/>
              </w:rPr>
              <w:t>izmaksa)</w:t>
            </w:r>
            <w:r w:rsidR="00C07599" w:rsidRPr="007B1360">
              <w:rPr>
                <w:rFonts w:ascii="Times New Roman" w:hAnsi="Times New Roman" w:cs="Times New Roman"/>
                <w:sz w:val="24"/>
                <w:szCs w:val="24"/>
              </w:rPr>
              <w:t>.</w:t>
            </w:r>
          </w:p>
          <w:p w14:paraId="6E5E249F" w14:textId="77777777" w:rsidR="00465DD0" w:rsidRPr="007B1360" w:rsidRDefault="00465DD0" w:rsidP="003770FF">
            <w:pPr>
              <w:jc w:val="both"/>
              <w:rPr>
                <w:rFonts w:ascii="Times New Roman" w:hAnsi="Times New Roman" w:cs="Times New Roman"/>
                <w:color w:val="FF0000"/>
                <w:sz w:val="24"/>
                <w:szCs w:val="24"/>
                <w:highlight w:val="yellow"/>
                <w:shd w:val="clear" w:color="auto" w:fill="FFFFFF"/>
              </w:rPr>
            </w:pPr>
          </w:p>
          <w:p w14:paraId="4B403455" w14:textId="77777777" w:rsidR="00465DD0" w:rsidRPr="007B1360" w:rsidRDefault="00465DD0" w:rsidP="003770FF">
            <w:pPr>
              <w:jc w:val="both"/>
              <w:rPr>
                <w:rFonts w:ascii="Times New Roman" w:hAnsi="Times New Roman" w:cs="Times New Roman"/>
                <w:sz w:val="24"/>
                <w:szCs w:val="24"/>
              </w:rPr>
            </w:pPr>
            <w:r w:rsidRPr="007B1360">
              <w:rPr>
                <w:rFonts w:ascii="Times New Roman" w:hAnsi="Times New Roman" w:cs="Times New Roman"/>
                <w:sz w:val="24"/>
                <w:szCs w:val="24"/>
              </w:rPr>
              <w:t>Līdz ar noteikumu projekta stāšanos spēkā spēku zaudēs Finanšu un kapitāla tirgus komisijas 2020. gada 27. oktobra normatīvie noteikumi Nr. 198 "Normatīvie noteikumi par maksimāli sadalāmās summas aprēķināšanas kārtību" un Finanšu un kapitāla tirgus komisijas 2021. gada 16. novembra normatīvie noteikumi Nr. 155 "Ar sviras rādītāja rezerves prasību saistītās maksimāli sadalāmās summas aprēķināšanas kārtība".</w:t>
            </w:r>
          </w:p>
          <w:p w14:paraId="0DBECC45" w14:textId="77777777" w:rsidR="00821405" w:rsidRPr="007B1360" w:rsidRDefault="00821405" w:rsidP="003770FF">
            <w:pPr>
              <w:jc w:val="both"/>
              <w:rPr>
                <w:rFonts w:ascii="Times New Roman" w:hAnsi="Times New Roman" w:cs="Times New Roman"/>
                <w:color w:val="FF0000"/>
                <w:sz w:val="24"/>
                <w:szCs w:val="24"/>
                <w:highlight w:val="yellow"/>
                <w:shd w:val="clear" w:color="auto" w:fill="FFFFFF"/>
              </w:rPr>
            </w:pPr>
          </w:p>
          <w:p w14:paraId="28D32265" w14:textId="21577F3B" w:rsidR="00821405" w:rsidRPr="007B1360" w:rsidRDefault="00821405" w:rsidP="003770FF">
            <w:pPr>
              <w:jc w:val="both"/>
              <w:rPr>
                <w:rFonts w:ascii="Times New Roman" w:hAnsi="Times New Roman" w:cs="Times New Roman"/>
                <w:color w:val="FF0000"/>
                <w:sz w:val="24"/>
                <w:szCs w:val="24"/>
                <w:highlight w:val="yellow"/>
                <w:shd w:val="clear" w:color="auto" w:fill="FFFFFF"/>
              </w:rPr>
            </w:pPr>
            <w:r w:rsidRPr="007B1360">
              <w:rPr>
                <w:rFonts w:ascii="Times New Roman" w:hAnsi="Times New Roman" w:cs="Times New Roman"/>
                <w:sz w:val="24"/>
                <w:szCs w:val="24"/>
                <w:lang w:eastAsia="lv-LV"/>
              </w:rPr>
              <w:t>Ar noteikumu projektu netiek ieviesta jauna maksimāli sadalāmās summas aprēķināšanas kārtība iestādēm, ja tās neievēro kopējo kapitāla rezervju prasību</w:t>
            </w:r>
            <w:r w:rsidR="00595003" w:rsidRPr="007B1360">
              <w:rPr>
                <w:rFonts w:ascii="Times New Roman" w:hAnsi="Times New Roman" w:cs="Times New Roman"/>
                <w:sz w:val="24"/>
                <w:szCs w:val="24"/>
                <w:lang w:eastAsia="lv-LV"/>
              </w:rPr>
              <w:t>,</w:t>
            </w:r>
            <w:r w:rsidRPr="007B1360">
              <w:rPr>
                <w:rFonts w:ascii="Times New Roman" w:hAnsi="Times New Roman" w:cs="Times New Roman"/>
                <w:sz w:val="24"/>
                <w:szCs w:val="24"/>
                <w:lang w:eastAsia="lv-LV"/>
              </w:rPr>
              <w:t xml:space="preserve"> un iestādēm, </w:t>
            </w:r>
            <w:r w:rsidR="00CD4AE2" w:rsidRPr="00CD4AE2">
              <w:rPr>
                <w:rFonts w:ascii="Times New Roman" w:hAnsi="Times New Roman" w:cs="Times New Roman"/>
                <w:sz w:val="24"/>
                <w:szCs w:val="24"/>
                <w:lang w:eastAsia="lv-LV"/>
              </w:rPr>
              <w:t xml:space="preserve">kas ir globālas sistēmiski nozīmīgas iestādes, </w:t>
            </w:r>
            <w:r w:rsidRPr="007B1360">
              <w:rPr>
                <w:rFonts w:ascii="Times New Roman" w:hAnsi="Times New Roman" w:cs="Times New Roman"/>
                <w:sz w:val="24"/>
                <w:szCs w:val="24"/>
                <w:lang w:eastAsia="lv-LV"/>
              </w:rPr>
              <w:t>ja tās neievēro sviras rādītāja rezerves prasību, jo līdzšinējā maksimāli sadalāmās summas aprēķināšanas kārtība tiek saglabāta.</w:t>
            </w:r>
          </w:p>
        </w:tc>
      </w:tr>
      <w:tr w:rsidR="00A61684" w:rsidRPr="007B1360" w14:paraId="7FF36E12" w14:textId="77777777" w:rsidTr="009B620B">
        <w:tc>
          <w:tcPr>
            <w:tcW w:w="1980" w:type="dxa"/>
          </w:tcPr>
          <w:p w14:paraId="1EC190F5" w14:textId="77777777" w:rsidR="001A2F7D"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Leģitīmais mērķis</w:t>
            </w:r>
          </w:p>
          <w:p w14:paraId="486EBB70" w14:textId="319C36F1" w:rsidR="00851C5D" w:rsidRPr="007B1360" w:rsidRDefault="00851C5D" w:rsidP="00494F09">
            <w:pPr>
              <w:jc w:val="both"/>
              <w:rPr>
                <w:rFonts w:ascii="Times New Roman" w:hAnsi="Times New Roman" w:cs="Times New Roman"/>
                <w:sz w:val="24"/>
                <w:szCs w:val="24"/>
              </w:rPr>
            </w:pPr>
          </w:p>
        </w:tc>
        <w:tc>
          <w:tcPr>
            <w:tcW w:w="6379" w:type="dxa"/>
          </w:tcPr>
          <w:p w14:paraId="339B1787" w14:textId="40102462" w:rsidR="000B4B85" w:rsidRPr="007B1360" w:rsidRDefault="000B4B85" w:rsidP="00954061">
            <w:pPr>
              <w:jc w:val="both"/>
              <w:rPr>
                <w:rFonts w:ascii="Times New Roman" w:eastAsia="Times New Roman" w:hAnsi="Times New Roman" w:cs="Times New Roman"/>
                <w:sz w:val="24"/>
                <w:szCs w:val="24"/>
                <w:lang w:eastAsia="lv-LV"/>
              </w:rPr>
            </w:pPr>
            <w:r w:rsidRPr="007B1360">
              <w:rPr>
                <w:rFonts w:ascii="Times New Roman" w:eastAsia="Times New Roman" w:hAnsi="Times New Roman" w:cs="Times New Roman"/>
                <w:sz w:val="24"/>
                <w:szCs w:val="24"/>
                <w:lang w:eastAsia="lv-LV"/>
              </w:rPr>
              <w:t>Projektā paredzēto prasību mērķis ir citu personu tiesību un sabiedrības labklājības aizsardzība.</w:t>
            </w:r>
          </w:p>
          <w:p w14:paraId="6BC83329" w14:textId="77777777" w:rsidR="00CC4A55" w:rsidRPr="007B1360" w:rsidRDefault="00CC4A55" w:rsidP="00954061">
            <w:pPr>
              <w:jc w:val="both"/>
              <w:rPr>
                <w:rFonts w:ascii="Times New Roman" w:hAnsi="Times New Roman" w:cs="Times New Roman"/>
                <w:sz w:val="24"/>
                <w:szCs w:val="24"/>
              </w:rPr>
            </w:pPr>
          </w:p>
          <w:p w14:paraId="24A26A58" w14:textId="60050643" w:rsidR="00954061" w:rsidRPr="007B1360" w:rsidRDefault="00954061" w:rsidP="00954061">
            <w:pPr>
              <w:jc w:val="both"/>
              <w:rPr>
                <w:rFonts w:ascii="Times New Roman" w:hAnsi="Times New Roman" w:cs="Times New Roman"/>
                <w:sz w:val="24"/>
                <w:szCs w:val="24"/>
              </w:rPr>
            </w:pPr>
            <w:r w:rsidRPr="007B1360">
              <w:rPr>
                <w:rFonts w:ascii="Times New Roman" w:hAnsi="Times New Roman" w:cs="Times New Roman"/>
                <w:sz w:val="24"/>
                <w:szCs w:val="24"/>
              </w:rPr>
              <w:t>Noteikumu projekts nepieciešams, lai veicinātu vienotu tirgus dalībnieku izpratni un pieeju regulējošo prasību piemērošanai</w:t>
            </w:r>
            <w:r w:rsidR="00787487" w:rsidRPr="007B1360">
              <w:rPr>
                <w:rFonts w:ascii="Times New Roman" w:hAnsi="Times New Roman" w:cs="Times New Roman"/>
                <w:sz w:val="24"/>
                <w:szCs w:val="24"/>
              </w:rPr>
              <w:t xml:space="preserve"> attiecībā uz </w:t>
            </w:r>
            <w:r w:rsidR="00C07599" w:rsidRPr="007B1360">
              <w:rPr>
                <w:rFonts w:ascii="Times New Roman" w:hAnsi="Times New Roman" w:cs="Times New Roman"/>
                <w:sz w:val="24"/>
                <w:szCs w:val="24"/>
              </w:rPr>
              <w:t>maksimāli sadalāmās summas</w:t>
            </w:r>
            <w:r w:rsidR="00787487" w:rsidRPr="007B1360">
              <w:rPr>
                <w:rFonts w:ascii="Times New Roman" w:hAnsi="Times New Roman" w:cs="Times New Roman"/>
                <w:sz w:val="24"/>
                <w:szCs w:val="24"/>
              </w:rPr>
              <w:t xml:space="preserve"> aprēķināšanas kārtību</w:t>
            </w:r>
            <w:r w:rsidR="00866469" w:rsidRPr="007B1360">
              <w:rPr>
                <w:rFonts w:ascii="Times New Roman" w:hAnsi="Times New Roman" w:cs="Times New Roman"/>
                <w:sz w:val="24"/>
                <w:szCs w:val="24"/>
              </w:rPr>
              <w:t xml:space="preserve"> </w:t>
            </w:r>
            <w:r w:rsidR="00B626DA" w:rsidRPr="007B1360">
              <w:rPr>
                <w:rFonts w:ascii="Times New Roman" w:hAnsi="Times New Roman" w:cs="Times New Roman"/>
                <w:sz w:val="24"/>
                <w:szCs w:val="24"/>
              </w:rPr>
              <w:t>iestādēm</w:t>
            </w:r>
            <w:r w:rsidR="00866469" w:rsidRPr="007B1360">
              <w:rPr>
                <w:rFonts w:ascii="Times New Roman" w:hAnsi="Times New Roman" w:cs="Times New Roman"/>
                <w:sz w:val="24"/>
                <w:szCs w:val="24"/>
              </w:rPr>
              <w:t xml:space="preserve">, </w:t>
            </w:r>
            <w:r w:rsidR="00B626DA" w:rsidRPr="007B1360">
              <w:rPr>
                <w:rFonts w:ascii="Times New Roman" w:hAnsi="Times New Roman" w:cs="Times New Roman"/>
                <w:sz w:val="24"/>
                <w:szCs w:val="24"/>
              </w:rPr>
              <w:t xml:space="preserve">ja tās </w:t>
            </w:r>
            <w:r w:rsidR="00866469" w:rsidRPr="007B1360">
              <w:rPr>
                <w:rFonts w:ascii="Times New Roman" w:hAnsi="Times New Roman" w:cs="Times New Roman"/>
                <w:sz w:val="24"/>
                <w:szCs w:val="24"/>
              </w:rPr>
              <w:t>neievēro kopējo kapitāla rezervju prasību</w:t>
            </w:r>
            <w:r w:rsidR="00B626DA" w:rsidRPr="007B1360">
              <w:rPr>
                <w:rFonts w:ascii="Times New Roman" w:hAnsi="Times New Roman" w:cs="Times New Roman"/>
                <w:sz w:val="24"/>
                <w:szCs w:val="24"/>
              </w:rPr>
              <w:t>,</w:t>
            </w:r>
            <w:r w:rsidR="00866469" w:rsidRPr="007B1360">
              <w:rPr>
                <w:rFonts w:ascii="Times New Roman" w:hAnsi="Times New Roman" w:cs="Times New Roman"/>
                <w:sz w:val="24"/>
                <w:szCs w:val="24"/>
              </w:rPr>
              <w:t xml:space="preserve"> </w:t>
            </w:r>
            <w:r w:rsidR="0040095C" w:rsidRPr="007B1360">
              <w:rPr>
                <w:rFonts w:ascii="Times New Roman" w:hAnsi="Times New Roman" w:cs="Times New Roman"/>
                <w:sz w:val="24"/>
                <w:szCs w:val="24"/>
              </w:rPr>
              <w:t>un</w:t>
            </w:r>
            <w:r w:rsidR="00866469" w:rsidRPr="007B1360">
              <w:rPr>
                <w:rFonts w:ascii="Times New Roman" w:hAnsi="Times New Roman" w:cs="Times New Roman"/>
                <w:sz w:val="24"/>
                <w:szCs w:val="24"/>
              </w:rPr>
              <w:t xml:space="preserve"> </w:t>
            </w:r>
            <w:r w:rsidR="00B626DA" w:rsidRPr="007B1360">
              <w:rPr>
                <w:rFonts w:ascii="Times New Roman" w:hAnsi="Times New Roman" w:cs="Times New Roman"/>
                <w:sz w:val="24"/>
                <w:szCs w:val="24"/>
              </w:rPr>
              <w:t>iestādēm</w:t>
            </w:r>
            <w:r w:rsidR="00866469" w:rsidRPr="007B1360">
              <w:rPr>
                <w:rFonts w:ascii="Times New Roman" w:hAnsi="Times New Roman" w:cs="Times New Roman"/>
                <w:sz w:val="24"/>
                <w:szCs w:val="24"/>
              </w:rPr>
              <w:t xml:space="preserve">, </w:t>
            </w:r>
            <w:r w:rsidR="00CD4AE2" w:rsidRPr="00CD4AE2">
              <w:rPr>
                <w:rFonts w:ascii="Times New Roman" w:hAnsi="Times New Roman" w:cs="Times New Roman"/>
                <w:sz w:val="24"/>
                <w:szCs w:val="24"/>
              </w:rPr>
              <w:t xml:space="preserve">kas ir globālas sistēmiski nozīmīgas iestādes, </w:t>
            </w:r>
            <w:r w:rsidR="00B626DA" w:rsidRPr="007B1360">
              <w:rPr>
                <w:rFonts w:ascii="Times New Roman" w:hAnsi="Times New Roman" w:cs="Times New Roman"/>
                <w:sz w:val="24"/>
                <w:szCs w:val="24"/>
              </w:rPr>
              <w:t xml:space="preserve">ja tās </w:t>
            </w:r>
            <w:r w:rsidR="00866469" w:rsidRPr="007B1360">
              <w:rPr>
                <w:rFonts w:ascii="Times New Roman" w:hAnsi="Times New Roman" w:cs="Times New Roman"/>
                <w:sz w:val="24"/>
                <w:szCs w:val="24"/>
              </w:rPr>
              <w:t>neievēro sviras rādītāja rezerves prasību</w:t>
            </w:r>
            <w:r w:rsidRPr="007B1360">
              <w:rPr>
                <w:rFonts w:ascii="Times New Roman" w:hAnsi="Times New Roman" w:cs="Times New Roman"/>
                <w:sz w:val="24"/>
                <w:szCs w:val="24"/>
              </w:rPr>
              <w:t>.</w:t>
            </w:r>
          </w:p>
          <w:p w14:paraId="05D67D20" w14:textId="77777777" w:rsidR="00954061" w:rsidRPr="007B1360" w:rsidRDefault="00954061" w:rsidP="00954061">
            <w:pPr>
              <w:jc w:val="both"/>
              <w:rPr>
                <w:rFonts w:ascii="Times New Roman" w:hAnsi="Times New Roman" w:cs="Times New Roman"/>
                <w:sz w:val="24"/>
                <w:szCs w:val="24"/>
              </w:rPr>
            </w:pPr>
          </w:p>
          <w:p w14:paraId="527FAACA" w14:textId="2F6C7C70" w:rsidR="00317F16" w:rsidRPr="007B1360" w:rsidRDefault="00317F16" w:rsidP="002D4A37">
            <w:pPr>
              <w:jc w:val="both"/>
              <w:rPr>
                <w:rFonts w:ascii="Times New Roman" w:hAnsi="Times New Roman" w:cs="Times New Roman"/>
                <w:sz w:val="24"/>
                <w:szCs w:val="24"/>
              </w:rPr>
            </w:pPr>
            <w:r w:rsidRPr="007B1360">
              <w:rPr>
                <w:rFonts w:ascii="Times New Roman" w:hAnsi="Times New Roman" w:cs="Times New Roman"/>
                <w:sz w:val="24"/>
                <w:szCs w:val="24"/>
              </w:rPr>
              <w:lastRenderedPageBreak/>
              <w:t xml:space="preserve">Noteikumu projekts ir izstrādāts, lai nodrošinātu </w:t>
            </w:r>
            <w:r w:rsidR="00595003" w:rsidRPr="007B1360">
              <w:rPr>
                <w:rFonts w:ascii="Times New Roman" w:hAnsi="Times New Roman" w:cs="Times New Roman"/>
                <w:sz w:val="24"/>
                <w:szCs w:val="24"/>
              </w:rPr>
              <w:t xml:space="preserve">to </w:t>
            </w:r>
            <w:r w:rsidRPr="007B1360">
              <w:rPr>
                <w:rFonts w:ascii="Times New Roman" w:hAnsi="Times New Roman" w:cs="Times New Roman"/>
                <w:sz w:val="24"/>
                <w:szCs w:val="24"/>
              </w:rPr>
              <w:t>tiesību normu ieviešanu, k</w:t>
            </w:r>
            <w:r w:rsidR="00437266" w:rsidRPr="007B1360">
              <w:rPr>
                <w:rFonts w:ascii="Times New Roman" w:hAnsi="Times New Roman" w:cs="Times New Roman"/>
                <w:sz w:val="24"/>
                <w:szCs w:val="24"/>
              </w:rPr>
              <w:t>ur</w:t>
            </w:r>
            <w:r w:rsidRPr="007B1360">
              <w:rPr>
                <w:rFonts w:ascii="Times New Roman" w:hAnsi="Times New Roman" w:cs="Times New Roman"/>
                <w:sz w:val="24"/>
                <w:szCs w:val="24"/>
              </w:rPr>
              <w:t>as iekļautas Direktīvā (ES)</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 xml:space="preserve">2019/878, kas </w:t>
            </w:r>
            <w:r w:rsidR="00520B95" w:rsidRPr="007B1360">
              <w:rPr>
                <w:rFonts w:ascii="Times New Roman" w:hAnsi="Times New Roman" w:cs="Times New Roman"/>
                <w:sz w:val="24"/>
                <w:szCs w:val="24"/>
              </w:rPr>
              <w:t xml:space="preserve">savukārt </w:t>
            </w:r>
            <w:r w:rsidRPr="007B1360">
              <w:rPr>
                <w:rFonts w:ascii="Times New Roman" w:hAnsi="Times New Roman" w:cs="Times New Roman"/>
                <w:sz w:val="24"/>
                <w:szCs w:val="24"/>
              </w:rPr>
              <w:t>groza Direktīvas</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2013/36/ES 141.</w:t>
            </w:r>
            <w:r w:rsidR="00AA195C" w:rsidRPr="007B1360">
              <w:rPr>
                <w:rFonts w:ascii="Times New Roman" w:hAnsi="Times New Roman" w:cs="Times New Roman"/>
                <w:sz w:val="24"/>
                <w:szCs w:val="24"/>
              </w:rPr>
              <w:t> </w:t>
            </w:r>
            <w:r w:rsidRPr="007B1360">
              <w:rPr>
                <w:rFonts w:ascii="Times New Roman" w:hAnsi="Times New Roman" w:cs="Times New Roman"/>
                <w:sz w:val="24"/>
                <w:szCs w:val="24"/>
              </w:rPr>
              <w:t>pantu un ievieš Direktīvā</w:t>
            </w:r>
            <w:r w:rsidR="0084323D" w:rsidRPr="007B1360">
              <w:rPr>
                <w:rFonts w:ascii="Times New Roman" w:hAnsi="Times New Roman" w:cs="Times New Roman"/>
                <w:sz w:val="24"/>
                <w:szCs w:val="24"/>
              </w:rPr>
              <w:t xml:space="preserve"> </w:t>
            </w:r>
            <w:r w:rsidRPr="007B1360">
              <w:rPr>
                <w:rFonts w:ascii="Times New Roman" w:hAnsi="Times New Roman" w:cs="Times New Roman"/>
                <w:sz w:val="24"/>
                <w:szCs w:val="24"/>
              </w:rPr>
              <w:t>2013/36/ES 141.b</w:t>
            </w:r>
            <w:r w:rsidR="0084323D" w:rsidRPr="007B1360">
              <w:rPr>
                <w:rFonts w:ascii="Times New Roman" w:hAnsi="Times New Roman" w:cs="Times New Roman"/>
                <w:sz w:val="24"/>
                <w:szCs w:val="24"/>
              </w:rPr>
              <w:t> </w:t>
            </w:r>
            <w:r w:rsidRPr="007B1360">
              <w:rPr>
                <w:rFonts w:ascii="Times New Roman" w:hAnsi="Times New Roman" w:cs="Times New Roman"/>
                <w:sz w:val="24"/>
                <w:szCs w:val="24"/>
              </w:rPr>
              <w:t>pantu.</w:t>
            </w:r>
          </w:p>
          <w:p w14:paraId="6A018846" w14:textId="77777777" w:rsidR="00317F16" w:rsidRPr="007B1360" w:rsidRDefault="00317F16" w:rsidP="002D4A37">
            <w:pPr>
              <w:jc w:val="both"/>
              <w:rPr>
                <w:rFonts w:ascii="Times New Roman" w:hAnsi="Times New Roman" w:cs="Times New Roman"/>
                <w:sz w:val="24"/>
                <w:szCs w:val="24"/>
              </w:rPr>
            </w:pPr>
          </w:p>
          <w:p w14:paraId="5B199845" w14:textId="2DDFB789" w:rsidR="009E6A95" w:rsidRPr="007B1360" w:rsidRDefault="00567DEF" w:rsidP="002D4A37">
            <w:pPr>
              <w:jc w:val="both"/>
              <w:rPr>
                <w:rFonts w:ascii="Times New Roman" w:hAnsi="Times New Roman" w:cs="Times New Roman"/>
                <w:color w:val="FF0000"/>
                <w:sz w:val="24"/>
                <w:szCs w:val="24"/>
              </w:rPr>
            </w:pPr>
            <w:r w:rsidRPr="007B1360">
              <w:rPr>
                <w:rFonts w:ascii="Times New Roman" w:hAnsi="Times New Roman" w:cs="Times New Roman"/>
                <w:sz w:val="24"/>
                <w:szCs w:val="24"/>
              </w:rPr>
              <w:t xml:space="preserve">Direktīvas </w:t>
            </w:r>
            <w:r w:rsidR="00494F09" w:rsidRPr="007B1360">
              <w:rPr>
                <w:rFonts w:ascii="Times New Roman" w:hAnsi="Times New Roman" w:cs="Times New Roman"/>
                <w:sz w:val="24"/>
                <w:szCs w:val="24"/>
              </w:rPr>
              <w:t>(ES)</w:t>
            </w:r>
            <w:r w:rsidR="0084323D" w:rsidRPr="007B1360">
              <w:rPr>
                <w:rFonts w:ascii="Times New Roman" w:hAnsi="Times New Roman" w:cs="Times New Roman"/>
                <w:sz w:val="24"/>
                <w:szCs w:val="24"/>
              </w:rPr>
              <w:t> </w:t>
            </w:r>
            <w:r w:rsidR="00494F09" w:rsidRPr="007B1360">
              <w:rPr>
                <w:rFonts w:ascii="Times New Roman" w:hAnsi="Times New Roman" w:cs="Times New Roman"/>
                <w:sz w:val="24"/>
                <w:szCs w:val="24"/>
              </w:rPr>
              <w:t xml:space="preserve">2019/878 </w:t>
            </w:r>
            <w:r w:rsidR="00D430B7" w:rsidRPr="007B1360">
              <w:rPr>
                <w:rFonts w:ascii="Times New Roman" w:hAnsi="Times New Roman" w:cs="Times New Roman"/>
                <w:sz w:val="24"/>
                <w:szCs w:val="24"/>
              </w:rPr>
              <w:t>1. panta 51. un</w:t>
            </w:r>
            <w:r w:rsidR="00F41E0D" w:rsidRPr="007B1360">
              <w:rPr>
                <w:rFonts w:ascii="Times New Roman" w:hAnsi="Times New Roman" w:cs="Times New Roman"/>
                <w:sz w:val="24"/>
                <w:szCs w:val="24"/>
              </w:rPr>
              <w:t> </w:t>
            </w:r>
            <w:r w:rsidR="00D430B7" w:rsidRPr="007B1360">
              <w:rPr>
                <w:rFonts w:ascii="Times New Roman" w:hAnsi="Times New Roman" w:cs="Times New Roman"/>
                <w:sz w:val="24"/>
                <w:szCs w:val="24"/>
              </w:rPr>
              <w:t xml:space="preserve">52. punkta (Direktīvas 2013/36/ES </w:t>
            </w:r>
            <w:r w:rsidR="00494F09" w:rsidRPr="007B1360">
              <w:rPr>
                <w:rFonts w:ascii="Times New Roman" w:hAnsi="Times New Roman" w:cs="Times New Roman"/>
                <w:sz w:val="24"/>
                <w:szCs w:val="24"/>
              </w:rPr>
              <w:t>141.</w:t>
            </w:r>
            <w:r w:rsidR="00AA195C" w:rsidRPr="007B1360">
              <w:rPr>
                <w:rFonts w:ascii="Times New Roman" w:hAnsi="Times New Roman" w:cs="Times New Roman"/>
                <w:sz w:val="24"/>
                <w:szCs w:val="24"/>
              </w:rPr>
              <w:t> </w:t>
            </w:r>
            <w:r w:rsidR="00494F09" w:rsidRPr="007B1360">
              <w:rPr>
                <w:rFonts w:ascii="Times New Roman" w:hAnsi="Times New Roman" w:cs="Times New Roman"/>
                <w:sz w:val="24"/>
                <w:szCs w:val="24"/>
              </w:rPr>
              <w:t>panta un 141.b</w:t>
            </w:r>
            <w:r w:rsidR="00AA195C" w:rsidRPr="007B1360">
              <w:rPr>
                <w:rFonts w:ascii="Times New Roman" w:hAnsi="Times New Roman" w:cs="Times New Roman"/>
                <w:sz w:val="24"/>
                <w:szCs w:val="24"/>
              </w:rPr>
              <w:t> </w:t>
            </w:r>
            <w:r w:rsidR="00494F09" w:rsidRPr="007B1360">
              <w:rPr>
                <w:rFonts w:ascii="Times New Roman" w:hAnsi="Times New Roman" w:cs="Times New Roman"/>
                <w:sz w:val="24"/>
                <w:szCs w:val="24"/>
              </w:rPr>
              <w:t>panta</w:t>
            </w:r>
            <w:r w:rsidR="00D430B7" w:rsidRPr="007B1360">
              <w:rPr>
                <w:rFonts w:ascii="Times New Roman" w:hAnsi="Times New Roman" w:cs="Times New Roman"/>
                <w:sz w:val="24"/>
                <w:szCs w:val="24"/>
              </w:rPr>
              <w:t>)</w:t>
            </w:r>
            <w:r w:rsidR="00494F09" w:rsidRPr="007B1360">
              <w:rPr>
                <w:rFonts w:ascii="Times New Roman" w:hAnsi="Times New Roman" w:cs="Times New Roman"/>
                <w:sz w:val="24"/>
                <w:szCs w:val="24"/>
              </w:rPr>
              <w:t xml:space="preserve"> </w:t>
            </w:r>
            <w:r w:rsidR="00851C5D" w:rsidRPr="007B1360">
              <w:rPr>
                <w:rFonts w:ascii="Times New Roman" w:hAnsi="Times New Roman" w:cs="Times New Roman"/>
                <w:sz w:val="24"/>
                <w:szCs w:val="24"/>
              </w:rPr>
              <w:t xml:space="preserve">pārņemšanas tabula </w:t>
            </w:r>
            <w:r w:rsidR="00494F09" w:rsidRPr="007B1360">
              <w:rPr>
                <w:rFonts w:ascii="Times New Roman" w:hAnsi="Times New Roman" w:cs="Times New Roman"/>
                <w:sz w:val="24"/>
                <w:szCs w:val="24"/>
              </w:rPr>
              <w:t xml:space="preserve">ir pievienota </w:t>
            </w:r>
            <w:r w:rsidR="00797917" w:rsidRPr="007B1360">
              <w:rPr>
                <w:rFonts w:ascii="Times New Roman" w:hAnsi="Times New Roman" w:cs="Times New Roman"/>
                <w:sz w:val="24"/>
                <w:szCs w:val="24"/>
              </w:rPr>
              <w:t xml:space="preserve">anotācijas </w:t>
            </w:r>
            <w:r w:rsidR="00851C5D" w:rsidRPr="007B1360">
              <w:rPr>
                <w:rFonts w:ascii="Times New Roman" w:hAnsi="Times New Roman" w:cs="Times New Roman"/>
                <w:sz w:val="24"/>
                <w:szCs w:val="24"/>
              </w:rPr>
              <w:t>pielikumā</w:t>
            </w:r>
            <w:r w:rsidR="00494F09" w:rsidRPr="007B1360">
              <w:rPr>
                <w:rFonts w:ascii="Times New Roman" w:hAnsi="Times New Roman" w:cs="Times New Roman"/>
                <w:sz w:val="24"/>
                <w:szCs w:val="24"/>
              </w:rPr>
              <w:t>.</w:t>
            </w:r>
          </w:p>
        </w:tc>
      </w:tr>
      <w:tr w:rsidR="00A61684" w:rsidRPr="007B1360" w14:paraId="1F6AF38A" w14:textId="77777777" w:rsidTr="009B620B">
        <w:trPr>
          <w:trHeight w:val="557"/>
        </w:trPr>
        <w:tc>
          <w:tcPr>
            <w:tcW w:w="1980" w:type="dxa"/>
          </w:tcPr>
          <w:p w14:paraId="4BE09150" w14:textId="77777777" w:rsidR="001A2F7D" w:rsidRPr="007B1360" w:rsidRDefault="009E6A95" w:rsidP="001A2F7D">
            <w:pPr>
              <w:jc w:val="both"/>
              <w:rPr>
                <w:rFonts w:ascii="Times New Roman" w:hAnsi="Times New Roman" w:cs="Times New Roman"/>
                <w:sz w:val="24"/>
                <w:szCs w:val="24"/>
              </w:rPr>
            </w:pPr>
            <w:r w:rsidRPr="007B1360">
              <w:rPr>
                <w:rFonts w:ascii="Times New Roman" w:hAnsi="Times New Roman" w:cs="Times New Roman"/>
                <w:b/>
                <w:bCs/>
                <w:sz w:val="24"/>
                <w:szCs w:val="24"/>
              </w:rPr>
              <w:lastRenderedPageBreak/>
              <w:t>Samērīgums</w:t>
            </w:r>
          </w:p>
          <w:p w14:paraId="01ABB231" w14:textId="77777777" w:rsidR="00851C5D" w:rsidRPr="007B1360" w:rsidRDefault="00851C5D" w:rsidP="009B6162">
            <w:pPr>
              <w:jc w:val="both"/>
              <w:rPr>
                <w:rFonts w:ascii="Times New Roman" w:hAnsi="Times New Roman" w:cs="Times New Roman"/>
                <w:color w:val="FF0000"/>
                <w:sz w:val="24"/>
                <w:szCs w:val="24"/>
              </w:rPr>
            </w:pPr>
          </w:p>
          <w:p w14:paraId="1C3DCB7A" w14:textId="77777777" w:rsidR="00851C5D" w:rsidRPr="007B1360" w:rsidRDefault="00851C5D" w:rsidP="009B6162">
            <w:pPr>
              <w:jc w:val="both"/>
              <w:rPr>
                <w:rFonts w:ascii="Times New Roman" w:hAnsi="Times New Roman" w:cs="Times New Roman"/>
                <w:color w:val="FF0000"/>
                <w:sz w:val="24"/>
                <w:szCs w:val="24"/>
              </w:rPr>
            </w:pPr>
          </w:p>
          <w:p w14:paraId="7799CA5F" w14:textId="77777777" w:rsidR="00851C5D" w:rsidRPr="007B1360" w:rsidRDefault="00851C5D" w:rsidP="009B6162">
            <w:pPr>
              <w:jc w:val="both"/>
              <w:rPr>
                <w:rFonts w:ascii="Times New Roman" w:hAnsi="Times New Roman" w:cs="Times New Roman"/>
                <w:color w:val="FF0000"/>
                <w:sz w:val="24"/>
                <w:szCs w:val="24"/>
              </w:rPr>
            </w:pPr>
          </w:p>
          <w:p w14:paraId="035EC1EE" w14:textId="77777777" w:rsidR="00851C5D" w:rsidRPr="007B1360" w:rsidRDefault="00851C5D" w:rsidP="009B6162">
            <w:pPr>
              <w:jc w:val="both"/>
              <w:rPr>
                <w:rFonts w:ascii="Times New Roman" w:hAnsi="Times New Roman" w:cs="Times New Roman"/>
                <w:color w:val="FF0000"/>
                <w:sz w:val="24"/>
                <w:szCs w:val="24"/>
              </w:rPr>
            </w:pPr>
          </w:p>
          <w:p w14:paraId="30837A33" w14:textId="77777777" w:rsidR="00851C5D" w:rsidRPr="007B1360" w:rsidRDefault="00851C5D" w:rsidP="009B6162">
            <w:pPr>
              <w:jc w:val="both"/>
              <w:rPr>
                <w:rFonts w:ascii="Times New Roman" w:hAnsi="Times New Roman" w:cs="Times New Roman"/>
                <w:color w:val="FF0000"/>
                <w:sz w:val="24"/>
                <w:szCs w:val="24"/>
              </w:rPr>
            </w:pPr>
          </w:p>
          <w:p w14:paraId="33670CC6" w14:textId="77777777" w:rsidR="00851C5D" w:rsidRPr="007B1360" w:rsidRDefault="00851C5D" w:rsidP="009B6162">
            <w:pPr>
              <w:jc w:val="both"/>
              <w:rPr>
                <w:rFonts w:ascii="Times New Roman" w:hAnsi="Times New Roman" w:cs="Times New Roman"/>
                <w:color w:val="FF0000"/>
                <w:sz w:val="24"/>
                <w:szCs w:val="24"/>
              </w:rPr>
            </w:pPr>
          </w:p>
          <w:p w14:paraId="2CDFB164" w14:textId="77777777" w:rsidR="00851C5D" w:rsidRPr="007B1360" w:rsidRDefault="00851C5D" w:rsidP="009B6162">
            <w:pPr>
              <w:jc w:val="both"/>
              <w:rPr>
                <w:rFonts w:ascii="Times New Roman" w:hAnsi="Times New Roman" w:cs="Times New Roman"/>
                <w:color w:val="FF0000"/>
                <w:sz w:val="24"/>
                <w:szCs w:val="24"/>
              </w:rPr>
            </w:pPr>
          </w:p>
          <w:p w14:paraId="63A5051E" w14:textId="77777777" w:rsidR="00851C5D" w:rsidRPr="007B1360" w:rsidRDefault="00851C5D" w:rsidP="009B6162">
            <w:pPr>
              <w:jc w:val="both"/>
              <w:rPr>
                <w:rFonts w:ascii="Times New Roman" w:hAnsi="Times New Roman" w:cs="Times New Roman"/>
                <w:color w:val="FF0000"/>
                <w:sz w:val="24"/>
                <w:szCs w:val="24"/>
              </w:rPr>
            </w:pPr>
          </w:p>
          <w:p w14:paraId="58911400" w14:textId="77777777" w:rsidR="00851C5D" w:rsidRPr="007B1360" w:rsidRDefault="00851C5D" w:rsidP="009B6162">
            <w:pPr>
              <w:jc w:val="both"/>
              <w:rPr>
                <w:rFonts w:ascii="Times New Roman" w:hAnsi="Times New Roman" w:cs="Times New Roman"/>
                <w:color w:val="FF0000"/>
                <w:sz w:val="24"/>
                <w:szCs w:val="24"/>
              </w:rPr>
            </w:pPr>
          </w:p>
          <w:p w14:paraId="6CE7333C" w14:textId="77777777" w:rsidR="00851C5D" w:rsidRPr="007B1360" w:rsidRDefault="00851C5D" w:rsidP="009B6162">
            <w:pPr>
              <w:jc w:val="both"/>
              <w:rPr>
                <w:rFonts w:ascii="Times New Roman" w:hAnsi="Times New Roman" w:cs="Times New Roman"/>
                <w:color w:val="FF0000"/>
                <w:sz w:val="24"/>
                <w:szCs w:val="24"/>
              </w:rPr>
            </w:pPr>
          </w:p>
          <w:p w14:paraId="7FCEF894" w14:textId="77777777" w:rsidR="00851C5D" w:rsidRPr="007B1360" w:rsidRDefault="00851C5D" w:rsidP="009B6162">
            <w:pPr>
              <w:jc w:val="both"/>
              <w:rPr>
                <w:rFonts w:ascii="Times New Roman" w:hAnsi="Times New Roman" w:cs="Times New Roman"/>
                <w:color w:val="FF0000"/>
                <w:sz w:val="24"/>
                <w:szCs w:val="24"/>
              </w:rPr>
            </w:pPr>
          </w:p>
          <w:p w14:paraId="68503444" w14:textId="77777777" w:rsidR="009B6162" w:rsidRPr="007B1360" w:rsidRDefault="009B6162" w:rsidP="009B6162">
            <w:pPr>
              <w:jc w:val="both"/>
              <w:rPr>
                <w:rFonts w:ascii="Times New Roman" w:hAnsi="Times New Roman" w:cs="Times New Roman"/>
                <w:color w:val="FF0000"/>
                <w:sz w:val="24"/>
                <w:szCs w:val="24"/>
              </w:rPr>
            </w:pPr>
          </w:p>
          <w:p w14:paraId="610DC21C" w14:textId="77777777" w:rsidR="00851C5D" w:rsidRPr="007B1360" w:rsidRDefault="00851C5D" w:rsidP="009B6162">
            <w:pPr>
              <w:jc w:val="both"/>
              <w:rPr>
                <w:rFonts w:ascii="Times New Roman" w:hAnsi="Times New Roman" w:cs="Times New Roman"/>
                <w:color w:val="FF0000"/>
                <w:sz w:val="24"/>
                <w:szCs w:val="24"/>
              </w:rPr>
            </w:pPr>
          </w:p>
          <w:p w14:paraId="2E29C592" w14:textId="77777777" w:rsidR="00851C5D" w:rsidRPr="007B1360" w:rsidRDefault="00851C5D" w:rsidP="009B6162">
            <w:pPr>
              <w:jc w:val="both"/>
              <w:rPr>
                <w:rFonts w:ascii="Times New Roman" w:hAnsi="Times New Roman" w:cs="Times New Roman"/>
                <w:color w:val="FF0000"/>
                <w:sz w:val="24"/>
                <w:szCs w:val="24"/>
              </w:rPr>
            </w:pPr>
          </w:p>
          <w:p w14:paraId="60BA074C" w14:textId="77777777" w:rsidR="00851C5D" w:rsidRPr="007B1360" w:rsidRDefault="00851C5D" w:rsidP="009B6162">
            <w:pPr>
              <w:jc w:val="both"/>
              <w:rPr>
                <w:rFonts w:ascii="Times New Roman" w:hAnsi="Times New Roman" w:cs="Times New Roman"/>
                <w:color w:val="FF0000"/>
                <w:sz w:val="24"/>
                <w:szCs w:val="24"/>
              </w:rPr>
            </w:pPr>
          </w:p>
          <w:p w14:paraId="20582EC5" w14:textId="77777777" w:rsidR="00851C5D" w:rsidRPr="007B1360" w:rsidRDefault="00851C5D" w:rsidP="009B6162">
            <w:pPr>
              <w:jc w:val="both"/>
              <w:rPr>
                <w:rFonts w:ascii="Times New Roman" w:hAnsi="Times New Roman" w:cs="Times New Roman"/>
                <w:color w:val="FF0000"/>
                <w:sz w:val="24"/>
                <w:szCs w:val="24"/>
              </w:rPr>
            </w:pPr>
          </w:p>
          <w:p w14:paraId="73278EED" w14:textId="77777777" w:rsidR="00851C5D" w:rsidRPr="007B1360" w:rsidRDefault="00851C5D" w:rsidP="009B6162">
            <w:pPr>
              <w:jc w:val="both"/>
              <w:rPr>
                <w:rFonts w:ascii="Times New Roman" w:hAnsi="Times New Roman" w:cs="Times New Roman"/>
                <w:color w:val="FF0000"/>
                <w:sz w:val="24"/>
                <w:szCs w:val="24"/>
              </w:rPr>
            </w:pPr>
          </w:p>
          <w:p w14:paraId="5BE72B4C" w14:textId="77777777" w:rsidR="00851C5D" w:rsidRPr="007B1360" w:rsidRDefault="00851C5D" w:rsidP="009B6162">
            <w:pPr>
              <w:jc w:val="both"/>
              <w:rPr>
                <w:rFonts w:ascii="Times New Roman" w:hAnsi="Times New Roman" w:cs="Times New Roman"/>
                <w:color w:val="FF0000"/>
                <w:sz w:val="24"/>
                <w:szCs w:val="24"/>
              </w:rPr>
            </w:pPr>
          </w:p>
          <w:p w14:paraId="18DE5A50" w14:textId="77777777" w:rsidR="00851C5D" w:rsidRPr="007B1360" w:rsidRDefault="00851C5D" w:rsidP="009B6162">
            <w:pPr>
              <w:jc w:val="both"/>
              <w:rPr>
                <w:rFonts w:ascii="Times New Roman" w:hAnsi="Times New Roman" w:cs="Times New Roman"/>
                <w:color w:val="FF0000"/>
                <w:sz w:val="24"/>
                <w:szCs w:val="24"/>
              </w:rPr>
            </w:pPr>
          </w:p>
          <w:p w14:paraId="45AD4BB5" w14:textId="77777777" w:rsidR="00851C5D" w:rsidRPr="007B1360" w:rsidRDefault="00851C5D" w:rsidP="009B6162">
            <w:pPr>
              <w:jc w:val="both"/>
              <w:rPr>
                <w:rFonts w:ascii="Times New Roman" w:hAnsi="Times New Roman" w:cs="Times New Roman"/>
                <w:color w:val="FF0000"/>
                <w:sz w:val="24"/>
                <w:szCs w:val="24"/>
              </w:rPr>
            </w:pPr>
          </w:p>
          <w:p w14:paraId="6F0ED57B" w14:textId="77777777" w:rsidR="00851C5D" w:rsidRPr="007B1360" w:rsidRDefault="00851C5D" w:rsidP="009B6162">
            <w:pPr>
              <w:jc w:val="both"/>
              <w:rPr>
                <w:rFonts w:ascii="Times New Roman" w:hAnsi="Times New Roman" w:cs="Times New Roman"/>
                <w:color w:val="FF0000"/>
                <w:sz w:val="24"/>
                <w:szCs w:val="24"/>
              </w:rPr>
            </w:pPr>
          </w:p>
          <w:p w14:paraId="19AFF911" w14:textId="77777777" w:rsidR="00851C5D" w:rsidRPr="007B1360" w:rsidRDefault="00851C5D" w:rsidP="009B6162">
            <w:pPr>
              <w:jc w:val="both"/>
              <w:rPr>
                <w:rFonts w:ascii="Times New Roman" w:hAnsi="Times New Roman" w:cs="Times New Roman"/>
                <w:color w:val="FF0000"/>
                <w:sz w:val="24"/>
                <w:szCs w:val="24"/>
              </w:rPr>
            </w:pPr>
          </w:p>
          <w:p w14:paraId="5B2AC1B8" w14:textId="0CC4E8FB" w:rsidR="009B6162" w:rsidRPr="007B1360" w:rsidRDefault="009B6162" w:rsidP="009B6162">
            <w:pPr>
              <w:jc w:val="both"/>
              <w:rPr>
                <w:rFonts w:ascii="Times New Roman" w:hAnsi="Times New Roman" w:cs="Times New Roman"/>
                <w:color w:val="FF0000"/>
                <w:sz w:val="24"/>
                <w:szCs w:val="24"/>
              </w:rPr>
            </w:pPr>
          </w:p>
        </w:tc>
        <w:tc>
          <w:tcPr>
            <w:tcW w:w="6379" w:type="dxa"/>
          </w:tcPr>
          <w:p w14:paraId="38DD7C6E" w14:textId="5692E728" w:rsidR="00905C0A" w:rsidRPr="007B1360" w:rsidRDefault="009500E7" w:rsidP="00905C0A">
            <w:pPr>
              <w:jc w:val="both"/>
              <w:rPr>
                <w:rFonts w:ascii="Times New Roman" w:eastAsia="Times New Roman" w:hAnsi="Times New Roman" w:cs="Times New Roman"/>
                <w:sz w:val="24"/>
                <w:szCs w:val="24"/>
              </w:rPr>
            </w:pPr>
            <w:r w:rsidRPr="007B1360">
              <w:rPr>
                <w:rFonts w:ascii="Times New Roman" w:eastAsia="Times New Roman" w:hAnsi="Times New Roman" w:cs="Times New Roman"/>
                <w:sz w:val="24"/>
                <w:szCs w:val="24"/>
              </w:rPr>
              <w:t>Kredītiestāžu</w:t>
            </w:r>
            <w:r w:rsidR="00905C0A" w:rsidRPr="007B1360">
              <w:rPr>
                <w:rFonts w:ascii="Times New Roman" w:eastAsia="Times New Roman" w:hAnsi="Times New Roman" w:cs="Times New Roman"/>
                <w:sz w:val="24"/>
                <w:szCs w:val="24"/>
              </w:rPr>
              <w:t xml:space="preserve"> </w:t>
            </w:r>
            <w:r w:rsidR="00F2777F" w:rsidRPr="007B1360">
              <w:rPr>
                <w:rFonts w:ascii="Times New Roman" w:eastAsia="Times New Roman" w:hAnsi="Times New Roman" w:cs="Times New Roman"/>
                <w:sz w:val="24"/>
                <w:szCs w:val="24"/>
              </w:rPr>
              <w:t>likuma 35.</w:t>
            </w:r>
            <w:r w:rsidR="00F2777F" w:rsidRPr="007B1360">
              <w:rPr>
                <w:rFonts w:ascii="Times New Roman" w:eastAsia="Times New Roman" w:hAnsi="Times New Roman" w:cs="Times New Roman"/>
                <w:sz w:val="24"/>
                <w:szCs w:val="24"/>
                <w:vertAlign w:val="superscript"/>
              </w:rPr>
              <w:t>27</w:t>
            </w:r>
            <w:r w:rsidR="00577222" w:rsidRPr="007B1360">
              <w:rPr>
                <w:rFonts w:ascii="Times New Roman" w:eastAsia="Times New Roman" w:hAnsi="Times New Roman" w:cs="Times New Roman"/>
                <w:sz w:val="24"/>
                <w:szCs w:val="24"/>
              </w:rPr>
              <w:t> </w:t>
            </w:r>
            <w:r w:rsidR="00F2777F" w:rsidRPr="007B1360">
              <w:rPr>
                <w:rFonts w:ascii="Times New Roman" w:eastAsia="Times New Roman" w:hAnsi="Times New Roman" w:cs="Times New Roman"/>
                <w:sz w:val="24"/>
                <w:szCs w:val="24"/>
              </w:rPr>
              <w:t xml:space="preserve">panta pirmā daļa </w:t>
            </w:r>
            <w:r w:rsidR="009B6162" w:rsidRPr="007B1360">
              <w:rPr>
                <w:rFonts w:ascii="Times New Roman" w:eastAsia="Times New Roman" w:hAnsi="Times New Roman" w:cs="Times New Roman"/>
                <w:sz w:val="24"/>
                <w:szCs w:val="24"/>
              </w:rPr>
              <w:t>un 35.</w:t>
            </w:r>
            <w:r w:rsidR="009B6162" w:rsidRPr="007B1360">
              <w:rPr>
                <w:rFonts w:ascii="Times New Roman" w:eastAsia="Times New Roman" w:hAnsi="Times New Roman" w:cs="Times New Roman"/>
                <w:sz w:val="24"/>
                <w:szCs w:val="24"/>
                <w:vertAlign w:val="superscript"/>
              </w:rPr>
              <w:t>35</w:t>
            </w:r>
            <w:r w:rsidR="00577222" w:rsidRPr="007B1360">
              <w:rPr>
                <w:rFonts w:ascii="Times New Roman" w:eastAsia="Times New Roman" w:hAnsi="Times New Roman" w:cs="Times New Roman"/>
                <w:sz w:val="24"/>
                <w:szCs w:val="24"/>
                <w:vertAlign w:val="superscript"/>
              </w:rPr>
              <w:t> </w:t>
            </w:r>
            <w:r w:rsidR="009B6162" w:rsidRPr="007B1360">
              <w:rPr>
                <w:rFonts w:ascii="Times New Roman" w:eastAsia="Times New Roman" w:hAnsi="Times New Roman" w:cs="Times New Roman"/>
                <w:sz w:val="24"/>
                <w:szCs w:val="24"/>
              </w:rPr>
              <w:t xml:space="preserve">panta pirmā daļa </w:t>
            </w:r>
            <w:r w:rsidR="00905C0A" w:rsidRPr="007B1360">
              <w:rPr>
                <w:rFonts w:ascii="Times New Roman" w:eastAsia="Times New Roman" w:hAnsi="Times New Roman" w:cs="Times New Roman"/>
                <w:sz w:val="24"/>
                <w:szCs w:val="24"/>
              </w:rPr>
              <w:t xml:space="preserve">nosaka pienākumu </w:t>
            </w:r>
            <w:r w:rsidR="009B6162" w:rsidRPr="007B1360">
              <w:rPr>
                <w:rFonts w:ascii="Times New Roman" w:eastAsia="Times New Roman" w:hAnsi="Times New Roman" w:cs="Times New Roman"/>
                <w:sz w:val="24"/>
                <w:szCs w:val="24"/>
              </w:rPr>
              <w:t xml:space="preserve">attiecīgi </w:t>
            </w:r>
            <w:r w:rsidR="00B626DA" w:rsidRPr="007B1360">
              <w:rPr>
                <w:rFonts w:ascii="Times New Roman" w:eastAsia="Times New Roman" w:hAnsi="Times New Roman" w:cs="Times New Roman"/>
                <w:sz w:val="24"/>
                <w:szCs w:val="24"/>
              </w:rPr>
              <w:t>iestādēm</w:t>
            </w:r>
            <w:r w:rsidR="00593C7F" w:rsidRPr="007B1360">
              <w:rPr>
                <w:rFonts w:ascii="Times New Roman" w:eastAsia="Times New Roman" w:hAnsi="Times New Roman" w:cs="Times New Roman"/>
                <w:sz w:val="24"/>
                <w:szCs w:val="24"/>
              </w:rPr>
              <w:t>,</w:t>
            </w:r>
            <w:r w:rsidR="00905C0A" w:rsidRPr="007B1360">
              <w:rPr>
                <w:rFonts w:ascii="Times New Roman" w:eastAsia="Times New Roman" w:hAnsi="Times New Roman" w:cs="Times New Roman"/>
                <w:sz w:val="24"/>
                <w:szCs w:val="24"/>
              </w:rPr>
              <w:t xml:space="preserve"> </w:t>
            </w:r>
            <w:r w:rsidR="00B626DA" w:rsidRPr="007B1360">
              <w:rPr>
                <w:rFonts w:ascii="Times New Roman" w:eastAsia="Times New Roman" w:hAnsi="Times New Roman" w:cs="Times New Roman"/>
                <w:sz w:val="24"/>
                <w:szCs w:val="24"/>
              </w:rPr>
              <w:t xml:space="preserve">ja tās </w:t>
            </w:r>
            <w:r w:rsidR="00593C7F" w:rsidRPr="007B1360">
              <w:rPr>
                <w:rFonts w:ascii="Times New Roman" w:eastAsia="Times New Roman" w:hAnsi="Times New Roman" w:cs="Times New Roman"/>
                <w:sz w:val="24"/>
                <w:szCs w:val="24"/>
              </w:rPr>
              <w:t xml:space="preserve">neievēro kopējo kapitāla rezervju prasību, </w:t>
            </w:r>
            <w:r w:rsidR="009B6162" w:rsidRPr="007B1360">
              <w:rPr>
                <w:rFonts w:ascii="Times New Roman" w:eastAsia="Times New Roman" w:hAnsi="Times New Roman" w:cs="Times New Roman"/>
                <w:sz w:val="24"/>
                <w:szCs w:val="24"/>
              </w:rPr>
              <w:t xml:space="preserve">un </w:t>
            </w:r>
            <w:r w:rsidR="00B626DA" w:rsidRPr="007B1360">
              <w:rPr>
                <w:rFonts w:ascii="Times New Roman" w:eastAsia="Times New Roman" w:hAnsi="Times New Roman" w:cs="Times New Roman"/>
                <w:sz w:val="24"/>
                <w:szCs w:val="24"/>
              </w:rPr>
              <w:t>iestādēm</w:t>
            </w:r>
            <w:r w:rsidR="009B6162" w:rsidRPr="007B1360">
              <w:rPr>
                <w:rFonts w:ascii="Times New Roman" w:eastAsia="Times New Roman" w:hAnsi="Times New Roman" w:cs="Times New Roman"/>
                <w:sz w:val="24"/>
                <w:szCs w:val="24"/>
              </w:rPr>
              <w:t xml:space="preserve">, </w:t>
            </w:r>
            <w:r w:rsidR="00CD4AE2" w:rsidRPr="00CD4AE2">
              <w:rPr>
                <w:rFonts w:ascii="Times New Roman" w:eastAsia="Times New Roman" w:hAnsi="Times New Roman" w:cs="Times New Roman"/>
                <w:sz w:val="24"/>
                <w:szCs w:val="24"/>
              </w:rPr>
              <w:t xml:space="preserve">kas ir globālas sistēmiski nozīmīgas iestādes, </w:t>
            </w:r>
            <w:r w:rsidR="00B626DA" w:rsidRPr="007B1360">
              <w:rPr>
                <w:rFonts w:ascii="Times New Roman" w:eastAsia="Times New Roman" w:hAnsi="Times New Roman" w:cs="Times New Roman"/>
                <w:sz w:val="24"/>
                <w:szCs w:val="24"/>
              </w:rPr>
              <w:t xml:space="preserve">ja tās </w:t>
            </w:r>
            <w:r w:rsidR="009B6162" w:rsidRPr="007B1360">
              <w:rPr>
                <w:rFonts w:ascii="Times New Roman" w:eastAsia="Times New Roman" w:hAnsi="Times New Roman" w:cs="Times New Roman"/>
                <w:sz w:val="24"/>
                <w:szCs w:val="24"/>
              </w:rPr>
              <w:t xml:space="preserve">neievēro sviras rādītāja rezerves prasību, </w:t>
            </w:r>
            <w:r w:rsidR="00593C7F" w:rsidRPr="007B1360">
              <w:rPr>
                <w:rFonts w:ascii="Times New Roman" w:eastAsia="Times New Roman" w:hAnsi="Times New Roman" w:cs="Times New Roman"/>
                <w:sz w:val="24"/>
                <w:szCs w:val="24"/>
              </w:rPr>
              <w:t>aprēķināt maksimāli sadalāmo summu</w:t>
            </w:r>
            <w:r w:rsidR="00905C0A" w:rsidRPr="007B1360">
              <w:rPr>
                <w:rFonts w:ascii="Times New Roman" w:eastAsia="Times New Roman" w:hAnsi="Times New Roman" w:cs="Times New Roman"/>
                <w:sz w:val="24"/>
                <w:szCs w:val="24"/>
              </w:rPr>
              <w:t xml:space="preserve">, bet nenosaka vienotu </w:t>
            </w:r>
            <w:r w:rsidR="00E82790" w:rsidRPr="007B1360">
              <w:rPr>
                <w:rFonts w:ascii="Times New Roman" w:eastAsia="Times New Roman" w:hAnsi="Times New Roman" w:cs="Times New Roman"/>
                <w:sz w:val="24"/>
                <w:szCs w:val="24"/>
              </w:rPr>
              <w:t xml:space="preserve">tās </w:t>
            </w:r>
            <w:r w:rsidR="009B6162" w:rsidRPr="007B1360">
              <w:rPr>
                <w:rFonts w:ascii="Times New Roman" w:eastAsia="Times New Roman" w:hAnsi="Times New Roman" w:cs="Times New Roman"/>
                <w:sz w:val="24"/>
                <w:szCs w:val="24"/>
              </w:rPr>
              <w:t xml:space="preserve">aprēķināšanas </w:t>
            </w:r>
            <w:r w:rsidR="00905C0A" w:rsidRPr="007B1360">
              <w:rPr>
                <w:rFonts w:ascii="Times New Roman" w:eastAsia="Times New Roman" w:hAnsi="Times New Roman" w:cs="Times New Roman"/>
                <w:sz w:val="24"/>
                <w:szCs w:val="24"/>
              </w:rPr>
              <w:t>kārtību.</w:t>
            </w:r>
          </w:p>
          <w:p w14:paraId="26420117" w14:textId="41DA1BE6" w:rsidR="00DD59EA" w:rsidRPr="007B1360" w:rsidRDefault="00DD59EA" w:rsidP="00786B14">
            <w:pPr>
              <w:jc w:val="both"/>
              <w:rPr>
                <w:rFonts w:ascii="Times New Roman" w:eastAsia="Times New Roman" w:hAnsi="Times New Roman" w:cs="Times New Roman"/>
                <w:sz w:val="24"/>
                <w:szCs w:val="24"/>
              </w:rPr>
            </w:pPr>
          </w:p>
          <w:p w14:paraId="676D2D6E" w14:textId="6D9D8795" w:rsidR="00DD59EA" w:rsidRPr="007B1360" w:rsidRDefault="00DD59EA" w:rsidP="00786B14">
            <w:pPr>
              <w:jc w:val="both"/>
              <w:rPr>
                <w:rFonts w:ascii="Times New Roman" w:eastAsia="Times New Roman" w:hAnsi="Times New Roman" w:cs="Times New Roman"/>
                <w:sz w:val="24"/>
                <w:szCs w:val="24"/>
              </w:rPr>
            </w:pPr>
            <w:r w:rsidRPr="007B1360">
              <w:rPr>
                <w:rFonts w:ascii="Times New Roman" w:eastAsia="Times New Roman" w:hAnsi="Times New Roman" w:cs="Times New Roman"/>
                <w:sz w:val="24"/>
                <w:szCs w:val="24"/>
              </w:rPr>
              <w:t>Tiesību norma atbilst samērīguma principam, jo, pirmkārt, ar noteikumu projekta ieviešanu tiek sasniegts leģitīmais mērķis (</w:t>
            </w:r>
            <w:r w:rsidR="00621B68" w:rsidRPr="007B1360">
              <w:rPr>
                <w:rFonts w:ascii="Times New Roman" w:eastAsia="Times New Roman" w:hAnsi="Times New Roman" w:cs="Times New Roman"/>
                <w:sz w:val="24"/>
                <w:szCs w:val="24"/>
                <w:lang w:eastAsia="lv-LV"/>
              </w:rPr>
              <w:t>citu personu tiesību un sabiedrības labklājības aizsardzība, nosakot</w:t>
            </w:r>
            <w:r w:rsidR="00621B68" w:rsidRPr="007B1360">
              <w:rPr>
                <w:rFonts w:ascii="Times New Roman" w:eastAsia="Times New Roman" w:hAnsi="Times New Roman" w:cs="Times New Roman"/>
                <w:sz w:val="24"/>
                <w:szCs w:val="24"/>
              </w:rPr>
              <w:t xml:space="preserve"> </w:t>
            </w:r>
            <w:r w:rsidRPr="007B1360">
              <w:rPr>
                <w:rFonts w:ascii="Times New Roman" w:eastAsia="Times New Roman" w:hAnsi="Times New Roman" w:cs="Times New Roman"/>
                <w:sz w:val="24"/>
                <w:szCs w:val="24"/>
              </w:rPr>
              <w:t>vienot</w:t>
            </w:r>
            <w:r w:rsidR="00621B68" w:rsidRPr="007B1360">
              <w:rPr>
                <w:rFonts w:ascii="Times New Roman" w:eastAsia="Times New Roman" w:hAnsi="Times New Roman" w:cs="Times New Roman"/>
                <w:sz w:val="24"/>
                <w:szCs w:val="24"/>
              </w:rPr>
              <w:t>u</w:t>
            </w:r>
            <w:r w:rsidRPr="007B1360">
              <w:rPr>
                <w:rFonts w:ascii="Times New Roman" w:eastAsia="Times New Roman" w:hAnsi="Times New Roman" w:cs="Times New Roman"/>
                <w:sz w:val="24"/>
                <w:szCs w:val="24"/>
              </w:rPr>
              <w:t xml:space="preserve"> </w:t>
            </w:r>
            <w:r w:rsidR="00593C7F" w:rsidRPr="007B1360">
              <w:rPr>
                <w:rFonts w:ascii="Times New Roman" w:eastAsia="Times New Roman" w:hAnsi="Times New Roman" w:cs="Times New Roman"/>
                <w:sz w:val="24"/>
                <w:szCs w:val="24"/>
              </w:rPr>
              <w:t>maksimāli sadalāmās summas</w:t>
            </w:r>
            <w:r w:rsidRPr="007B1360">
              <w:rPr>
                <w:rFonts w:ascii="Times New Roman" w:eastAsia="Times New Roman" w:hAnsi="Times New Roman" w:cs="Times New Roman"/>
                <w:sz w:val="24"/>
                <w:szCs w:val="24"/>
              </w:rPr>
              <w:t xml:space="preserve"> aprēķināšanas kārtīb</w:t>
            </w:r>
            <w:r w:rsidR="00621B68" w:rsidRPr="007B1360">
              <w:rPr>
                <w:rFonts w:ascii="Times New Roman" w:eastAsia="Times New Roman" w:hAnsi="Times New Roman" w:cs="Times New Roman"/>
                <w:sz w:val="24"/>
                <w:szCs w:val="24"/>
              </w:rPr>
              <w:t>u</w:t>
            </w:r>
            <w:r w:rsidR="00851C5D" w:rsidRPr="007B1360">
              <w:rPr>
                <w:rFonts w:ascii="Times New Roman" w:eastAsia="Times New Roman" w:hAnsi="Times New Roman" w:cs="Times New Roman"/>
                <w:sz w:val="24"/>
                <w:szCs w:val="24"/>
              </w:rPr>
              <w:t xml:space="preserve"> </w:t>
            </w:r>
            <w:r w:rsidR="00B87BDC" w:rsidRPr="007B1360">
              <w:rPr>
                <w:rFonts w:ascii="Times New Roman" w:eastAsia="Times New Roman" w:hAnsi="Times New Roman" w:cs="Times New Roman"/>
                <w:sz w:val="24"/>
                <w:szCs w:val="24"/>
              </w:rPr>
              <w:t>iestādēm</w:t>
            </w:r>
            <w:r w:rsidR="00851C5D" w:rsidRPr="007B1360">
              <w:rPr>
                <w:rFonts w:ascii="Times New Roman" w:eastAsia="Times New Roman" w:hAnsi="Times New Roman" w:cs="Times New Roman"/>
                <w:sz w:val="24"/>
                <w:szCs w:val="24"/>
              </w:rPr>
              <w:t xml:space="preserve">, </w:t>
            </w:r>
            <w:r w:rsidR="009B620B" w:rsidRPr="007B1360">
              <w:rPr>
                <w:rFonts w:ascii="Times New Roman" w:eastAsia="Times New Roman" w:hAnsi="Times New Roman" w:cs="Times New Roman"/>
                <w:sz w:val="24"/>
                <w:szCs w:val="24"/>
              </w:rPr>
              <w:t xml:space="preserve">ja tās </w:t>
            </w:r>
            <w:r w:rsidR="00851C5D" w:rsidRPr="007B1360">
              <w:rPr>
                <w:rFonts w:ascii="Times New Roman" w:eastAsia="Times New Roman" w:hAnsi="Times New Roman" w:cs="Times New Roman"/>
                <w:sz w:val="24"/>
                <w:szCs w:val="24"/>
              </w:rPr>
              <w:t>neievēro kopējo kapitāla rezervju prasību</w:t>
            </w:r>
            <w:r w:rsidR="00A85BEA" w:rsidRPr="007B1360">
              <w:rPr>
                <w:rFonts w:ascii="Times New Roman" w:eastAsia="Times New Roman" w:hAnsi="Times New Roman" w:cs="Times New Roman"/>
                <w:sz w:val="24"/>
                <w:szCs w:val="24"/>
              </w:rPr>
              <w:t>,</w:t>
            </w:r>
            <w:r w:rsidR="00851C5D" w:rsidRPr="007B1360">
              <w:rPr>
                <w:rFonts w:ascii="Times New Roman" w:eastAsia="Times New Roman" w:hAnsi="Times New Roman" w:cs="Times New Roman"/>
                <w:sz w:val="24"/>
                <w:szCs w:val="24"/>
              </w:rPr>
              <w:t xml:space="preserve"> un </w:t>
            </w:r>
            <w:r w:rsidR="00B87BDC" w:rsidRPr="007B1360">
              <w:rPr>
                <w:rFonts w:ascii="Times New Roman" w:eastAsia="Times New Roman" w:hAnsi="Times New Roman" w:cs="Times New Roman"/>
                <w:sz w:val="24"/>
                <w:szCs w:val="24"/>
              </w:rPr>
              <w:t>iestādēm</w:t>
            </w:r>
            <w:r w:rsidR="00851C5D" w:rsidRPr="007B1360">
              <w:rPr>
                <w:rFonts w:ascii="Times New Roman" w:eastAsia="Times New Roman" w:hAnsi="Times New Roman" w:cs="Times New Roman"/>
                <w:sz w:val="24"/>
                <w:szCs w:val="24"/>
              </w:rPr>
              <w:t xml:space="preserve">, </w:t>
            </w:r>
            <w:r w:rsidR="00CD4AE2" w:rsidRPr="00CD4AE2">
              <w:rPr>
                <w:rFonts w:ascii="Times New Roman" w:eastAsia="Times New Roman" w:hAnsi="Times New Roman" w:cs="Times New Roman"/>
                <w:sz w:val="24"/>
                <w:szCs w:val="24"/>
              </w:rPr>
              <w:t xml:space="preserve">kas ir globālas sistēmiski nozīmīgas iestādes, </w:t>
            </w:r>
            <w:r w:rsidR="009B620B" w:rsidRPr="007B1360">
              <w:rPr>
                <w:rFonts w:ascii="Times New Roman" w:eastAsia="Times New Roman" w:hAnsi="Times New Roman" w:cs="Times New Roman"/>
                <w:sz w:val="24"/>
                <w:szCs w:val="24"/>
              </w:rPr>
              <w:t xml:space="preserve">ja tās </w:t>
            </w:r>
            <w:r w:rsidR="00851C5D" w:rsidRPr="007B1360">
              <w:rPr>
                <w:rFonts w:ascii="Times New Roman" w:eastAsia="Times New Roman" w:hAnsi="Times New Roman" w:cs="Times New Roman"/>
                <w:sz w:val="24"/>
                <w:szCs w:val="24"/>
              </w:rPr>
              <w:t>neievēro sviras rādītāja rezerves prasību</w:t>
            </w:r>
            <w:r w:rsidRPr="007B1360">
              <w:rPr>
                <w:rFonts w:ascii="Times New Roman" w:eastAsia="Times New Roman" w:hAnsi="Times New Roman" w:cs="Times New Roman"/>
                <w:sz w:val="24"/>
                <w:szCs w:val="24"/>
              </w:rPr>
              <w:t xml:space="preserve">). Otrkārt, </w:t>
            </w:r>
            <w:r w:rsidR="000A49BC" w:rsidRPr="007B1360">
              <w:rPr>
                <w:rFonts w:ascii="Times New Roman" w:eastAsia="Times New Roman" w:hAnsi="Times New Roman" w:cs="Times New Roman"/>
                <w:sz w:val="24"/>
                <w:szCs w:val="24"/>
              </w:rPr>
              <w:t xml:space="preserve">atbilstošākais </w:t>
            </w:r>
            <w:r w:rsidR="00905C0A" w:rsidRPr="007B1360">
              <w:rPr>
                <w:rFonts w:ascii="Times New Roman" w:eastAsia="Times New Roman" w:hAnsi="Times New Roman" w:cs="Times New Roman"/>
                <w:sz w:val="24"/>
                <w:szCs w:val="24"/>
              </w:rPr>
              <w:t xml:space="preserve">veids, kā noteikt </w:t>
            </w:r>
            <w:r w:rsidR="00851C5D" w:rsidRPr="007B1360">
              <w:rPr>
                <w:rFonts w:ascii="Times New Roman" w:eastAsia="Times New Roman" w:hAnsi="Times New Roman" w:cs="Times New Roman"/>
                <w:sz w:val="24"/>
                <w:szCs w:val="24"/>
              </w:rPr>
              <w:t xml:space="preserve">tirgus dalībniekiem </w:t>
            </w:r>
            <w:r w:rsidR="00905C0A" w:rsidRPr="007B1360">
              <w:rPr>
                <w:rFonts w:ascii="Times New Roman" w:eastAsia="Times New Roman" w:hAnsi="Times New Roman" w:cs="Times New Roman"/>
                <w:sz w:val="24"/>
                <w:szCs w:val="24"/>
              </w:rPr>
              <w:t xml:space="preserve">vienotas </w:t>
            </w:r>
            <w:r w:rsidR="00851C5D" w:rsidRPr="007B1360">
              <w:rPr>
                <w:rFonts w:ascii="Times New Roman" w:eastAsia="Times New Roman" w:hAnsi="Times New Roman" w:cs="Times New Roman"/>
                <w:sz w:val="24"/>
                <w:szCs w:val="24"/>
              </w:rPr>
              <w:t xml:space="preserve">un saistošas </w:t>
            </w:r>
            <w:r w:rsidR="00905C0A" w:rsidRPr="007B1360">
              <w:rPr>
                <w:rFonts w:ascii="Times New Roman" w:eastAsia="Times New Roman" w:hAnsi="Times New Roman" w:cs="Times New Roman"/>
                <w:sz w:val="24"/>
                <w:szCs w:val="24"/>
              </w:rPr>
              <w:t xml:space="preserve">prasības, tādējādi nodrošinot vienotu tirgus dalībnieku izpratni un pieeju, ir izdot tirgus dalībniekiem saistošus noteikumus. Citas alternatīvas jautājuma noregulēšanai un vienotu prasību noteikšanai nebūtu efektīvas un nesasniegtu izvirzīto mērķi, jo nenodrošinātu </w:t>
            </w:r>
            <w:r w:rsidR="000754BB" w:rsidRPr="007B1360">
              <w:rPr>
                <w:rFonts w:ascii="Times New Roman" w:eastAsia="Times New Roman" w:hAnsi="Times New Roman" w:cs="Times New Roman"/>
                <w:sz w:val="24"/>
                <w:szCs w:val="24"/>
              </w:rPr>
              <w:t xml:space="preserve">minēto prasību </w:t>
            </w:r>
            <w:r w:rsidR="00851C5D" w:rsidRPr="007B1360">
              <w:rPr>
                <w:rFonts w:ascii="Times New Roman" w:eastAsia="Times New Roman" w:hAnsi="Times New Roman" w:cs="Times New Roman"/>
                <w:sz w:val="24"/>
                <w:szCs w:val="24"/>
              </w:rPr>
              <w:t>vienveidīgu piemērošanu</w:t>
            </w:r>
            <w:r w:rsidR="00905C0A" w:rsidRPr="007B1360">
              <w:rPr>
                <w:rFonts w:ascii="Times New Roman" w:eastAsia="Times New Roman" w:hAnsi="Times New Roman" w:cs="Times New Roman"/>
                <w:sz w:val="24"/>
                <w:szCs w:val="24"/>
              </w:rPr>
              <w:t>.</w:t>
            </w:r>
          </w:p>
          <w:p w14:paraId="17E9140E" w14:textId="77777777" w:rsidR="00593C7F" w:rsidRPr="007B1360" w:rsidRDefault="00593C7F" w:rsidP="00DD59EA">
            <w:pPr>
              <w:jc w:val="both"/>
              <w:rPr>
                <w:rFonts w:ascii="Times New Roman" w:eastAsia="Times New Roman" w:hAnsi="Times New Roman" w:cs="Times New Roman"/>
                <w:sz w:val="24"/>
                <w:szCs w:val="24"/>
              </w:rPr>
            </w:pPr>
          </w:p>
          <w:p w14:paraId="12569A52" w14:textId="3110A531" w:rsidR="00851C5D" w:rsidRPr="007B1360" w:rsidRDefault="00851C5D" w:rsidP="00DD59EA">
            <w:pPr>
              <w:jc w:val="both"/>
              <w:rPr>
                <w:rFonts w:ascii="Times New Roman" w:hAnsi="Times New Roman" w:cs="Times New Roman"/>
                <w:sz w:val="24"/>
                <w:szCs w:val="24"/>
              </w:rPr>
            </w:pPr>
            <w:r w:rsidRPr="007B1360">
              <w:rPr>
                <w:rFonts w:ascii="Times New Roman" w:hAnsi="Times New Roman" w:cs="Times New Roman"/>
                <w:sz w:val="24"/>
                <w:szCs w:val="24"/>
              </w:rPr>
              <w:t xml:space="preserve">Samērojot papildu slogu un resursus, kas tirgus dalībniekiem būs jāiegulda </w:t>
            </w:r>
            <w:r w:rsidR="00593EB6" w:rsidRPr="007B1360">
              <w:rPr>
                <w:rFonts w:ascii="Times New Roman" w:hAnsi="Times New Roman" w:cs="Times New Roman"/>
                <w:sz w:val="24"/>
                <w:szCs w:val="24"/>
              </w:rPr>
              <w:t>Latvijas Bankas</w:t>
            </w:r>
            <w:r w:rsidRPr="007B1360">
              <w:rPr>
                <w:rFonts w:ascii="Times New Roman" w:hAnsi="Times New Roman" w:cs="Times New Roman"/>
                <w:sz w:val="24"/>
                <w:szCs w:val="24"/>
              </w:rPr>
              <w:t xml:space="preserve"> noteikto prasību ievērošanā, ar sabiedrības ieguvumu, jāsecina, ka sabiedrības interesēm piešķirama prioritāte un tās ieguvums būs lielāks par papildu resursu ieguldījumu, kas konkrētajam tirgus dalībniekam varētu rasties ar uzliktajiem pienākumiem, un tos atsver sagaidāmie ilgtermiņa ieguvumi </w:t>
            </w:r>
            <w:r w:rsidR="00E67EA0" w:rsidRPr="007B1360">
              <w:rPr>
                <w:rFonts w:ascii="Times New Roman" w:hAnsi="Times New Roman" w:cs="Times New Roman"/>
                <w:sz w:val="24"/>
                <w:szCs w:val="24"/>
              </w:rPr>
              <w:t xml:space="preserve">noteikumu projekta tvērumā </w:t>
            </w:r>
            <w:r w:rsidR="00A85BEA" w:rsidRPr="007B1360">
              <w:rPr>
                <w:rFonts w:ascii="Times New Roman" w:hAnsi="Times New Roman" w:cs="Times New Roman"/>
                <w:sz w:val="24"/>
                <w:szCs w:val="24"/>
              </w:rPr>
              <w:t xml:space="preserve">ietilpstošo </w:t>
            </w:r>
            <w:r w:rsidRPr="007B1360">
              <w:rPr>
                <w:rFonts w:ascii="Times New Roman" w:hAnsi="Times New Roman" w:cs="Times New Roman"/>
                <w:sz w:val="24"/>
                <w:szCs w:val="24"/>
              </w:rPr>
              <w:t>iestāžu pašu kapitāla aprēķinā neiekļautās peļņas saglabāšanas un stabilāka finanšu sektora veidā.</w:t>
            </w:r>
          </w:p>
        </w:tc>
      </w:tr>
      <w:tr w:rsidR="00A61684" w:rsidRPr="007B1360" w14:paraId="73006DC9" w14:textId="77777777" w:rsidTr="009B620B">
        <w:tc>
          <w:tcPr>
            <w:tcW w:w="1980" w:type="dxa"/>
          </w:tcPr>
          <w:p w14:paraId="57036A8D" w14:textId="75F5C14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Spēkā stāšanās</w:t>
            </w:r>
          </w:p>
        </w:tc>
        <w:tc>
          <w:tcPr>
            <w:tcW w:w="6379" w:type="dxa"/>
          </w:tcPr>
          <w:p w14:paraId="391B9A6F" w14:textId="249A751D" w:rsidR="00D34E4F" w:rsidRPr="007B1360" w:rsidRDefault="00ED3376" w:rsidP="00CB2ED4">
            <w:pPr>
              <w:jc w:val="both"/>
              <w:rPr>
                <w:rFonts w:ascii="Times New Roman" w:hAnsi="Times New Roman" w:cs="Times New Roman"/>
                <w:sz w:val="24"/>
                <w:szCs w:val="24"/>
              </w:rPr>
            </w:pPr>
            <w:r w:rsidRPr="007B1360">
              <w:rPr>
                <w:rFonts w:ascii="Times New Roman" w:hAnsi="Times New Roman" w:cs="Times New Roman"/>
                <w:sz w:val="24"/>
                <w:szCs w:val="24"/>
              </w:rPr>
              <w:t>N</w:t>
            </w:r>
            <w:r w:rsidR="00426B2C" w:rsidRPr="007B1360">
              <w:rPr>
                <w:rFonts w:ascii="Times New Roman" w:hAnsi="Times New Roman" w:cs="Times New Roman"/>
                <w:sz w:val="24"/>
                <w:szCs w:val="24"/>
              </w:rPr>
              <w:t xml:space="preserve">ākamajā dienā pēc publicēšanas oficiālajā izdevumā "Latvijas </w:t>
            </w:r>
            <w:r w:rsidR="001F61C1" w:rsidRPr="007B1360">
              <w:rPr>
                <w:rFonts w:ascii="Times New Roman" w:hAnsi="Times New Roman" w:cs="Times New Roman"/>
                <w:sz w:val="24"/>
                <w:szCs w:val="24"/>
              </w:rPr>
              <w:t>V</w:t>
            </w:r>
            <w:r w:rsidR="00426B2C" w:rsidRPr="007B1360">
              <w:rPr>
                <w:rFonts w:ascii="Times New Roman" w:hAnsi="Times New Roman" w:cs="Times New Roman"/>
                <w:sz w:val="24"/>
                <w:szCs w:val="24"/>
              </w:rPr>
              <w:t>ēstnesis"</w:t>
            </w:r>
            <w:r w:rsidR="005721A2" w:rsidRPr="007B1360">
              <w:rPr>
                <w:rFonts w:ascii="Times New Roman" w:hAnsi="Times New Roman" w:cs="Times New Roman"/>
                <w:sz w:val="24"/>
                <w:szCs w:val="24"/>
              </w:rPr>
              <w:t>.</w:t>
            </w:r>
          </w:p>
        </w:tc>
      </w:tr>
      <w:tr w:rsidR="00A61684" w:rsidRPr="007B1360" w14:paraId="3E1DDE9F" w14:textId="77777777" w:rsidTr="009B620B">
        <w:tc>
          <w:tcPr>
            <w:tcW w:w="1980" w:type="dxa"/>
          </w:tcPr>
          <w:p w14:paraId="5FBEDEFD" w14:textId="3E1395CD"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7B1360" w:rsidRDefault="00952874" w:rsidP="00CB2ED4">
            <w:pPr>
              <w:jc w:val="both"/>
              <w:rPr>
                <w:rFonts w:ascii="Times New Roman" w:hAnsi="Times New Roman" w:cs="Times New Roman"/>
                <w:sz w:val="24"/>
                <w:szCs w:val="24"/>
              </w:rPr>
            </w:pPr>
            <w:r w:rsidRPr="007B1360">
              <w:rPr>
                <w:rFonts w:ascii="Times New Roman" w:hAnsi="Times New Roman" w:cs="Times New Roman"/>
                <w:sz w:val="24"/>
                <w:szCs w:val="24"/>
              </w:rPr>
              <w:t>Noteikumu izdošana nerada ietekmi uz Latvijas Bankas budžetu.</w:t>
            </w:r>
          </w:p>
        </w:tc>
      </w:tr>
      <w:tr w:rsidR="00A61684" w:rsidRPr="007B1360" w14:paraId="4266A97A" w14:textId="77777777" w:rsidTr="009B620B">
        <w:tc>
          <w:tcPr>
            <w:tcW w:w="1980" w:type="dxa"/>
          </w:tcPr>
          <w:p w14:paraId="2C58F0AD" w14:textId="47E8C03B" w:rsidR="001A2F7D" w:rsidRPr="007B1360" w:rsidRDefault="0099611F" w:rsidP="00CB2ED4">
            <w:pPr>
              <w:jc w:val="both"/>
              <w:rPr>
                <w:rFonts w:ascii="Times New Roman" w:hAnsi="Times New Roman" w:cs="Times New Roman"/>
                <w:b/>
                <w:bCs/>
                <w:color w:val="FF0000"/>
                <w:sz w:val="24"/>
                <w:szCs w:val="24"/>
              </w:rPr>
            </w:pPr>
            <w:r w:rsidRPr="007B1360">
              <w:rPr>
                <w:rFonts w:ascii="Times New Roman" w:hAnsi="Times New Roman" w:cs="Times New Roman"/>
                <w:b/>
                <w:bCs/>
                <w:sz w:val="24"/>
                <w:szCs w:val="24"/>
              </w:rPr>
              <w:t>Administratīvā sloga un izmaksu novērtējums (tirgus dalībniekiem)</w:t>
            </w:r>
          </w:p>
        </w:tc>
        <w:tc>
          <w:tcPr>
            <w:tcW w:w="6379" w:type="dxa"/>
          </w:tcPr>
          <w:p w14:paraId="6B15E7B3" w14:textId="1102CC04" w:rsidR="009E6A95" w:rsidRPr="007B1360" w:rsidRDefault="00A23583" w:rsidP="008051E4">
            <w:pPr>
              <w:jc w:val="both"/>
              <w:rPr>
                <w:rFonts w:ascii="Times New Roman" w:hAnsi="Times New Roman" w:cs="Times New Roman"/>
                <w:color w:val="FF0000"/>
                <w:sz w:val="24"/>
                <w:szCs w:val="24"/>
                <w:lang w:eastAsia="lv-LV"/>
              </w:rPr>
            </w:pPr>
            <w:r w:rsidRPr="007B1360">
              <w:rPr>
                <w:rFonts w:ascii="Times New Roman" w:hAnsi="Times New Roman" w:cs="Times New Roman"/>
                <w:sz w:val="24"/>
                <w:szCs w:val="24"/>
                <w:lang w:eastAsia="lv-LV"/>
              </w:rPr>
              <w:t xml:space="preserve">Ar noteikumu projektu </w:t>
            </w:r>
            <w:r w:rsidR="003876A6" w:rsidRPr="007B1360">
              <w:rPr>
                <w:rFonts w:ascii="Times New Roman" w:hAnsi="Times New Roman" w:cs="Times New Roman"/>
                <w:sz w:val="24"/>
                <w:szCs w:val="24"/>
                <w:lang w:eastAsia="lv-LV"/>
              </w:rPr>
              <w:t xml:space="preserve">netiek </w:t>
            </w:r>
            <w:r w:rsidR="00CC4A55" w:rsidRPr="007B1360">
              <w:rPr>
                <w:rFonts w:ascii="Times New Roman" w:hAnsi="Times New Roman" w:cs="Times New Roman"/>
                <w:sz w:val="24"/>
                <w:szCs w:val="24"/>
                <w:lang w:eastAsia="lv-LV"/>
              </w:rPr>
              <w:t>radīts jauns administratīvais slogs vai administratīvās izmaksas tirgus dalībniekiem.</w:t>
            </w:r>
          </w:p>
        </w:tc>
      </w:tr>
      <w:tr w:rsidR="00A61684" w:rsidRPr="007B1360" w14:paraId="78453D7D" w14:textId="77777777" w:rsidTr="009B620B">
        <w:tc>
          <w:tcPr>
            <w:tcW w:w="1980" w:type="dxa"/>
          </w:tcPr>
          <w:p w14:paraId="5AF60CCD" w14:textId="23B3F531" w:rsidR="00ED3376" w:rsidRPr="007B1360" w:rsidRDefault="009E6A95" w:rsidP="00CB2ED4">
            <w:pPr>
              <w:jc w:val="both"/>
              <w:rPr>
                <w:rFonts w:ascii="Times New Roman" w:hAnsi="Times New Roman" w:cs="Times New Roman"/>
                <w:b/>
                <w:bCs/>
                <w:color w:val="FF0000"/>
                <w:sz w:val="24"/>
                <w:szCs w:val="24"/>
              </w:rPr>
            </w:pPr>
            <w:r w:rsidRPr="007B1360">
              <w:rPr>
                <w:rFonts w:ascii="Times New Roman" w:hAnsi="Times New Roman" w:cs="Times New Roman"/>
                <w:b/>
                <w:bCs/>
                <w:sz w:val="24"/>
                <w:szCs w:val="24"/>
              </w:rPr>
              <w:lastRenderedPageBreak/>
              <w:t>Saistītie dokumenti</w:t>
            </w:r>
          </w:p>
        </w:tc>
        <w:tc>
          <w:tcPr>
            <w:tcW w:w="6379" w:type="dxa"/>
          </w:tcPr>
          <w:p w14:paraId="701CD8AC" w14:textId="548979C4" w:rsidR="00595003" w:rsidRPr="007B1360" w:rsidRDefault="00595003" w:rsidP="00A202C9">
            <w:pPr>
              <w:pStyle w:val="ListParagraph"/>
              <w:tabs>
                <w:tab w:val="left" w:pos="310"/>
              </w:tabs>
              <w:ind w:left="37"/>
              <w:jc w:val="both"/>
              <w:rPr>
                <w:rFonts w:ascii="Times New Roman" w:hAnsi="Times New Roman" w:cs="Times New Roman"/>
                <w:sz w:val="24"/>
                <w:szCs w:val="24"/>
              </w:rPr>
            </w:pPr>
            <w:r w:rsidRPr="007B1360">
              <w:rPr>
                <w:rFonts w:ascii="Times New Roman" w:hAnsi="Times New Roman" w:cs="Times New Roman"/>
                <w:sz w:val="24"/>
                <w:szCs w:val="24"/>
              </w:rPr>
              <w:t>Ar noteikumu projektu saistītie dokumenti:</w:t>
            </w:r>
          </w:p>
          <w:p w14:paraId="0787D589" w14:textId="78E7CFD3" w:rsidR="00465DD0" w:rsidRPr="007B1360" w:rsidRDefault="00465DD0" w:rsidP="00465DD0">
            <w:pPr>
              <w:pStyle w:val="ListParagraph"/>
              <w:numPr>
                <w:ilvl w:val="0"/>
                <w:numId w:val="4"/>
              </w:numPr>
              <w:tabs>
                <w:tab w:val="left" w:pos="310"/>
              </w:tabs>
              <w:ind w:left="37" w:firstLine="0"/>
              <w:jc w:val="both"/>
              <w:rPr>
                <w:rFonts w:ascii="Times New Roman" w:hAnsi="Times New Roman" w:cs="Times New Roman"/>
                <w:sz w:val="24"/>
                <w:szCs w:val="24"/>
              </w:rPr>
            </w:pPr>
            <w:r w:rsidRPr="007B1360">
              <w:rPr>
                <w:rFonts w:ascii="Times New Roman" w:hAnsi="Times New Roman" w:cs="Times New Roman"/>
                <w:sz w:val="24"/>
                <w:szCs w:val="24"/>
              </w:rPr>
              <w:t>Kredītiestāžu likums;</w:t>
            </w:r>
          </w:p>
          <w:p w14:paraId="3C1B7FBF" w14:textId="77777777" w:rsidR="00465DD0" w:rsidRPr="007B1360" w:rsidRDefault="00465DD0" w:rsidP="00465DD0">
            <w:pPr>
              <w:pStyle w:val="ListParagraph"/>
              <w:numPr>
                <w:ilvl w:val="0"/>
                <w:numId w:val="4"/>
              </w:numPr>
              <w:tabs>
                <w:tab w:val="left" w:pos="310"/>
              </w:tabs>
              <w:ind w:left="37" w:firstLine="0"/>
              <w:jc w:val="both"/>
              <w:rPr>
                <w:rFonts w:ascii="Times New Roman" w:hAnsi="Times New Roman" w:cs="Times New Roman"/>
                <w:sz w:val="24"/>
                <w:szCs w:val="24"/>
              </w:rPr>
            </w:pPr>
            <w:r w:rsidRPr="007B1360">
              <w:rPr>
                <w:rFonts w:ascii="Times New Roman" w:hAnsi="Times New Roman" w:cs="Times New Roman"/>
                <w:sz w:val="24"/>
                <w:szCs w:val="24"/>
              </w:rPr>
              <w:t>Finanšu un kapitāla tirgus komisijas 2020. gada 27. oktobra normatīvie noteikumi Nr. 198 "Normatīvie noteikumi par maksimāli sadalāmās summas aprēķināšanas kārtību";</w:t>
            </w:r>
          </w:p>
          <w:p w14:paraId="60D15A63" w14:textId="5553F163" w:rsidR="009E6A95" w:rsidRPr="007B1360" w:rsidRDefault="00465DD0" w:rsidP="00465DD0">
            <w:pPr>
              <w:pStyle w:val="ListParagraph"/>
              <w:numPr>
                <w:ilvl w:val="0"/>
                <w:numId w:val="4"/>
              </w:numPr>
              <w:tabs>
                <w:tab w:val="left" w:pos="310"/>
              </w:tabs>
              <w:ind w:left="37" w:firstLine="0"/>
              <w:jc w:val="both"/>
              <w:rPr>
                <w:rFonts w:ascii="Times New Roman" w:hAnsi="Times New Roman" w:cs="Times New Roman"/>
                <w:sz w:val="24"/>
                <w:szCs w:val="24"/>
              </w:rPr>
            </w:pPr>
            <w:r w:rsidRPr="007B1360">
              <w:rPr>
                <w:rFonts w:ascii="Times New Roman" w:hAnsi="Times New Roman" w:cs="Times New Roman"/>
                <w:sz w:val="24"/>
                <w:szCs w:val="24"/>
              </w:rPr>
              <w:t>Finanšu un kapitāla tirgus komisijas 2021. gada 16. novembra normatīvie noteikumi Nr. 155 "Ar sviras rādītāja rezerves prasību saistītās maksimāli sadalāmās summas aprēķināšanas kārtība";</w:t>
            </w:r>
          </w:p>
          <w:p w14:paraId="473FC347" w14:textId="77777777" w:rsidR="00465DD0" w:rsidRPr="007B1360" w:rsidRDefault="00465DD0" w:rsidP="00465DD0">
            <w:pPr>
              <w:pStyle w:val="ListParagraph"/>
              <w:numPr>
                <w:ilvl w:val="0"/>
                <w:numId w:val="4"/>
              </w:numPr>
              <w:tabs>
                <w:tab w:val="left" w:pos="310"/>
              </w:tabs>
              <w:ind w:left="37" w:firstLine="0"/>
              <w:jc w:val="both"/>
              <w:rPr>
                <w:rFonts w:ascii="Times New Roman" w:hAnsi="Times New Roman" w:cs="Times New Roman"/>
                <w:sz w:val="24"/>
                <w:szCs w:val="24"/>
              </w:rPr>
            </w:pPr>
            <w:r w:rsidRPr="007B1360">
              <w:rPr>
                <w:rFonts w:ascii="Times New Roman" w:hAnsi="Times New Roman" w:cs="Times New Roman"/>
                <w:sz w:val="24"/>
                <w:szCs w:val="24"/>
              </w:rPr>
              <w:t>Direktīva 2013/36/ES;</w:t>
            </w:r>
          </w:p>
          <w:p w14:paraId="1EC0E54F" w14:textId="486E1C90" w:rsidR="00465DD0" w:rsidRPr="007B1360" w:rsidRDefault="002E1327" w:rsidP="00465DD0">
            <w:pPr>
              <w:pStyle w:val="ListParagraph"/>
              <w:numPr>
                <w:ilvl w:val="0"/>
                <w:numId w:val="4"/>
              </w:numPr>
              <w:tabs>
                <w:tab w:val="left" w:pos="310"/>
              </w:tabs>
              <w:ind w:left="37" w:firstLine="0"/>
              <w:jc w:val="both"/>
              <w:rPr>
                <w:rFonts w:ascii="Times New Roman" w:hAnsi="Times New Roman" w:cs="Times New Roman"/>
                <w:sz w:val="24"/>
                <w:szCs w:val="24"/>
              </w:rPr>
            </w:pPr>
            <w:r w:rsidRPr="007B1360">
              <w:rPr>
                <w:rFonts w:ascii="Times New Roman" w:hAnsi="Times New Roman" w:cs="Times New Roman"/>
                <w:sz w:val="24"/>
                <w:szCs w:val="24"/>
              </w:rPr>
              <w:t>Direktīv</w:t>
            </w:r>
            <w:r w:rsidR="00F55EC3" w:rsidRPr="007B1360">
              <w:rPr>
                <w:rFonts w:ascii="Times New Roman" w:hAnsi="Times New Roman" w:cs="Times New Roman"/>
                <w:sz w:val="24"/>
                <w:szCs w:val="24"/>
              </w:rPr>
              <w:t>a</w:t>
            </w:r>
            <w:r w:rsidRPr="007B1360">
              <w:rPr>
                <w:rFonts w:ascii="Times New Roman" w:hAnsi="Times New Roman" w:cs="Times New Roman"/>
                <w:sz w:val="24"/>
                <w:szCs w:val="24"/>
              </w:rPr>
              <w:t xml:space="preserve"> (ES) 2019/878;</w:t>
            </w:r>
          </w:p>
          <w:p w14:paraId="4FB45DBD" w14:textId="77777777" w:rsidR="002E1327" w:rsidRPr="007B1360" w:rsidRDefault="002E1327" w:rsidP="00465DD0">
            <w:pPr>
              <w:pStyle w:val="ListParagraph"/>
              <w:numPr>
                <w:ilvl w:val="0"/>
                <w:numId w:val="4"/>
              </w:numPr>
              <w:tabs>
                <w:tab w:val="left" w:pos="310"/>
              </w:tabs>
              <w:ind w:left="37" w:firstLine="0"/>
              <w:jc w:val="both"/>
              <w:rPr>
                <w:rFonts w:ascii="Times New Roman" w:hAnsi="Times New Roman" w:cs="Times New Roman"/>
                <w:sz w:val="24"/>
                <w:szCs w:val="24"/>
              </w:rPr>
            </w:pPr>
            <w:r w:rsidRPr="007B1360">
              <w:rPr>
                <w:rFonts w:ascii="Times New Roman" w:hAnsi="Times New Roman" w:cs="Times New Roman"/>
                <w:sz w:val="24"/>
                <w:szCs w:val="24"/>
              </w:rPr>
              <w:t>Regula Nr. 575/2013;</w:t>
            </w:r>
          </w:p>
          <w:p w14:paraId="2C55F282" w14:textId="334F43B8" w:rsidR="002E1327" w:rsidRPr="007B1360" w:rsidRDefault="002E1327" w:rsidP="00465DD0">
            <w:pPr>
              <w:pStyle w:val="ListParagraph"/>
              <w:numPr>
                <w:ilvl w:val="0"/>
                <w:numId w:val="4"/>
              </w:numPr>
              <w:tabs>
                <w:tab w:val="left" w:pos="310"/>
              </w:tabs>
              <w:ind w:left="37" w:firstLine="0"/>
              <w:jc w:val="both"/>
              <w:rPr>
                <w:rFonts w:ascii="Times New Roman" w:hAnsi="Times New Roman" w:cs="Times New Roman"/>
                <w:sz w:val="24"/>
                <w:szCs w:val="24"/>
              </w:rPr>
            </w:pPr>
            <w:r w:rsidRPr="007B1360">
              <w:rPr>
                <w:rFonts w:ascii="Times New Roman" w:hAnsi="Times New Roman" w:cs="Times New Roman"/>
                <w:sz w:val="24"/>
                <w:szCs w:val="24"/>
              </w:rPr>
              <w:t>Regula Nr. 2019/2033.</w:t>
            </w:r>
          </w:p>
        </w:tc>
      </w:tr>
      <w:tr w:rsidR="00A61684" w:rsidRPr="007B1360" w14:paraId="6E8D0230" w14:textId="77777777" w:rsidTr="009B620B">
        <w:tc>
          <w:tcPr>
            <w:tcW w:w="1980" w:type="dxa"/>
          </w:tcPr>
          <w:p w14:paraId="36731D0A" w14:textId="167D4F7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Saskaņošana ar Eiropas Centrālo banku</w:t>
            </w:r>
          </w:p>
        </w:tc>
        <w:tc>
          <w:tcPr>
            <w:tcW w:w="6379" w:type="dxa"/>
          </w:tcPr>
          <w:p w14:paraId="792DD68E" w14:textId="06AFD14D" w:rsidR="009E6A95" w:rsidRPr="007B1360" w:rsidRDefault="003A7C34" w:rsidP="00CB2ED4">
            <w:pPr>
              <w:jc w:val="both"/>
              <w:rPr>
                <w:rFonts w:ascii="Times New Roman" w:hAnsi="Times New Roman" w:cs="Times New Roman"/>
                <w:sz w:val="24"/>
                <w:szCs w:val="24"/>
              </w:rPr>
            </w:pPr>
            <w:r w:rsidRPr="007B1360">
              <w:rPr>
                <w:rFonts w:ascii="Times New Roman" w:hAnsi="Times New Roman" w:cs="Times New Roman"/>
                <w:sz w:val="24"/>
                <w:szCs w:val="24"/>
              </w:rPr>
              <w:t>Noteikumu</w:t>
            </w:r>
            <w:r w:rsidR="009E6A95" w:rsidRPr="007B1360">
              <w:rPr>
                <w:rFonts w:ascii="Times New Roman" w:hAnsi="Times New Roman" w:cs="Times New Roman"/>
                <w:sz w:val="24"/>
                <w:szCs w:val="24"/>
              </w:rPr>
              <w:t xml:space="preserve"> </w:t>
            </w:r>
            <w:r w:rsidR="00E01603" w:rsidRPr="007B1360">
              <w:rPr>
                <w:rFonts w:ascii="Times New Roman" w:hAnsi="Times New Roman" w:cs="Times New Roman"/>
                <w:sz w:val="24"/>
                <w:szCs w:val="24"/>
              </w:rPr>
              <w:t xml:space="preserve">projekts </w:t>
            </w:r>
            <w:r w:rsidR="009E6A95" w:rsidRPr="007B1360">
              <w:rPr>
                <w:rFonts w:ascii="Times New Roman" w:hAnsi="Times New Roman" w:cs="Times New Roman"/>
                <w:sz w:val="24"/>
                <w:szCs w:val="24"/>
              </w:rPr>
              <w:t xml:space="preserve">nav </w:t>
            </w:r>
            <w:r w:rsidR="00952874" w:rsidRPr="007B1360">
              <w:rPr>
                <w:rFonts w:ascii="Times New Roman" w:hAnsi="Times New Roman" w:cs="Times New Roman"/>
                <w:sz w:val="24"/>
                <w:szCs w:val="24"/>
              </w:rPr>
              <w:t>jā</w:t>
            </w:r>
            <w:r w:rsidR="009E6A95" w:rsidRPr="007B1360">
              <w:rPr>
                <w:rFonts w:ascii="Times New Roman" w:hAnsi="Times New Roman" w:cs="Times New Roman"/>
                <w:sz w:val="24"/>
                <w:szCs w:val="24"/>
              </w:rPr>
              <w:t>saskaņo ar Eiropas Centrālo banku.</w:t>
            </w:r>
          </w:p>
        </w:tc>
      </w:tr>
      <w:tr w:rsidR="00A61684" w:rsidRPr="007B1360" w14:paraId="48DDCC66" w14:textId="77777777" w:rsidTr="009B620B">
        <w:tc>
          <w:tcPr>
            <w:tcW w:w="1980" w:type="dxa"/>
          </w:tcPr>
          <w:p w14:paraId="58FC4ACD" w14:textId="4767453D"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Saskaņošana ar citām publiskām un privātām personām</w:t>
            </w:r>
          </w:p>
        </w:tc>
        <w:tc>
          <w:tcPr>
            <w:tcW w:w="6379" w:type="dxa"/>
          </w:tcPr>
          <w:p w14:paraId="4FBFE1AD" w14:textId="5B4A393E" w:rsidR="00EA0CC6" w:rsidRPr="007B1360" w:rsidRDefault="00EA0CC6" w:rsidP="00EA0CC6">
            <w:pPr>
              <w:jc w:val="both"/>
              <w:rPr>
                <w:rFonts w:ascii="Times New Roman" w:hAnsi="Times New Roman" w:cs="Times New Roman"/>
                <w:sz w:val="24"/>
                <w:szCs w:val="24"/>
              </w:rPr>
            </w:pPr>
            <w:r w:rsidRPr="007B1360">
              <w:rPr>
                <w:rFonts w:ascii="Times New Roman" w:hAnsi="Times New Roman" w:cs="Times New Roman"/>
                <w:sz w:val="24"/>
                <w:szCs w:val="24"/>
              </w:rPr>
              <w:t xml:space="preserve">Noteikumu projekts </w:t>
            </w:r>
            <w:r w:rsidR="00430307">
              <w:rPr>
                <w:rFonts w:ascii="Times New Roman" w:hAnsi="Times New Roman" w:cs="Times New Roman"/>
                <w:sz w:val="24"/>
                <w:szCs w:val="24"/>
              </w:rPr>
              <w:t xml:space="preserve">2023. gada 9. augustā </w:t>
            </w:r>
            <w:r w:rsidRPr="007B1360">
              <w:rPr>
                <w:rFonts w:ascii="Times New Roman" w:hAnsi="Times New Roman" w:cs="Times New Roman"/>
                <w:sz w:val="24"/>
                <w:szCs w:val="24"/>
              </w:rPr>
              <w:t>tik</w:t>
            </w:r>
            <w:r w:rsidR="00430307">
              <w:rPr>
                <w:rFonts w:ascii="Times New Roman" w:hAnsi="Times New Roman" w:cs="Times New Roman"/>
                <w:sz w:val="24"/>
                <w:szCs w:val="24"/>
              </w:rPr>
              <w:t>a</w:t>
            </w:r>
            <w:r w:rsidRPr="007B1360">
              <w:rPr>
                <w:rFonts w:ascii="Times New Roman" w:hAnsi="Times New Roman" w:cs="Times New Roman"/>
                <w:sz w:val="24"/>
                <w:szCs w:val="24"/>
              </w:rPr>
              <w:t xml:space="preserve"> publicēts Latvijas Bankas tīmekļvietnes </w:t>
            </w:r>
            <w:hyperlink r:id="rId11" w:history="1">
              <w:r w:rsidR="00430307" w:rsidRPr="00C26814">
                <w:rPr>
                  <w:rStyle w:val="Hyperlink"/>
                  <w:rFonts w:ascii="Times New Roman" w:hAnsi="Times New Roman" w:cs="Times New Roman"/>
                  <w:sz w:val="24"/>
                  <w:szCs w:val="24"/>
                </w:rPr>
                <w:t>www.bank.lv</w:t>
              </w:r>
            </w:hyperlink>
            <w:r w:rsidR="00430307">
              <w:rPr>
                <w:rFonts w:ascii="Times New Roman" w:hAnsi="Times New Roman" w:cs="Times New Roman"/>
                <w:sz w:val="24"/>
                <w:szCs w:val="24"/>
              </w:rPr>
              <w:t xml:space="preserve"> </w:t>
            </w:r>
            <w:r w:rsidRPr="007B1360">
              <w:rPr>
                <w:rFonts w:ascii="Times New Roman" w:hAnsi="Times New Roman" w:cs="Times New Roman"/>
                <w:sz w:val="24"/>
                <w:szCs w:val="24"/>
              </w:rPr>
              <w:t xml:space="preserve">sadaļā "Sabiedrības līdzdalība", un </w:t>
            </w:r>
            <w:r w:rsidR="00430307">
              <w:rPr>
                <w:rFonts w:ascii="Times New Roman" w:hAnsi="Times New Roman" w:cs="Times New Roman"/>
                <w:sz w:val="24"/>
                <w:szCs w:val="24"/>
              </w:rPr>
              <w:t xml:space="preserve">līdz 2023. gada 24. augustam </w:t>
            </w:r>
            <w:r w:rsidRPr="007B1360">
              <w:rPr>
                <w:rFonts w:ascii="Times New Roman" w:hAnsi="Times New Roman" w:cs="Times New Roman"/>
                <w:sz w:val="24"/>
                <w:szCs w:val="24"/>
              </w:rPr>
              <w:t>sabiedrība</w:t>
            </w:r>
            <w:r w:rsidR="00430307">
              <w:rPr>
                <w:rFonts w:ascii="Times New Roman" w:hAnsi="Times New Roman" w:cs="Times New Roman"/>
                <w:sz w:val="24"/>
                <w:szCs w:val="24"/>
              </w:rPr>
              <w:t>i bija iespēja iesaistīties tā apspriešanā.</w:t>
            </w:r>
            <w:r w:rsidRPr="007B1360">
              <w:rPr>
                <w:rFonts w:ascii="Times New Roman" w:hAnsi="Times New Roman" w:cs="Times New Roman"/>
                <w:sz w:val="24"/>
                <w:szCs w:val="24"/>
              </w:rPr>
              <w:t xml:space="preserve"> </w:t>
            </w:r>
          </w:p>
          <w:p w14:paraId="339AEE8D" w14:textId="77777777" w:rsidR="00595003" w:rsidRPr="007B1360" w:rsidRDefault="00595003" w:rsidP="00EA0CC6">
            <w:pPr>
              <w:jc w:val="both"/>
              <w:rPr>
                <w:rFonts w:ascii="Times New Roman" w:hAnsi="Times New Roman" w:cs="Times New Roman"/>
                <w:sz w:val="24"/>
                <w:szCs w:val="24"/>
              </w:rPr>
            </w:pPr>
          </w:p>
          <w:p w14:paraId="61CE77FB" w14:textId="30C26263" w:rsidR="00905FAA" w:rsidRPr="007B1360" w:rsidRDefault="00EA0CC6" w:rsidP="00430307">
            <w:pPr>
              <w:jc w:val="both"/>
              <w:rPr>
                <w:rFonts w:ascii="Times New Roman" w:hAnsi="Times New Roman" w:cs="Times New Roman"/>
                <w:sz w:val="24"/>
                <w:szCs w:val="24"/>
              </w:rPr>
            </w:pPr>
            <w:r w:rsidRPr="007B1360">
              <w:rPr>
                <w:rFonts w:ascii="Times New Roman" w:hAnsi="Times New Roman" w:cs="Times New Roman"/>
                <w:sz w:val="24"/>
                <w:szCs w:val="24"/>
              </w:rPr>
              <w:t xml:space="preserve">Vienlaikus par </w:t>
            </w:r>
            <w:r w:rsidR="00914B51" w:rsidRPr="007B1360">
              <w:rPr>
                <w:rFonts w:ascii="Times New Roman" w:hAnsi="Times New Roman" w:cs="Times New Roman"/>
                <w:sz w:val="24"/>
                <w:szCs w:val="24"/>
              </w:rPr>
              <w:t>n</w:t>
            </w:r>
            <w:r w:rsidRPr="007B1360">
              <w:rPr>
                <w:rFonts w:ascii="Times New Roman" w:hAnsi="Times New Roman" w:cs="Times New Roman"/>
                <w:sz w:val="24"/>
                <w:szCs w:val="24"/>
              </w:rPr>
              <w:t>oteikumu projektu un notiekošo sabiedrības līdzdalību individuāli tik</w:t>
            </w:r>
            <w:r w:rsidR="00430307">
              <w:rPr>
                <w:rFonts w:ascii="Times New Roman" w:hAnsi="Times New Roman" w:cs="Times New Roman"/>
                <w:sz w:val="24"/>
                <w:szCs w:val="24"/>
              </w:rPr>
              <w:t>a</w:t>
            </w:r>
            <w:r w:rsidRPr="007B1360">
              <w:rPr>
                <w:rFonts w:ascii="Times New Roman" w:hAnsi="Times New Roman" w:cs="Times New Roman"/>
                <w:sz w:val="24"/>
                <w:szCs w:val="24"/>
              </w:rPr>
              <w:t xml:space="preserve"> informēta Latvijas Finanšu nozares asociācija</w:t>
            </w:r>
            <w:r w:rsidR="00905FAA" w:rsidRPr="007B1360">
              <w:rPr>
                <w:rFonts w:ascii="Times New Roman" w:hAnsi="Times New Roman" w:cs="Times New Roman"/>
                <w:sz w:val="24"/>
                <w:szCs w:val="24"/>
              </w:rPr>
              <w:t xml:space="preserve"> un</w:t>
            </w:r>
            <w:r w:rsidRPr="007B1360">
              <w:rPr>
                <w:rFonts w:ascii="Times New Roman" w:hAnsi="Times New Roman" w:cs="Times New Roman"/>
                <w:sz w:val="24"/>
                <w:szCs w:val="24"/>
              </w:rPr>
              <w:t xml:space="preserve"> </w:t>
            </w:r>
            <w:r w:rsidR="003A7C34" w:rsidRPr="007B1360">
              <w:rPr>
                <w:rFonts w:ascii="Times New Roman" w:hAnsi="Times New Roman" w:cs="Times New Roman"/>
                <w:sz w:val="24"/>
                <w:szCs w:val="24"/>
              </w:rPr>
              <w:t>tās kredītiestādes, kas nav Latvijas Finanšu nozares asociācijas biedr</w:t>
            </w:r>
            <w:r w:rsidR="00595003" w:rsidRPr="007B1360">
              <w:rPr>
                <w:rFonts w:ascii="Times New Roman" w:hAnsi="Times New Roman" w:cs="Times New Roman"/>
                <w:sz w:val="24"/>
                <w:szCs w:val="24"/>
              </w:rPr>
              <w:t>es</w:t>
            </w:r>
            <w:r w:rsidRPr="007B1360">
              <w:rPr>
                <w:rFonts w:ascii="Times New Roman" w:hAnsi="Times New Roman" w:cs="Times New Roman"/>
                <w:sz w:val="24"/>
                <w:szCs w:val="24"/>
              </w:rPr>
              <w:t>.</w:t>
            </w:r>
          </w:p>
        </w:tc>
      </w:tr>
      <w:tr w:rsidR="00FC38CB" w:rsidRPr="007B1360" w14:paraId="69C6D010" w14:textId="77777777" w:rsidTr="009B620B">
        <w:tc>
          <w:tcPr>
            <w:tcW w:w="1980" w:type="dxa"/>
          </w:tcPr>
          <w:p w14:paraId="19ED627F" w14:textId="0049A799" w:rsidR="00ED3376" w:rsidRPr="007B1360" w:rsidRDefault="00FC38CB" w:rsidP="00FC38CB">
            <w:pPr>
              <w:jc w:val="both"/>
              <w:rPr>
                <w:rFonts w:ascii="Times New Roman" w:hAnsi="Times New Roman" w:cs="Times New Roman"/>
                <w:sz w:val="24"/>
                <w:szCs w:val="24"/>
              </w:rPr>
            </w:pPr>
            <w:r w:rsidRPr="007B1360">
              <w:rPr>
                <w:rFonts w:ascii="Times New Roman" w:eastAsia="Times New Roman" w:hAnsi="Times New Roman" w:cs="Times New Roman"/>
                <w:b/>
                <w:bCs/>
                <w:sz w:val="24"/>
                <w:szCs w:val="24"/>
                <w:lang w:eastAsia="lv-LV"/>
              </w:rPr>
              <w:t>Saskaņošanas</w:t>
            </w:r>
            <w:r w:rsidRPr="007B1360">
              <w:rPr>
                <w:rFonts w:ascii="Times New Roman" w:eastAsia="Times New Roman" w:hAnsi="Times New Roman" w:cs="Times New Roman"/>
                <w:sz w:val="24"/>
                <w:szCs w:val="24"/>
                <w:lang w:eastAsia="lv-LV"/>
              </w:rPr>
              <w:t xml:space="preserve"> </w:t>
            </w:r>
            <w:r w:rsidRPr="007B1360">
              <w:rPr>
                <w:rFonts w:ascii="Times New Roman" w:eastAsia="Times New Roman" w:hAnsi="Times New Roman" w:cs="Times New Roman"/>
                <w:b/>
                <w:bCs/>
                <w:sz w:val="24"/>
                <w:szCs w:val="24"/>
                <w:lang w:eastAsia="lv-LV"/>
              </w:rPr>
              <w:t>rezultāti</w:t>
            </w:r>
          </w:p>
        </w:tc>
        <w:tc>
          <w:tcPr>
            <w:tcW w:w="6379" w:type="dxa"/>
          </w:tcPr>
          <w:p w14:paraId="42E86DBD" w14:textId="69BC5C2D" w:rsidR="00FC38CB" w:rsidRPr="007B1360" w:rsidRDefault="00C356AD" w:rsidP="00FC38CB">
            <w:pPr>
              <w:jc w:val="both"/>
              <w:rPr>
                <w:rFonts w:ascii="Times New Roman" w:hAnsi="Times New Roman" w:cs="Times New Roman"/>
                <w:sz w:val="24"/>
                <w:szCs w:val="24"/>
              </w:rPr>
            </w:pPr>
            <w:r w:rsidRPr="00C356AD">
              <w:rPr>
                <w:rFonts w:ascii="Times New Roman" w:eastAsia="Times New Roman" w:hAnsi="Times New Roman" w:cs="Times New Roman"/>
                <w:bCs/>
                <w:sz w:val="24"/>
                <w:szCs w:val="24"/>
                <w:lang w:eastAsia="lv-LV"/>
              </w:rPr>
              <w:t>Sabiedrības līdzdalības rezultātā par noteikumu projektu netika saņemti ieteikumi, iebildumi vai priekšlikumi. Līdz ar to noteikumu projekts ir saskaņots bez priekšlikumiem vai iebildumiem.</w:t>
            </w:r>
          </w:p>
        </w:tc>
      </w:tr>
    </w:tbl>
    <w:p w14:paraId="441298EF" w14:textId="77777777" w:rsidR="007B1360" w:rsidRPr="007B1360" w:rsidRDefault="007B1360" w:rsidP="00CB2ED4">
      <w:pPr>
        <w:jc w:val="both"/>
        <w:rPr>
          <w:rFonts w:ascii="Times New Roman" w:hAnsi="Times New Roman" w:cs="Times New Roman"/>
          <w:color w:val="FF0000"/>
          <w:sz w:val="24"/>
          <w:szCs w:val="24"/>
        </w:rPr>
        <w:sectPr w:rsidR="007B1360" w:rsidRPr="007B1360" w:rsidSect="00F55EC3">
          <w:headerReference w:type="default" r:id="rId12"/>
          <w:pgSz w:w="11906" w:h="16838"/>
          <w:pgMar w:top="1440" w:right="1800" w:bottom="1440" w:left="1800" w:header="708" w:footer="708" w:gutter="0"/>
          <w:cols w:space="708"/>
          <w:titlePg/>
          <w:docGrid w:linePitch="360"/>
        </w:sectPr>
      </w:pPr>
    </w:p>
    <w:p w14:paraId="38E4F515"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lastRenderedPageBreak/>
        <w:t>Pielikums</w:t>
      </w:r>
    </w:p>
    <w:p w14:paraId="429AE5C2"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Latvijas Bankas noteikumu projekta anotācijai</w:t>
      </w:r>
    </w:p>
    <w:p w14:paraId="4B6D0B68"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p>
    <w:p w14:paraId="1DD7829B" w14:textId="77777777" w:rsidR="006952E1" w:rsidRPr="006952E1" w:rsidRDefault="006952E1" w:rsidP="006952E1">
      <w:pPr>
        <w:spacing w:after="0" w:line="240" w:lineRule="auto"/>
        <w:jc w:val="center"/>
        <w:rPr>
          <w:rFonts w:ascii="Times New Roman" w:hAnsi="Times New Roman" w:cs="Times New Roman"/>
          <w:b/>
          <w:color w:val="000000" w:themeColor="text1"/>
          <w:sz w:val="24"/>
          <w:szCs w:val="24"/>
        </w:rPr>
      </w:pPr>
      <w:r w:rsidRPr="006952E1">
        <w:rPr>
          <w:rFonts w:ascii="Times New Roman" w:hAnsi="Times New Roman" w:cs="Times New Roman"/>
          <w:b/>
          <w:color w:val="000000" w:themeColor="text1"/>
          <w:sz w:val="24"/>
          <w:szCs w:val="24"/>
        </w:rPr>
        <w:t>Eiropas Savienības tiesību aktu pārņemšanas/ieviešanas tabula</w:t>
      </w:r>
    </w:p>
    <w:p w14:paraId="61158E4F" w14:textId="77777777" w:rsidR="006952E1" w:rsidRPr="006952E1" w:rsidRDefault="006952E1" w:rsidP="006952E1">
      <w:pPr>
        <w:spacing w:after="0" w:line="240" w:lineRule="auto"/>
        <w:jc w:val="center"/>
        <w:rPr>
          <w:rFonts w:ascii="Times New Roman" w:hAnsi="Times New Roman" w:cs="Times New Roman"/>
          <w:b/>
          <w:color w:val="000000" w:themeColor="text1"/>
          <w:sz w:val="24"/>
          <w:szCs w:val="24"/>
        </w:rPr>
      </w:pPr>
    </w:p>
    <w:p w14:paraId="55ABC3A3" w14:textId="77777777" w:rsidR="006952E1" w:rsidRPr="006952E1" w:rsidRDefault="006952E1" w:rsidP="006952E1">
      <w:pPr>
        <w:spacing w:after="0" w:line="240" w:lineRule="auto"/>
        <w:rPr>
          <w:rFonts w:ascii="Times New Roman" w:hAnsi="Times New Roman" w:cs="Times New Roman"/>
          <w:bCs/>
          <w:color w:val="000000" w:themeColor="text1"/>
          <w:sz w:val="24"/>
          <w:szCs w:val="24"/>
        </w:rPr>
      </w:pPr>
      <w:r w:rsidRPr="006952E1">
        <w:rPr>
          <w:rFonts w:ascii="Times New Roman" w:hAnsi="Times New Roman" w:cs="Times New Roman"/>
          <w:b/>
          <w:color w:val="000000" w:themeColor="text1"/>
          <w:sz w:val="24"/>
          <w:szCs w:val="24"/>
        </w:rPr>
        <w:t>Latvijas Bankas noteikumu projekta nosaukums:</w:t>
      </w:r>
      <w:r w:rsidRPr="006952E1">
        <w:rPr>
          <w:rFonts w:ascii="Times New Roman" w:hAnsi="Times New Roman" w:cs="Times New Roman"/>
          <w:bCs/>
          <w:color w:val="000000" w:themeColor="text1"/>
          <w:sz w:val="24"/>
          <w:szCs w:val="24"/>
        </w:rPr>
        <w:t xml:space="preserve"> "Maksimāli sadalāmās summas aprēķināšanas kārtība" (turpmāk – projekts)</w:t>
      </w:r>
    </w:p>
    <w:p w14:paraId="01C9352D" w14:textId="77777777" w:rsidR="006952E1" w:rsidRPr="006952E1" w:rsidRDefault="006952E1" w:rsidP="006952E1">
      <w:pPr>
        <w:spacing w:after="0" w:line="240" w:lineRule="auto"/>
        <w:rPr>
          <w:rFonts w:ascii="Times New Roman" w:hAnsi="Times New Roman" w:cs="Times New Roman"/>
          <w:bCs/>
          <w:color w:val="000000" w:themeColor="text1"/>
          <w:sz w:val="24"/>
          <w:szCs w:val="24"/>
        </w:rPr>
      </w:pPr>
    </w:p>
    <w:p w14:paraId="1002503E" w14:textId="700DE4E0" w:rsidR="006952E1" w:rsidRPr="006952E1" w:rsidRDefault="006952E1" w:rsidP="006952E1">
      <w:pPr>
        <w:spacing w:after="0" w:line="240" w:lineRule="auto"/>
        <w:rPr>
          <w:rFonts w:ascii="Times New Roman" w:hAnsi="Times New Roman" w:cs="Times New Roman"/>
          <w:bCs/>
          <w:color w:val="000000" w:themeColor="text1"/>
          <w:sz w:val="24"/>
          <w:szCs w:val="24"/>
        </w:rPr>
      </w:pPr>
      <w:r w:rsidRPr="006952E1">
        <w:rPr>
          <w:rFonts w:ascii="Times New Roman" w:hAnsi="Times New Roman" w:cs="Times New Roman"/>
          <w:b/>
          <w:color w:val="000000" w:themeColor="text1"/>
          <w:sz w:val="24"/>
          <w:szCs w:val="24"/>
        </w:rPr>
        <w:t xml:space="preserve">Eiropas Savienības tiesību akta nosaukums: </w:t>
      </w:r>
      <w:r w:rsidRPr="006952E1">
        <w:rPr>
          <w:rFonts w:ascii="Times New Roman" w:hAnsi="Times New Roman" w:cs="Times New Roman"/>
          <w:bCs/>
          <w:color w:val="000000" w:themeColor="text1"/>
          <w:sz w:val="24"/>
          <w:szCs w:val="24"/>
        </w:rPr>
        <w:t>Eiropas Parlamenta un Padomes 2019.</w:t>
      </w:r>
      <w:r w:rsidR="00D82979">
        <w:rPr>
          <w:rFonts w:ascii="Times New Roman" w:hAnsi="Times New Roman" w:cs="Times New Roman"/>
          <w:bCs/>
          <w:color w:val="000000" w:themeColor="text1"/>
          <w:sz w:val="24"/>
          <w:szCs w:val="24"/>
        </w:rPr>
        <w:t> </w:t>
      </w:r>
      <w:r w:rsidRPr="006952E1">
        <w:rPr>
          <w:rFonts w:ascii="Times New Roman" w:hAnsi="Times New Roman" w:cs="Times New Roman"/>
          <w:bCs/>
          <w:color w:val="000000" w:themeColor="text1"/>
          <w:sz w:val="24"/>
          <w:szCs w:val="24"/>
        </w:rPr>
        <w:t>gada 20.</w:t>
      </w:r>
      <w:r w:rsidR="00D82979">
        <w:rPr>
          <w:rFonts w:ascii="Times New Roman" w:hAnsi="Times New Roman" w:cs="Times New Roman"/>
          <w:bCs/>
          <w:color w:val="000000" w:themeColor="text1"/>
          <w:sz w:val="24"/>
          <w:szCs w:val="24"/>
        </w:rPr>
        <w:t> </w:t>
      </w:r>
      <w:r w:rsidRPr="006952E1">
        <w:rPr>
          <w:rFonts w:ascii="Times New Roman" w:hAnsi="Times New Roman" w:cs="Times New Roman"/>
          <w:bCs/>
          <w:color w:val="000000" w:themeColor="text1"/>
          <w:sz w:val="24"/>
          <w:szCs w:val="24"/>
        </w:rPr>
        <w:t xml:space="preserve">maija direktīva (ES) 2019/878, ar ko direktīvu 2013/36/ES groza attiecībā uz atbrīvotajām sabiedrībām, finanšu </w:t>
      </w:r>
      <w:proofErr w:type="spellStart"/>
      <w:r w:rsidRPr="006952E1">
        <w:rPr>
          <w:rFonts w:ascii="Times New Roman" w:hAnsi="Times New Roman" w:cs="Times New Roman"/>
          <w:bCs/>
          <w:color w:val="000000" w:themeColor="text1"/>
          <w:sz w:val="24"/>
          <w:szCs w:val="24"/>
        </w:rPr>
        <w:t>pārvaldītājsabiedrībām</w:t>
      </w:r>
      <w:proofErr w:type="spellEnd"/>
      <w:r w:rsidRPr="006952E1">
        <w:rPr>
          <w:rFonts w:ascii="Times New Roman" w:hAnsi="Times New Roman" w:cs="Times New Roman"/>
          <w:bCs/>
          <w:color w:val="000000" w:themeColor="text1"/>
          <w:sz w:val="24"/>
          <w:szCs w:val="24"/>
        </w:rPr>
        <w:t xml:space="preserve">, jauktām finanšu </w:t>
      </w:r>
      <w:proofErr w:type="spellStart"/>
      <w:r w:rsidRPr="006952E1">
        <w:rPr>
          <w:rFonts w:ascii="Times New Roman" w:hAnsi="Times New Roman" w:cs="Times New Roman"/>
          <w:bCs/>
          <w:color w:val="000000" w:themeColor="text1"/>
          <w:sz w:val="24"/>
          <w:szCs w:val="24"/>
        </w:rPr>
        <w:t>pārvaldītājsabiedrībām</w:t>
      </w:r>
      <w:proofErr w:type="spellEnd"/>
      <w:r w:rsidRPr="006952E1">
        <w:rPr>
          <w:rFonts w:ascii="Times New Roman" w:hAnsi="Times New Roman" w:cs="Times New Roman"/>
          <w:bCs/>
          <w:color w:val="000000" w:themeColor="text1"/>
          <w:sz w:val="24"/>
          <w:szCs w:val="24"/>
        </w:rPr>
        <w:t>, atalgojumu, uzraudzības pasākumiem un pilnvarām, kā arī kapitāla saglabāšanas pasākumiem (turpmāk – Direktīva</w:t>
      </w:r>
      <w:r w:rsidR="00D82979">
        <w:rPr>
          <w:rFonts w:ascii="Times New Roman" w:hAnsi="Times New Roman" w:cs="Times New Roman"/>
          <w:bCs/>
          <w:color w:val="000000" w:themeColor="text1"/>
          <w:sz w:val="24"/>
          <w:szCs w:val="24"/>
        </w:rPr>
        <w:t> </w:t>
      </w:r>
      <w:r w:rsidR="00C33A7E">
        <w:rPr>
          <w:rFonts w:ascii="Times New Roman" w:hAnsi="Times New Roman" w:cs="Times New Roman"/>
          <w:bCs/>
          <w:color w:val="000000" w:themeColor="text1"/>
          <w:sz w:val="24"/>
          <w:szCs w:val="24"/>
        </w:rPr>
        <w:t xml:space="preserve">(ES) </w:t>
      </w:r>
      <w:r w:rsidRPr="006952E1">
        <w:rPr>
          <w:rFonts w:ascii="Times New Roman" w:hAnsi="Times New Roman" w:cs="Times New Roman"/>
          <w:bCs/>
          <w:color w:val="000000" w:themeColor="text1"/>
          <w:sz w:val="24"/>
          <w:szCs w:val="24"/>
        </w:rPr>
        <w:t>2019/878)</w:t>
      </w:r>
    </w:p>
    <w:p w14:paraId="0A548DFD" w14:textId="77777777" w:rsidR="006952E1" w:rsidRPr="006952E1" w:rsidRDefault="006952E1" w:rsidP="006952E1">
      <w:pPr>
        <w:spacing w:after="0" w:line="240" w:lineRule="auto"/>
        <w:rPr>
          <w:rFonts w:ascii="Times New Roman" w:hAnsi="Times New Roman" w:cs="Times New Roman"/>
          <w:bCs/>
          <w:color w:val="000000" w:themeColor="text1"/>
          <w:sz w:val="24"/>
          <w:szCs w:val="24"/>
        </w:rPr>
      </w:pPr>
    </w:p>
    <w:tbl>
      <w:tblPr>
        <w:tblStyle w:val="TableGrid"/>
        <w:tblW w:w="14879" w:type="dxa"/>
        <w:tblLook w:val="04A0" w:firstRow="1" w:lastRow="0" w:firstColumn="1" w:lastColumn="0" w:noHBand="0" w:noVBand="1"/>
      </w:tblPr>
      <w:tblGrid>
        <w:gridCol w:w="2689"/>
        <w:gridCol w:w="2438"/>
        <w:gridCol w:w="2438"/>
        <w:gridCol w:w="2438"/>
        <w:gridCol w:w="2183"/>
        <w:gridCol w:w="2693"/>
      </w:tblGrid>
      <w:tr w:rsidR="006952E1" w:rsidRPr="006952E1" w14:paraId="5202C1D1" w14:textId="77777777" w:rsidTr="009E2007">
        <w:tc>
          <w:tcPr>
            <w:tcW w:w="2689" w:type="dxa"/>
          </w:tcPr>
          <w:p w14:paraId="2FD502B0" w14:textId="77777777" w:rsidR="006952E1" w:rsidRPr="006952E1" w:rsidRDefault="006952E1" w:rsidP="006952E1">
            <w:pPr>
              <w:rPr>
                <w:rFonts w:ascii="Times New Roman" w:hAnsi="Times New Roman" w:cs="Times New Roman"/>
                <w:color w:val="000000" w:themeColor="text1"/>
                <w:sz w:val="24"/>
                <w:szCs w:val="24"/>
              </w:rPr>
            </w:pPr>
            <w:r w:rsidRPr="006952E1">
              <w:rPr>
                <w:rFonts w:ascii="Times New Roman" w:hAnsi="Times New Roman" w:cs="Times New Roman"/>
                <w:b/>
                <w:bCs/>
                <w:color w:val="000000" w:themeColor="text1"/>
                <w:sz w:val="24"/>
                <w:szCs w:val="24"/>
              </w:rPr>
              <w:t xml:space="preserve">Eiropas Savienības tiesību akta pants, punkts vai apakšpunkts, kurā paredzētās prasības Latvijā jāizpilda </w:t>
            </w:r>
            <w:r w:rsidRPr="006952E1">
              <w:rPr>
                <w:rFonts w:ascii="Times New Roman" w:hAnsi="Times New Roman" w:cs="Times New Roman"/>
                <w:i/>
                <w:iCs/>
                <w:color w:val="000000" w:themeColor="text1"/>
                <w:sz w:val="24"/>
                <w:szCs w:val="24"/>
              </w:rPr>
              <w:t>(Norāda pēc iespējas konkrētāku teksta vienību)</w:t>
            </w:r>
          </w:p>
        </w:tc>
        <w:tc>
          <w:tcPr>
            <w:tcW w:w="2438" w:type="dxa"/>
          </w:tcPr>
          <w:p w14:paraId="19D4D79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Projekta punkts vai apakšpunkts, kas izpilda A ailē minēto prasību </w:t>
            </w:r>
          </w:p>
          <w:p w14:paraId="15601B98"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(Norāda pēc iespējas konkrētāku teksta vienību)</w:t>
            </w:r>
          </w:p>
        </w:tc>
        <w:tc>
          <w:tcPr>
            <w:tcW w:w="2438" w:type="dxa"/>
          </w:tcPr>
          <w:p w14:paraId="230F583C"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A ailē minētā prasība ar B ailē minēto projekta punktu vai apakšpunktu tiek izpildīta pilnībā vai daļēji? </w:t>
            </w:r>
          </w:p>
          <w:p w14:paraId="1EB8AA40"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(Ja daļēji, norāda, kur un kā ir vai tiks nodrošināta prasības pilnīga izpilde)</w:t>
            </w:r>
          </w:p>
        </w:tc>
        <w:tc>
          <w:tcPr>
            <w:tcW w:w="2438" w:type="dxa"/>
          </w:tcPr>
          <w:p w14:paraId="2D68126C"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B ailē norādītais projekta punkts vai apakšpunkts paredz stingrākas prasības, nekā A ailē minētā prasība </w:t>
            </w:r>
          </w:p>
          <w:p w14:paraId="0C97836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(Ja paredz stingrākas prasības, norāda pamatojumu šādu stingrāku prasību nepieciešamībai)</w:t>
            </w:r>
          </w:p>
        </w:tc>
        <w:tc>
          <w:tcPr>
            <w:tcW w:w="2183" w:type="dxa"/>
          </w:tcPr>
          <w:p w14:paraId="2B994C9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A ailē minētā prasība ir jāizpilda obligāti? </w:t>
            </w:r>
          </w:p>
          <w:p w14:paraId="331C9AA5" w14:textId="77777777" w:rsidR="006952E1" w:rsidRPr="006952E1" w:rsidRDefault="006952E1" w:rsidP="006952E1">
            <w:pPr>
              <w:rPr>
                <w:rFonts w:ascii="Times New Roman" w:hAnsi="Times New Roman" w:cs="Times New Roman"/>
                <w:i/>
                <w:iCs/>
                <w:color w:val="000000" w:themeColor="text1"/>
                <w:sz w:val="24"/>
                <w:szCs w:val="24"/>
              </w:rPr>
            </w:pPr>
            <w:r w:rsidRPr="006952E1">
              <w:rPr>
                <w:rFonts w:ascii="Times New Roman" w:hAnsi="Times New Roman" w:cs="Times New Roman"/>
                <w:i/>
                <w:iCs/>
                <w:color w:val="000000" w:themeColor="text1"/>
                <w:sz w:val="24"/>
                <w:szCs w:val="24"/>
              </w:rPr>
              <w:t>(Ja Eiropas Savienības tiesību akts paredz izvēles iespēju, norāda, vai un kādēļ šī rīcības brīvība Latvijā ir vai nav jāizmanto)</w:t>
            </w:r>
          </w:p>
          <w:p w14:paraId="6B657897" w14:textId="77777777" w:rsidR="006952E1" w:rsidRPr="006952E1" w:rsidRDefault="006952E1" w:rsidP="006952E1">
            <w:pPr>
              <w:rPr>
                <w:rFonts w:ascii="Times New Roman" w:hAnsi="Times New Roman" w:cs="Times New Roman"/>
                <w:b/>
                <w:bCs/>
                <w:color w:val="000000" w:themeColor="text1"/>
                <w:sz w:val="24"/>
                <w:szCs w:val="24"/>
              </w:rPr>
            </w:pPr>
          </w:p>
          <w:p w14:paraId="2ED03217" w14:textId="77777777" w:rsidR="006952E1" w:rsidRPr="006952E1" w:rsidRDefault="006952E1" w:rsidP="006952E1">
            <w:pPr>
              <w:rPr>
                <w:rFonts w:ascii="Times New Roman" w:hAnsi="Times New Roman" w:cs="Times New Roman"/>
                <w:b/>
                <w:bCs/>
                <w:color w:val="000000" w:themeColor="text1"/>
                <w:sz w:val="24"/>
                <w:szCs w:val="24"/>
              </w:rPr>
            </w:pPr>
          </w:p>
        </w:tc>
        <w:tc>
          <w:tcPr>
            <w:tcW w:w="2693" w:type="dxa"/>
          </w:tcPr>
          <w:p w14:paraId="041E724D" w14:textId="77777777" w:rsidR="006952E1" w:rsidRPr="006952E1" w:rsidRDefault="006952E1" w:rsidP="006952E1">
            <w:pPr>
              <w:rPr>
                <w:rStyle w:val="cf01"/>
                <w:rFonts w:ascii="Times New Roman" w:hAnsi="Times New Roman" w:cs="Times New Roman"/>
                <w:b/>
                <w:bCs/>
                <w:sz w:val="24"/>
                <w:szCs w:val="24"/>
              </w:rPr>
            </w:pPr>
            <w:r w:rsidRPr="006952E1">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1F13B490" w14:textId="77777777" w:rsidR="006952E1" w:rsidRPr="006952E1" w:rsidRDefault="006952E1" w:rsidP="006952E1">
            <w:pPr>
              <w:rPr>
                <w:rFonts w:ascii="Times New Roman" w:hAnsi="Times New Roman" w:cs="Times New Roman"/>
                <w:b/>
                <w:bCs/>
                <w:color w:val="000000" w:themeColor="text1"/>
                <w:sz w:val="24"/>
                <w:szCs w:val="24"/>
              </w:rPr>
            </w:pPr>
            <w:r w:rsidRPr="006952E1">
              <w:rPr>
                <w:rStyle w:val="cf01"/>
                <w:rFonts w:ascii="Times New Roman" w:hAnsi="Times New Roman" w:cs="Times New Roman"/>
                <w:i/>
                <w:iCs/>
                <w:sz w:val="24"/>
                <w:szCs w:val="24"/>
              </w:rPr>
              <w:t>(Ja paredz, norāda, kas un kādā termiņā šo paziņošanas pienākumu izpildīs)</w:t>
            </w:r>
          </w:p>
        </w:tc>
      </w:tr>
      <w:tr w:rsidR="006952E1" w:rsidRPr="006952E1" w14:paraId="60C4D2D9" w14:textId="77777777" w:rsidTr="009E2007">
        <w:tc>
          <w:tcPr>
            <w:tcW w:w="2689" w:type="dxa"/>
          </w:tcPr>
          <w:p w14:paraId="4ED25008"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A</w:t>
            </w:r>
          </w:p>
        </w:tc>
        <w:tc>
          <w:tcPr>
            <w:tcW w:w="2438" w:type="dxa"/>
          </w:tcPr>
          <w:p w14:paraId="75552C54"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B</w:t>
            </w:r>
          </w:p>
        </w:tc>
        <w:tc>
          <w:tcPr>
            <w:tcW w:w="2438" w:type="dxa"/>
          </w:tcPr>
          <w:p w14:paraId="5F928228"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C</w:t>
            </w:r>
          </w:p>
        </w:tc>
        <w:tc>
          <w:tcPr>
            <w:tcW w:w="2438" w:type="dxa"/>
          </w:tcPr>
          <w:p w14:paraId="12982B40"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D</w:t>
            </w:r>
          </w:p>
        </w:tc>
        <w:tc>
          <w:tcPr>
            <w:tcW w:w="2183" w:type="dxa"/>
          </w:tcPr>
          <w:p w14:paraId="72BFED3F"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E</w:t>
            </w:r>
          </w:p>
        </w:tc>
        <w:tc>
          <w:tcPr>
            <w:tcW w:w="2693" w:type="dxa"/>
          </w:tcPr>
          <w:p w14:paraId="47FD702A"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F</w:t>
            </w:r>
          </w:p>
        </w:tc>
      </w:tr>
      <w:tr w:rsidR="006952E1" w:rsidRPr="006952E1" w14:paraId="3CA24801" w14:textId="77777777" w:rsidTr="009E2007">
        <w:tc>
          <w:tcPr>
            <w:tcW w:w="2689" w:type="dxa"/>
          </w:tcPr>
          <w:p w14:paraId="79D9B5A1" w14:textId="795854FC" w:rsidR="006952E1" w:rsidRPr="006952E1" w:rsidRDefault="006952E1" w:rsidP="00CA5C85">
            <w:pPr>
              <w:rPr>
                <w:rStyle w:val="ui-provider"/>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11"/>
                <w:rFonts w:ascii="Times New Roman" w:hAnsi="Times New Roman" w:cs="Times New Roman"/>
                <w:sz w:val="24"/>
                <w:szCs w:val="24"/>
              </w:rPr>
              <w:t xml:space="preserve">2019/878 </w:t>
            </w:r>
          </w:p>
          <w:p w14:paraId="3019E9C9" w14:textId="010EA7E3" w:rsidR="006952E1" w:rsidRPr="006952E1" w:rsidRDefault="006952E1" w:rsidP="00CA5C85">
            <w:pPr>
              <w:rPr>
                <w:rStyle w:val="ui-provider"/>
                <w:rFonts w:ascii="Times New Roman" w:hAnsi="Times New Roman" w:cs="Times New Roman"/>
                <w:sz w:val="24"/>
                <w:szCs w:val="24"/>
              </w:rPr>
            </w:pPr>
            <w:r w:rsidRPr="006952E1">
              <w:rPr>
                <w:rStyle w:val="ui-provider"/>
                <w:rFonts w:ascii="Times New Roman" w:hAnsi="Times New Roman" w:cs="Times New Roman"/>
                <w:sz w:val="24"/>
                <w:szCs w:val="24"/>
              </w:rPr>
              <w:t>1.</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panta 51.</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punkts (Eiropas Parlamenta un Padomes 2013.</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gada 26.</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 xml:space="preserve">jūnija direktīvas </w:t>
            </w:r>
            <w:r w:rsidRPr="006952E1">
              <w:rPr>
                <w:rStyle w:val="ui-provider"/>
                <w:rFonts w:ascii="Times New Roman" w:hAnsi="Times New Roman" w:cs="Times New Roman"/>
                <w:sz w:val="24"/>
                <w:szCs w:val="24"/>
              </w:rPr>
              <w:lastRenderedPageBreak/>
              <w:t xml:space="preserve">2013/36/ES par piekļuvi kredītiestāžu darbībai un kredītiestāžu prudenciālo uzraudzību, ar ko groza </w:t>
            </w:r>
            <w:r w:rsidR="006452B4">
              <w:rPr>
                <w:rStyle w:val="ui-provider"/>
                <w:rFonts w:ascii="Times New Roman" w:hAnsi="Times New Roman" w:cs="Times New Roman"/>
                <w:sz w:val="24"/>
                <w:szCs w:val="24"/>
              </w:rPr>
              <w:t>d</w:t>
            </w:r>
            <w:r w:rsidRPr="006952E1">
              <w:rPr>
                <w:rStyle w:val="ui-provider"/>
                <w:rFonts w:ascii="Times New Roman" w:hAnsi="Times New Roman" w:cs="Times New Roman"/>
                <w:sz w:val="24"/>
                <w:szCs w:val="24"/>
              </w:rPr>
              <w:t xml:space="preserve">irektīvu 2002/87/EK un atceļ </w:t>
            </w:r>
            <w:r w:rsidR="006452B4">
              <w:rPr>
                <w:rStyle w:val="ui-provider"/>
                <w:rFonts w:ascii="Times New Roman" w:hAnsi="Times New Roman" w:cs="Times New Roman"/>
                <w:sz w:val="24"/>
                <w:szCs w:val="24"/>
              </w:rPr>
              <w:t>d</w:t>
            </w:r>
            <w:r w:rsidRPr="006952E1">
              <w:rPr>
                <w:rStyle w:val="ui-provider"/>
                <w:rFonts w:ascii="Times New Roman" w:hAnsi="Times New Roman" w:cs="Times New Roman"/>
                <w:sz w:val="24"/>
                <w:szCs w:val="24"/>
              </w:rPr>
              <w:t>irektīvas 2006/48/EK un 2006/49/EK (turpmāk – Direktīva 2013/36/ES)</w:t>
            </w:r>
          </w:p>
          <w:p w14:paraId="6D2A8714" w14:textId="1F72EC9C" w:rsidR="006952E1" w:rsidRPr="006952E1" w:rsidRDefault="006952E1" w:rsidP="00CA5C85">
            <w:pPr>
              <w:rPr>
                <w:rStyle w:val="cf01"/>
                <w:rFonts w:ascii="Times New Roman" w:hAnsi="Times New Roman" w:cs="Times New Roman"/>
                <w:sz w:val="24"/>
                <w:szCs w:val="24"/>
              </w:rPr>
            </w:pPr>
            <w:r w:rsidRPr="006952E1">
              <w:rPr>
                <w:rStyle w:val="ui-provider"/>
                <w:rFonts w:ascii="Times New Roman" w:hAnsi="Times New Roman" w:cs="Times New Roman"/>
                <w:sz w:val="24"/>
                <w:szCs w:val="24"/>
              </w:rPr>
              <w:t>141.</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panta 4.</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 xml:space="preserve">punkts) </w:t>
            </w:r>
          </w:p>
        </w:tc>
        <w:tc>
          <w:tcPr>
            <w:tcW w:w="2438" w:type="dxa"/>
          </w:tcPr>
          <w:p w14:paraId="138CF9E9" w14:textId="4A4B20ED"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lastRenderedPageBreak/>
              <w:t>Projekta 2.</w:t>
            </w:r>
            <w:r w:rsidR="00D82979">
              <w:rPr>
                <w:rFonts w:ascii="Times New Roman" w:hAnsi="Times New Roman" w:cs="Times New Roman"/>
                <w:sz w:val="24"/>
                <w:szCs w:val="24"/>
              </w:rPr>
              <w:t> </w:t>
            </w:r>
            <w:r w:rsidRPr="006952E1">
              <w:rPr>
                <w:rFonts w:ascii="Times New Roman" w:hAnsi="Times New Roman" w:cs="Times New Roman"/>
                <w:sz w:val="24"/>
                <w:szCs w:val="24"/>
              </w:rPr>
              <w:t>punkts un 2.1.</w:t>
            </w:r>
            <w:r w:rsidR="00D82979">
              <w:rPr>
                <w:rFonts w:ascii="Times New Roman" w:hAnsi="Times New Roman" w:cs="Times New Roman"/>
                <w:sz w:val="24"/>
                <w:szCs w:val="24"/>
              </w:rPr>
              <w:t> </w:t>
            </w:r>
            <w:r w:rsidRPr="006952E1">
              <w:rPr>
                <w:rFonts w:ascii="Times New Roman" w:hAnsi="Times New Roman" w:cs="Times New Roman"/>
                <w:sz w:val="24"/>
                <w:szCs w:val="24"/>
              </w:rPr>
              <w:t xml:space="preserve">apakšpunkts </w:t>
            </w:r>
          </w:p>
        </w:tc>
        <w:tc>
          <w:tcPr>
            <w:tcW w:w="2438" w:type="dxa"/>
          </w:tcPr>
          <w:p w14:paraId="225C2C00" w14:textId="7777777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Izpilda pilnībā</w:t>
            </w:r>
          </w:p>
        </w:tc>
        <w:tc>
          <w:tcPr>
            <w:tcW w:w="2438" w:type="dxa"/>
          </w:tcPr>
          <w:p w14:paraId="4510B2FF" w14:textId="7777777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Nē</w:t>
            </w:r>
          </w:p>
        </w:tc>
        <w:tc>
          <w:tcPr>
            <w:tcW w:w="2183" w:type="dxa"/>
          </w:tcPr>
          <w:p w14:paraId="2CAFC6EA" w14:textId="77777777"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Jā</w:t>
            </w:r>
          </w:p>
        </w:tc>
        <w:tc>
          <w:tcPr>
            <w:tcW w:w="2693" w:type="dxa"/>
            <w:vMerge w:val="restart"/>
          </w:tcPr>
          <w:p w14:paraId="6E6ED686" w14:textId="43C5EB05"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Direktīvas</w:t>
            </w:r>
            <w:r w:rsidR="00C33A7E">
              <w:rPr>
                <w:rStyle w:val="cf01"/>
                <w:rFonts w:ascii="Times New Roman" w:hAnsi="Times New Roman" w:cs="Times New Roman"/>
                <w:sz w:val="24"/>
                <w:szCs w:val="24"/>
              </w:rPr>
              <w:t xml:space="preserve"> (ES)</w:t>
            </w:r>
            <w:r w:rsidRPr="006952E1">
              <w:rPr>
                <w:rStyle w:val="cf01"/>
                <w:rFonts w:ascii="Times New Roman" w:hAnsi="Times New Roman" w:cs="Times New Roman"/>
                <w:sz w:val="24"/>
                <w:szCs w:val="24"/>
              </w:rPr>
              <w:t xml:space="preserve"> </w:t>
            </w:r>
            <w:r w:rsidRPr="006952E1">
              <w:rPr>
                <w:rStyle w:val="cf11"/>
                <w:rFonts w:ascii="Times New Roman" w:hAnsi="Times New Roman" w:cs="Times New Roman"/>
                <w:sz w:val="24"/>
                <w:szCs w:val="24"/>
              </w:rPr>
              <w:t xml:space="preserve">2019/878 </w:t>
            </w:r>
            <w:r w:rsidRPr="006952E1">
              <w:rPr>
                <w:rStyle w:val="cf01"/>
                <w:rFonts w:ascii="Times New Roman" w:hAnsi="Times New Roman" w:cs="Times New Roman"/>
                <w:sz w:val="24"/>
                <w:szCs w:val="24"/>
              </w:rPr>
              <w:t xml:space="preserve">3. panta 1. punkts paredz, ka dalībvalstis paziņo Eiropas Komisijai par šīs direktīvas prasību izpildi. </w:t>
            </w:r>
          </w:p>
          <w:p w14:paraId="2D28B284" w14:textId="77777777" w:rsidR="006952E1" w:rsidRPr="006952E1" w:rsidRDefault="006952E1" w:rsidP="00CA5C85">
            <w:pPr>
              <w:rPr>
                <w:rStyle w:val="cf01"/>
                <w:rFonts w:ascii="Times New Roman" w:hAnsi="Times New Roman" w:cs="Times New Roman"/>
                <w:sz w:val="24"/>
                <w:szCs w:val="24"/>
              </w:rPr>
            </w:pPr>
          </w:p>
          <w:p w14:paraId="0D5531B8" w14:textId="77777777"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Minēto paziņošanas pienākumu izpildīs Finanšu ministrija, sniedzot paziņojumu Eiropas Komisijai pēc projekta apstiprināšanas Latvijas Bankas padomē.</w:t>
            </w:r>
          </w:p>
          <w:p w14:paraId="1861296D" w14:textId="77777777" w:rsidR="006952E1" w:rsidRPr="006952E1" w:rsidRDefault="006952E1" w:rsidP="00CA5C85">
            <w:pPr>
              <w:rPr>
                <w:rStyle w:val="cf01"/>
                <w:rFonts w:ascii="Times New Roman" w:hAnsi="Times New Roman" w:cs="Times New Roman"/>
                <w:sz w:val="24"/>
                <w:szCs w:val="24"/>
              </w:rPr>
            </w:pPr>
          </w:p>
          <w:p w14:paraId="627EFC4F"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Latvijas Bankas Ģenerālsekretariāts informēs Finanšu ministriju par projekta apstiprināšanu Latvijas Bankas padomē vienas darbdienas laikā pēc tā publicēšanas oficiālajā izdevumā "Latvijas Vēstnesis".</w:t>
            </w:r>
          </w:p>
        </w:tc>
      </w:tr>
      <w:tr w:rsidR="006952E1" w:rsidRPr="006952E1" w14:paraId="4B4775A6" w14:textId="77777777" w:rsidTr="009E2007">
        <w:tc>
          <w:tcPr>
            <w:tcW w:w="2689" w:type="dxa"/>
          </w:tcPr>
          <w:p w14:paraId="38B11805" w14:textId="7F0B61DF" w:rsidR="006952E1" w:rsidRPr="006952E1" w:rsidRDefault="006952E1" w:rsidP="00CA5C85">
            <w:pPr>
              <w:rPr>
                <w:rStyle w:val="ui-provider"/>
                <w:rFonts w:ascii="Times New Roman" w:hAnsi="Times New Roman" w:cs="Times New Roman"/>
                <w:sz w:val="24"/>
                <w:szCs w:val="24"/>
              </w:rPr>
            </w:pPr>
            <w:r w:rsidRPr="006952E1">
              <w:rPr>
                <w:rStyle w:val="cf01"/>
                <w:rFonts w:ascii="Times New Roman" w:hAnsi="Times New Roman" w:cs="Times New Roman"/>
                <w:sz w:val="24"/>
                <w:szCs w:val="24"/>
              </w:rPr>
              <w:lastRenderedPageBreak/>
              <w:t>Direktīvas</w:t>
            </w:r>
            <w:r w:rsidR="00C33A7E">
              <w:rPr>
                <w:rStyle w:val="cf01"/>
                <w:rFonts w:ascii="Times New Roman" w:hAnsi="Times New Roman" w:cs="Times New Roman"/>
                <w:sz w:val="24"/>
                <w:szCs w:val="24"/>
              </w:rPr>
              <w:t xml:space="preserve"> (ES) </w:t>
            </w:r>
            <w:r w:rsidRPr="006952E1">
              <w:rPr>
                <w:rStyle w:val="cf11"/>
                <w:rFonts w:ascii="Times New Roman" w:hAnsi="Times New Roman" w:cs="Times New Roman"/>
                <w:sz w:val="24"/>
                <w:szCs w:val="24"/>
              </w:rPr>
              <w:t xml:space="preserve">2019/878 </w:t>
            </w:r>
          </w:p>
          <w:p w14:paraId="7CF3407E" w14:textId="407FE735" w:rsidR="006952E1" w:rsidRPr="006952E1" w:rsidRDefault="006952E1" w:rsidP="00CA5C85">
            <w:pPr>
              <w:rPr>
                <w:rStyle w:val="cf01"/>
                <w:rFonts w:ascii="Times New Roman" w:hAnsi="Times New Roman" w:cs="Times New Roman"/>
                <w:sz w:val="24"/>
                <w:szCs w:val="24"/>
              </w:rPr>
            </w:pPr>
            <w:r w:rsidRPr="006952E1">
              <w:rPr>
                <w:rStyle w:val="ui-provider"/>
                <w:rFonts w:ascii="Times New Roman" w:hAnsi="Times New Roman" w:cs="Times New Roman"/>
                <w:sz w:val="24"/>
                <w:szCs w:val="24"/>
              </w:rPr>
              <w:t>1.</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panta 51.</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punkts (Direktīvas 2013/36/ES 141.</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panta 5.</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punkta pirmā rindkopa)</w:t>
            </w:r>
          </w:p>
        </w:tc>
        <w:tc>
          <w:tcPr>
            <w:tcW w:w="2438" w:type="dxa"/>
          </w:tcPr>
          <w:p w14:paraId="1AFE2952" w14:textId="5524FC9E"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3.</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w:t>
            </w:r>
          </w:p>
        </w:tc>
        <w:tc>
          <w:tcPr>
            <w:tcW w:w="2438" w:type="dxa"/>
          </w:tcPr>
          <w:p w14:paraId="2383F8E5"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18F03552"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523A533E"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2298642A"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542ABA72" w14:textId="77777777" w:rsidTr="009E2007">
        <w:tc>
          <w:tcPr>
            <w:tcW w:w="2689" w:type="dxa"/>
          </w:tcPr>
          <w:p w14:paraId="0F794BB5" w14:textId="33164F86"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3B5A0F88" w14:textId="58548943"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"a" apakšpunkts)</w:t>
            </w:r>
          </w:p>
        </w:tc>
        <w:tc>
          <w:tcPr>
            <w:tcW w:w="2438" w:type="dxa"/>
          </w:tcPr>
          <w:p w14:paraId="0912B7C4" w14:textId="3C34C378"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3.1.</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un 3.1.1. apakšpunkts</w:t>
            </w:r>
          </w:p>
        </w:tc>
        <w:tc>
          <w:tcPr>
            <w:tcW w:w="2438" w:type="dxa"/>
          </w:tcPr>
          <w:p w14:paraId="2E208823"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31136774"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5074A495"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25DAC0FF"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4298E897" w14:textId="77777777" w:rsidTr="009E2007">
        <w:tc>
          <w:tcPr>
            <w:tcW w:w="2689" w:type="dxa"/>
          </w:tcPr>
          <w:p w14:paraId="063F9005" w14:textId="34F68023"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4F84B2CF" w14:textId="2E6EA0DC"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"b" apakšpunkts)</w:t>
            </w:r>
          </w:p>
        </w:tc>
        <w:tc>
          <w:tcPr>
            <w:tcW w:w="2438" w:type="dxa"/>
          </w:tcPr>
          <w:p w14:paraId="30CC825F" w14:textId="72888EF3"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3.1.</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un 3.1.1. apakšpunkts</w:t>
            </w:r>
          </w:p>
        </w:tc>
        <w:tc>
          <w:tcPr>
            <w:tcW w:w="2438" w:type="dxa"/>
          </w:tcPr>
          <w:p w14:paraId="30B241D1"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4193B775"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5AF1D6BF"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0AC85606"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68921DAA" w14:textId="77777777" w:rsidTr="009E2007">
        <w:tc>
          <w:tcPr>
            <w:tcW w:w="2689" w:type="dxa"/>
          </w:tcPr>
          <w:p w14:paraId="7F1FBC79" w14:textId="7BE314E0"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7F8E6311" w14:textId="7632968F"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 xml:space="preserve">punkts (Direktīvas 2013/36/ES </w:t>
            </w:r>
            <w:r w:rsidRPr="006952E1">
              <w:rPr>
                <w:rStyle w:val="cf01"/>
                <w:rFonts w:ascii="Times New Roman" w:hAnsi="Times New Roman" w:cs="Times New Roman"/>
                <w:sz w:val="24"/>
                <w:szCs w:val="24"/>
              </w:rPr>
              <w:lastRenderedPageBreak/>
              <w:t>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"c" apakšpunkts)</w:t>
            </w:r>
          </w:p>
        </w:tc>
        <w:tc>
          <w:tcPr>
            <w:tcW w:w="2438" w:type="dxa"/>
          </w:tcPr>
          <w:p w14:paraId="147B7FC9" w14:textId="7777777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lastRenderedPageBreak/>
              <w:t>Projekta 3.2. apakšpunkts</w:t>
            </w:r>
          </w:p>
        </w:tc>
        <w:tc>
          <w:tcPr>
            <w:tcW w:w="2438" w:type="dxa"/>
          </w:tcPr>
          <w:p w14:paraId="60E1F831" w14:textId="7777777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Izpilda pilnībā</w:t>
            </w:r>
          </w:p>
        </w:tc>
        <w:tc>
          <w:tcPr>
            <w:tcW w:w="2438" w:type="dxa"/>
          </w:tcPr>
          <w:p w14:paraId="57FB5627" w14:textId="7777777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Nē</w:t>
            </w:r>
          </w:p>
        </w:tc>
        <w:tc>
          <w:tcPr>
            <w:tcW w:w="2183" w:type="dxa"/>
          </w:tcPr>
          <w:p w14:paraId="6024F4A7" w14:textId="77777777"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Jā</w:t>
            </w:r>
          </w:p>
        </w:tc>
        <w:tc>
          <w:tcPr>
            <w:tcW w:w="2693" w:type="dxa"/>
            <w:vMerge/>
          </w:tcPr>
          <w:p w14:paraId="04CA8662"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493B300A" w14:textId="77777777" w:rsidTr="009E2007">
        <w:tc>
          <w:tcPr>
            <w:tcW w:w="2689" w:type="dxa"/>
          </w:tcPr>
          <w:p w14:paraId="4888E836" w14:textId="44AF79C8"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47413735" w14:textId="228A1BC9"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pirmā rindkopa un 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"a" apakšpunkts)</w:t>
            </w:r>
          </w:p>
        </w:tc>
        <w:tc>
          <w:tcPr>
            <w:tcW w:w="2438" w:type="dxa"/>
          </w:tcPr>
          <w:p w14:paraId="2BEFD30F" w14:textId="3BA328B4"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4., 5.</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 un 6.1.</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apakšpunkts</w:t>
            </w:r>
          </w:p>
        </w:tc>
        <w:tc>
          <w:tcPr>
            <w:tcW w:w="2438" w:type="dxa"/>
          </w:tcPr>
          <w:p w14:paraId="2A80A205"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23D45CCE"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24F90D26"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017A3B22"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0193BE50" w14:textId="77777777" w:rsidTr="009E2007">
        <w:tc>
          <w:tcPr>
            <w:tcW w:w="2689" w:type="dxa"/>
          </w:tcPr>
          <w:p w14:paraId="7EAEBB4F" w14:textId="29E6B2FA"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1054BC8A" w14:textId="6F6A86C5"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pirmā rindkopa un 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"b" apakšpunkts)</w:t>
            </w:r>
          </w:p>
        </w:tc>
        <w:tc>
          <w:tcPr>
            <w:tcW w:w="2438" w:type="dxa"/>
          </w:tcPr>
          <w:p w14:paraId="1DD1B0E8" w14:textId="3D6AB098"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4., 5.</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 un 6.2.</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apakšpunkts</w:t>
            </w:r>
          </w:p>
        </w:tc>
        <w:tc>
          <w:tcPr>
            <w:tcW w:w="2438" w:type="dxa"/>
          </w:tcPr>
          <w:p w14:paraId="107C85A8"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14203B8D"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33994892"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1A81D34C"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3D88E4BD" w14:textId="77777777" w:rsidTr="009E2007">
        <w:tc>
          <w:tcPr>
            <w:tcW w:w="2689" w:type="dxa"/>
          </w:tcPr>
          <w:p w14:paraId="1BF8C347" w14:textId="791C969D"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316847D2" w14:textId="132A2021"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pirmā rindkopa un 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"c" apakšpunkts)</w:t>
            </w:r>
          </w:p>
        </w:tc>
        <w:tc>
          <w:tcPr>
            <w:tcW w:w="2438" w:type="dxa"/>
          </w:tcPr>
          <w:p w14:paraId="08981E25" w14:textId="37BA37A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4., 5.</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 un 6.3.</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apakšpunkts</w:t>
            </w:r>
          </w:p>
        </w:tc>
        <w:tc>
          <w:tcPr>
            <w:tcW w:w="2438" w:type="dxa"/>
          </w:tcPr>
          <w:p w14:paraId="4EC91AEA"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141A5E50"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52A0D005"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7E59290D"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37DC61C0" w14:textId="77777777" w:rsidTr="009E2007">
        <w:tc>
          <w:tcPr>
            <w:tcW w:w="2689" w:type="dxa"/>
          </w:tcPr>
          <w:p w14:paraId="47BBFACE" w14:textId="3467019D"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11918A01" w14:textId="6F1B5E36"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 xml:space="preserve">punkta pirmā rindkopa un </w:t>
            </w:r>
            <w:r w:rsidRPr="006952E1">
              <w:rPr>
                <w:rStyle w:val="cf01"/>
                <w:rFonts w:ascii="Times New Roman" w:hAnsi="Times New Roman" w:cs="Times New Roman"/>
                <w:sz w:val="24"/>
                <w:szCs w:val="24"/>
              </w:rPr>
              <w:lastRenderedPageBreak/>
              <w:t>141.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"d" apakšpunkts)</w:t>
            </w:r>
          </w:p>
        </w:tc>
        <w:tc>
          <w:tcPr>
            <w:tcW w:w="2438" w:type="dxa"/>
          </w:tcPr>
          <w:p w14:paraId="176801B0" w14:textId="2491DAEF"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lastRenderedPageBreak/>
              <w:t>Projekta 4., 5.</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 un 6.4.</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apakšpunkts</w:t>
            </w:r>
          </w:p>
        </w:tc>
        <w:tc>
          <w:tcPr>
            <w:tcW w:w="2438" w:type="dxa"/>
          </w:tcPr>
          <w:p w14:paraId="0C156EB2"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2D444728"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2F6A8E9E"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25EE0902"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074C2B1B" w14:textId="77777777" w:rsidTr="009E2007">
        <w:tc>
          <w:tcPr>
            <w:tcW w:w="2689" w:type="dxa"/>
          </w:tcPr>
          <w:p w14:paraId="1C9EDC4B" w14:textId="5122E11C"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1575DF0C" w14:textId="3880B599"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 xml:space="preserve">punkts (Direktīvas </w:t>
            </w:r>
            <w:r w:rsidRPr="006952E1">
              <w:rPr>
                <w:rStyle w:val="cf11"/>
                <w:rFonts w:ascii="Times New Roman" w:hAnsi="Times New Roman" w:cs="Times New Roman"/>
                <w:sz w:val="24"/>
                <w:szCs w:val="24"/>
              </w:rPr>
              <w:t xml:space="preserve">2013/36/ES </w:t>
            </w:r>
            <w:r w:rsidRPr="006952E1">
              <w:rPr>
                <w:rStyle w:val="ui-provider"/>
                <w:rFonts w:ascii="Times New Roman" w:hAnsi="Times New Roman" w:cs="Times New Roman"/>
                <w:sz w:val="24"/>
                <w:szCs w:val="24"/>
              </w:rPr>
              <w:t>141.</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panta 6.</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punkta pēdējā rindkopa)</w:t>
            </w:r>
          </w:p>
        </w:tc>
        <w:tc>
          <w:tcPr>
            <w:tcW w:w="2438" w:type="dxa"/>
          </w:tcPr>
          <w:p w14:paraId="65FA92DE" w14:textId="1379C742"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Projekta 7.</w:t>
            </w:r>
            <w:r w:rsidR="00D82979">
              <w:rPr>
                <w:rFonts w:ascii="Times New Roman" w:hAnsi="Times New Roman" w:cs="Times New Roman"/>
                <w:sz w:val="24"/>
                <w:szCs w:val="24"/>
              </w:rPr>
              <w:t> </w:t>
            </w:r>
            <w:r w:rsidRPr="006952E1">
              <w:rPr>
                <w:rFonts w:ascii="Times New Roman" w:hAnsi="Times New Roman" w:cs="Times New Roman"/>
                <w:sz w:val="24"/>
                <w:szCs w:val="24"/>
              </w:rPr>
              <w:t>punkts</w:t>
            </w:r>
          </w:p>
        </w:tc>
        <w:tc>
          <w:tcPr>
            <w:tcW w:w="2438" w:type="dxa"/>
          </w:tcPr>
          <w:p w14:paraId="58E141BD" w14:textId="7777777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Izpilda pilnībā</w:t>
            </w:r>
          </w:p>
        </w:tc>
        <w:tc>
          <w:tcPr>
            <w:tcW w:w="2438" w:type="dxa"/>
          </w:tcPr>
          <w:p w14:paraId="54A3C980" w14:textId="7777777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Nē</w:t>
            </w:r>
          </w:p>
        </w:tc>
        <w:tc>
          <w:tcPr>
            <w:tcW w:w="2183" w:type="dxa"/>
          </w:tcPr>
          <w:p w14:paraId="2A76052C" w14:textId="77777777"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Jā</w:t>
            </w:r>
          </w:p>
        </w:tc>
        <w:tc>
          <w:tcPr>
            <w:tcW w:w="2693" w:type="dxa"/>
            <w:vMerge/>
          </w:tcPr>
          <w:p w14:paraId="0CB14261"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3345E8FE" w14:textId="77777777" w:rsidTr="009E2007">
        <w:tc>
          <w:tcPr>
            <w:tcW w:w="2689" w:type="dxa"/>
          </w:tcPr>
          <w:p w14:paraId="101E5033" w14:textId="191ADF46" w:rsidR="006952E1" w:rsidRPr="006952E1" w:rsidRDefault="006952E1" w:rsidP="00CA5C85">
            <w:pPr>
              <w:rPr>
                <w:rStyle w:val="ui-provider"/>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11"/>
                <w:rFonts w:ascii="Times New Roman" w:hAnsi="Times New Roman" w:cs="Times New Roman"/>
                <w:sz w:val="24"/>
                <w:szCs w:val="24"/>
              </w:rPr>
              <w:t xml:space="preserve">2019/878 </w:t>
            </w:r>
          </w:p>
          <w:p w14:paraId="75F78080" w14:textId="7E386E8A" w:rsidR="006952E1" w:rsidRPr="006952E1" w:rsidRDefault="006952E1" w:rsidP="00CA5C85">
            <w:pPr>
              <w:rPr>
                <w:rFonts w:ascii="Times New Roman" w:hAnsi="Times New Roman" w:cs="Times New Roman"/>
                <w:color w:val="000000" w:themeColor="text1"/>
                <w:sz w:val="24"/>
                <w:szCs w:val="24"/>
                <w:highlight w:val="yellow"/>
              </w:rPr>
            </w:pPr>
            <w:r w:rsidRPr="006952E1">
              <w:rPr>
                <w:rStyle w:val="ui-provider"/>
                <w:rFonts w:ascii="Times New Roman" w:hAnsi="Times New Roman" w:cs="Times New Roman"/>
                <w:sz w:val="24"/>
                <w:szCs w:val="24"/>
              </w:rPr>
              <w:t>1.</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panta 52.</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punkts (Direktīvas 2013/36/ES 141.b panta 4.</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punkts)</w:t>
            </w:r>
          </w:p>
        </w:tc>
        <w:tc>
          <w:tcPr>
            <w:tcW w:w="2438" w:type="dxa"/>
          </w:tcPr>
          <w:p w14:paraId="3309B5BF" w14:textId="77777777" w:rsidR="006952E1" w:rsidRPr="006952E1" w:rsidRDefault="006952E1" w:rsidP="00CA5C85">
            <w:pPr>
              <w:rPr>
                <w:rFonts w:ascii="Times New Roman" w:hAnsi="Times New Roman" w:cs="Times New Roman"/>
                <w:color w:val="000000" w:themeColor="text1"/>
                <w:sz w:val="24"/>
                <w:szCs w:val="24"/>
              </w:rPr>
            </w:pPr>
          </w:p>
          <w:p w14:paraId="168E34FC" w14:textId="29E686E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2.</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 un 2.2.</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apakšpunkts</w:t>
            </w:r>
          </w:p>
        </w:tc>
        <w:tc>
          <w:tcPr>
            <w:tcW w:w="2438" w:type="dxa"/>
          </w:tcPr>
          <w:p w14:paraId="68935DCB"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78822210"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3361C08A"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Style w:val="cf01"/>
                <w:rFonts w:ascii="Times New Roman" w:hAnsi="Times New Roman" w:cs="Times New Roman"/>
                <w:sz w:val="24"/>
                <w:szCs w:val="24"/>
              </w:rPr>
              <w:t>Jā</w:t>
            </w:r>
          </w:p>
        </w:tc>
        <w:tc>
          <w:tcPr>
            <w:tcW w:w="2693" w:type="dxa"/>
            <w:vMerge/>
          </w:tcPr>
          <w:p w14:paraId="48244A5F" w14:textId="77777777" w:rsidR="006952E1" w:rsidRPr="006952E1" w:rsidRDefault="006952E1" w:rsidP="00CA5C85">
            <w:pPr>
              <w:rPr>
                <w:rStyle w:val="cf01"/>
                <w:rFonts w:ascii="Times New Roman" w:hAnsi="Times New Roman" w:cs="Times New Roman"/>
                <w:sz w:val="24"/>
                <w:szCs w:val="24"/>
                <w:highlight w:val="yellow"/>
              </w:rPr>
            </w:pPr>
          </w:p>
        </w:tc>
      </w:tr>
      <w:tr w:rsidR="006952E1" w:rsidRPr="006952E1" w14:paraId="54AB8B9F" w14:textId="77777777" w:rsidTr="009E2007">
        <w:tc>
          <w:tcPr>
            <w:tcW w:w="2689" w:type="dxa"/>
          </w:tcPr>
          <w:p w14:paraId="1C0820E2" w14:textId="7ECBC91A" w:rsidR="006952E1" w:rsidRPr="006952E1" w:rsidRDefault="006952E1" w:rsidP="00CA5C85">
            <w:pPr>
              <w:rPr>
                <w:rStyle w:val="ui-provider"/>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11"/>
                <w:rFonts w:ascii="Times New Roman" w:hAnsi="Times New Roman" w:cs="Times New Roman"/>
                <w:sz w:val="24"/>
                <w:szCs w:val="24"/>
              </w:rPr>
              <w:t xml:space="preserve">2019/878 </w:t>
            </w:r>
          </w:p>
          <w:p w14:paraId="7EE231F3" w14:textId="07207186" w:rsidR="006952E1" w:rsidRPr="006952E1" w:rsidRDefault="006952E1" w:rsidP="00CA5C85">
            <w:pPr>
              <w:rPr>
                <w:rStyle w:val="cf01"/>
                <w:rFonts w:ascii="Times New Roman" w:hAnsi="Times New Roman" w:cs="Times New Roman"/>
                <w:sz w:val="24"/>
                <w:szCs w:val="24"/>
              </w:rPr>
            </w:pPr>
            <w:r w:rsidRPr="006952E1">
              <w:rPr>
                <w:rStyle w:val="ui-provider"/>
                <w:rFonts w:ascii="Times New Roman" w:hAnsi="Times New Roman" w:cs="Times New Roman"/>
                <w:sz w:val="24"/>
                <w:szCs w:val="24"/>
              </w:rPr>
              <w:t>1.</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panta 52.</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punkts (Direktīvas 2013/36/ES 141.b panta 5.</w:t>
            </w:r>
            <w:r w:rsidR="00D82979">
              <w:rPr>
                <w:rStyle w:val="ui-provider"/>
                <w:rFonts w:ascii="Times New Roman" w:hAnsi="Times New Roman" w:cs="Times New Roman"/>
                <w:sz w:val="24"/>
                <w:szCs w:val="24"/>
              </w:rPr>
              <w:t> </w:t>
            </w:r>
            <w:r w:rsidRPr="006952E1">
              <w:rPr>
                <w:rStyle w:val="ui-provider"/>
                <w:rFonts w:ascii="Times New Roman" w:hAnsi="Times New Roman" w:cs="Times New Roman"/>
                <w:sz w:val="24"/>
                <w:szCs w:val="24"/>
              </w:rPr>
              <w:t>punkta pirmā rindkopa)</w:t>
            </w:r>
          </w:p>
        </w:tc>
        <w:tc>
          <w:tcPr>
            <w:tcW w:w="2438" w:type="dxa"/>
          </w:tcPr>
          <w:p w14:paraId="46A32BCA" w14:textId="3C0AB539"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3.</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w:t>
            </w:r>
          </w:p>
        </w:tc>
        <w:tc>
          <w:tcPr>
            <w:tcW w:w="2438" w:type="dxa"/>
          </w:tcPr>
          <w:p w14:paraId="7CD3CF9A"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64D04460"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24DBF36A"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2515E980" w14:textId="77777777" w:rsidR="006952E1" w:rsidRPr="006952E1" w:rsidRDefault="006952E1" w:rsidP="00CA5C85">
            <w:pPr>
              <w:ind w:firstLine="417"/>
              <w:rPr>
                <w:rStyle w:val="cf01"/>
                <w:rFonts w:ascii="Times New Roman" w:hAnsi="Times New Roman" w:cs="Times New Roman"/>
                <w:sz w:val="24"/>
                <w:szCs w:val="24"/>
                <w:highlight w:val="yellow"/>
              </w:rPr>
            </w:pPr>
          </w:p>
        </w:tc>
      </w:tr>
      <w:tr w:rsidR="006952E1" w:rsidRPr="006952E1" w14:paraId="013A1F11" w14:textId="77777777" w:rsidTr="009E2007">
        <w:tc>
          <w:tcPr>
            <w:tcW w:w="2689" w:type="dxa"/>
          </w:tcPr>
          <w:p w14:paraId="54182E79" w14:textId="77F620C2"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3EBBBE62" w14:textId="4179376F"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52.</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141.b panta 5.</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"a" apakšpunkts)</w:t>
            </w:r>
          </w:p>
        </w:tc>
        <w:tc>
          <w:tcPr>
            <w:tcW w:w="2438" w:type="dxa"/>
          </w:tcPr>
          <w:p w14:paraId="43839B0E" w14:textId="2492575D"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3.1.</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un 3.1.2. apakšpunkts</w:t>
            </w:r>
          </w:p>
        </w:tc>
        <w:tc>
          <w:tcPr>
            <w:tcW w:w="2438" w:type="dxa"/>
          </w:tcPr>
          <w:p w14:paraId="2AE03FAE"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77F7B6A5"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7526E03C"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6F754738" w14:textId="77777777" w:rsidR="006952E1" w:rsidRPr="006952E1" w:rsidRDefault="006952E1" w:rsidP="00CA5C85">
            <w:pPr>
              <w:ind w:firstLine="417"/>
              <w:rPr>
                <w:rStyle w:val="cf01"/>
                <w:rFonts w:ascii="Times New Roman" w:hAnsi="Times New Roman" w:cs="Times New Roman"/>
                <w:sz w:val="24"/>
                <w:szCs w:val="24"/>
                <w:highlight w:val="yellow"/>
              </w:rPr>
            </w:pPr>
          </w:p>
        </w:tc>
      </w:tr>
      <w:tr w:rsidR="006952E1" w:rsidRPr="006952E1" w14:paraId="0BF81B04" w14:textId="77777777" w:rsidTr="009E2007">
        <w:tc>
          <w:tcPr>
            <w:tcW w:w="2689" w:type="dxa"/>
          </w:tcPr>
          <w:p w14:paraId="2DC67C0F" w14:textId="59EB35FB"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32921DB9" w14:textId="6FBEC253"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52.</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141.b panta 5.</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"b" apakšpunkts)</w:t>
            </w:r>
          </w:p>
        </w:tc>
        <w:tc>
          <w:tcPr>
            <w:tcW w:w="2438" w:type="dxa"/>
          </w:tcPr>
          <w:p w14:paraId="2A8B121F" w14:textId="6758F82E"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3.1.</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un 3.1.2. apakšpunkts</w:t>
            </w:r>
          </w:p>
        </w:tc>
        <w:tc>
          <w:tcPr>
            <w:tcW w:w="2438" w:type="dxa"/>
          </w:tcPr>
          <w:p w14:paraId="3442EB2B"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06449FC9"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11B2A4F9"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0D6F901B" w14:textId="77777777" w:rsidR="006952E1" w:rsidRPr="006952E1" w:rsidRDefault="006952E1" w:rsidP="00CA5C85">
            <w:pPr>
              <w:ind w:firstLine="417"/>
              <w:rPr>
                <w:rStyle w:val="cf01"/>
                <w:rFonts w:ascii="Times New Roman" w:hAnsi="Times New Roman" w:cs="Times New Roman"/>
                <w:sz w:val="24"/>
                <w:szCs w:val="24"/>
                <w:highlight w:val="yellow"/>
              </w:rPr>
            </w:pPr>
          </w:p>
        </w:tc>
      </w:tr>
      <w:tr w:rsidR="006952E1" w:rsidRPr="006952E1" w14:paraId="29EA5365" w14:textId="77777777" w:rsidTr="009E2007">
        <w:tc>
          <w:tcPr>
            <w:tcW w:w="2689" w:type="dxa"/>
          </w:tcPr>
          <w:p w14:paraId="483110F4" w14:textId="5CE6B810"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1D642E15" w14:textId="2488B454"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52.</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 xml:space="preserve">punkts (Direktīvas 2013/36/ES </w:t>
            </w:r>
            <w:r w:rsidRPr="006952E1">
              <w:rPr>
                <w:rStyle w:val="cf01"/>
                <w:rFonts w:ascii="Times New Roman" w:hAnsi="Times New Roman" w:cs="Times New Roman"/>
                <w:sz w:val="24"/>
                <w:szCs w:val="24"/>
              </w:rPr>
              <w:lastRenderedPageBreak/>
              <w:t>141.b panta 5.</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"c"</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apakšpunkts)</w:t>
            </w:r>
          </w:p>
        </w:tc>
        <w:tc>
          <w:tcPr>
            <w:tcW w:w="2438" w:type="dxa"/>
          </w:tcPr>
          <w:p w14:paraId="274897B9" w14:textId="7777777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lastRenderedPageBreak/>
              <w:t>Projekta 3.2. apakšpunkts</w:t>
            </w:r>
          </w:p>
        </w:tc>
        <w:tc>
          <w:tcPr>
            <w:tcW w:w="2438" w:type="dxa"/>
          </w:tcPr>
          <w:p w14:paraId="26F1619C"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153A6981"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7CEE2671"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5745C02D" w14:textId="77777777" w:rsidR="006952E1" w:rsidRPr="006952E1" w:rsidRDefault="006952E1" w:rsidP="00CA5C85">
            <w:pPr>
              <w:ind w:firstLine="417"/>
              <w:rPr>
                <w:rStyle w:val="cf01"/>
                <w:rFonts w:ascii="Times New Roman" w:hAnsi="Times New Roman" w:cs="Times New Roman"/>
                <w:sz w:val="24"/>
                <w:szCs w:val="24"/>
                <w:highlight w:val="yellow"/>
              </w:rPr>
            </w:pPr>
          </w:p>
        </w:tc>
      </w:tr>
      <w:tr w:rsidR="006952E1" w:rsidRPr="006952E1" w14:paraId="664B478C" w14:textId="77777777" w:rsidTr="009E2007">
        <w:tc>
          <w:tcPr>
            <w:tcW w:w="2689" w:type="dxa"/>
          </w:tcPr>
          <w:p w14:paraId="1D8E0363" w14:textId="5E41DB2C"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6C24C18E" w14:textId="2BC821DF"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52.</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141.b 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pirmā rindkopa un 141.b</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"a"</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apakšpunkts)</w:t>
            </w:r>
          </w:p>
        </w:tc>
        <w:tc>
          <w:tcPr>
            <w:tcW w:w="2438" w:type="dxa"/>
          </w:tcPr>
          <w:p w14:paraId="5922678F" w14:textId="211DA50C"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8., 9.</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 un 10.1.</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apakšpunkts</w:t>
            </w:r>
          </w:p>
        </w:tc>
        <w:tc>
          <w:tcPr>
            <w:tcW w:w="2438" w:type="dxa"/>
          </w:tcPr>
          <w:p w14:paraId="17EBC646"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4B221F6E"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771C9B0B"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1F74FE44" w14:textId="77777777" w:rsidR="006952E1" w:rsidRPr="006952E1" w:rsidRDefault="006952E1" w:rsidP="00CA5C85">
            <w:pPr>
              <w:ind w:firstLine="417"/>
              <w:rPr>
                <w:rStyle w:val="cf01"/>
                <w:rFonts w:ascii="Times New Roman" w:hAnsi="Times New Roman" w:cs="Times New Roman"/>
                <w:sz w:val="24"/>
                <w:szCs w:val="24"/>
                <w:highlight w:val="yellow"/>
              </w:rPr>
            </w:pPr>
          </w:p>
        </w:tc>
      </w:tr>
      <w:tr w:rsidR="006952E1" w:rsidRPr="006952E1" w14:paraId="018B3F03" w14:textId="77777777" w:rsidTr="009E2007">
        <w:tc>
          <w:tcPr>
            <w:tcW w:w="2689" w:type="dxa"/>
          </w:tcPr>
          <w:p w14:paraId="7104C5AF" w14:textId="028A20B2"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5F20C621" w14:textId="2805547E"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52.</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141.b 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pirmā rindkopa un 141.b</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"b"</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apakšpunkts)</w:t>
            </w:r>
          </w:p>
        </w:tc>
        <w:tc>
          <w:tcPr>
            <w:tcW w:w="2438" w:type="dxa"/>
          </w:tcPr>
          <w:p w14:paraId="075DCE10" w14:textId="4326355D"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8., 9.</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 un 10.2.</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apakšpunkts</w:t>
            </w:r>
          </w:p>
        </w:tc>
        <w:tc>
          <w:tcPr>
            <w:tcW w:w="2438" w:type="dxa"/>
          </w:tcPr>
          <w:p w14:paraId="34B6E8C5"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680CA6CE"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4868137D"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5BC07667" w14:textId="77777777" w:rsidR="006952E1" w:rsidRPr="006952E1" w:rsidRDefault="006952E1" w:rsidP="00CA5C85">
            <w:pPr>
              <w:ind w:firstLine="417"/>
              <w:rPr>
                <w:rStyle w:val="cf01"/>
                <w:rFonts w:ascii="Times New Roman" w:hAnsi="Times New Roman" w:cs="Times New Roman"/>
                <w:sz w:val="24"/>
                <w:szCs w:val="24"/>
                <w:highlight w:val="yellow"/>
              </w:rPr>
            </w:pPr>
          </w:p>
        </w:tc>
      </w:tr>
      <w:tr w:rsidR="006952E1" w:rsidRPr="006952E1" w14:paraId="63C98F66" w14:textId="77777777" w:rsidTr="009E2007">
        <w:tc>
          <w:tcPr>
            <w:tcW w:w="2689" w:type="dxa"/>
          </w:tcPr>
          <w:p w14:paraId="55FD17A7" w14:textId="04C918BA"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69813909" w14:textId="566FAAEC"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52.</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141.b 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 xml:space="preserve"> punkta pirmā rindkopa un 141.b</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"c"</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apakšpunkts)</w:t>
            </w:r>
          </w:p>
        </w:tc>
        <w:tc>
          <w:tcPr>
            <w:tcW w:w="2438" w:type="dxa"/>
          </w:tcPr>
          <w:p w14:paraId="1D75EBA2" w14:textId="1B1C4985"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8., 9.</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 un 10.3.</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apakšpunkts</w:t>
            </w:r>
          </w:p>
        </w:tc>
        <w:tc>
          <w:tcPr>
            <w:tcW w:w="2438" w:type="dxa"/>
          </w:tcPr>
          <w:p w14:paraId="4FDD65C4"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7B95E7B7"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40E75DAD"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07019BFB" w14:textId="77777777" w:rsidR="006952E1" w:rsidRPr="006952E1" w:rsidRDefault="006952E1" w:rsidP="00CA5C85">
            <w:pPr>
              <w:ind w:firstLine="417"/>
              <w:rPr>
                <w:rStyle w:val="cf01"/>
                <w:rFonts w:ascii="Times New Roman" w:hAnsi="Times New Roman" w:cs="Times New Roman"/>
                <w:sz w:val="24"/>
                <w:szCs w:val="24"/>
                <w:highlight w:val="yellow"/>
              </w:rPr>
            </w:pPr>
          </w:p>
        </w:tc>
      </w:tr>
      <w:tr w:rsidR="006952E1" w:rsidRPr="006952E1" w14:paraId="2731D2F4" w14:textId="77777777" w:rsidTr="009E2007">
        <w:tc>
          <w:tcPr>
            <w:tcW w:w="2689" w:type="dxa"/>
          </w:tcPr>
          <w:p w14:paraId="468F2421" w14:textId="7BE35891"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7C69EB4A" w14:textId="0A78DA5B"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52.</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141.b 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 xml:space="preserve">punkta pirmā rindkopa un </w:t>
            </w:r>
            <w:r w:rsidRPr="006952E1">
              <w:rPr>
                <w:rStyle w:val="cf01"/>
                <w:rFonts w:ascii="Times New Roman" w:hAnsi="Times New Roman" w:cs="Times New Roman"/>
                <w:sz w:val="24"/>
                <w:szCs w:val="24"/>
              </w:rPr>
              <w:lastRenderedPageBreak/>
              <w:t>141.b</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"d"</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apakšpunkts)</w:t>
            </w:r>
          </w:p>
        </w:tc>
        <w:tc>
          <w:tcPr>
            <w:tcW w:w="2438" w:type="dxa"/>
          </w:tcPr>
          <w:p w14:paraId="067465E8" w14:textId="1F9412F5"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lastRenderedPageBreak/>
              <w:t>Projekta 8., 9.</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 un 10.4.</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apakšpunkts</w:t>
            </w:r>
          </w:p>
        </w:tc>
        <w:tc>
          <w:tcPr>
            <w:tcW w:w="2438" w:type="dxa"/>
          </w:tcPr>
          <w:p w14:paraId="3A7617AD"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5F7709A2"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74B9781F"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0A422929" w14:textId="77777777" w:rsidR="006952E1" w:rsidRPr="006952E1" w:rsidRDefault="006952E1" w:rsidP="00CA5C85">
            <w:pPr>
              <w:ind w:firstLine="417"/>
              <w:rPr>
                <w:rStyle w:val="cf01"/>
                <w:rFonts w:ascii="Times New Roman" w:hAnsi="Times New Roman" w:cs="Times New Roman"/>
                <w:sz w:val="24"/>
                <w:szCs w:val="24"/>
                <w:highlight w:val="yellow"/>
              </w:rPr>
            </w:pPr>
          </w:p>
        </w:tc>
      </w:tr>
      <w:tr w:rsidR="006952E1" w:rsidRPr="006952E1" w14:paraId="4BA76AE4" w14:textId="77777777" w:rsidTr="009E2007">
        <w:tc>
          <w:tcPr>
            <w:tcW w:w="2689" w:type="dxa"/>
          </w:tcPr>
          <w:p w14:paraId="3D7691F0" w14:textId="3A2A1B7D"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Direktīvas </w:t>
            </w:r>
            <w:r w:rsidR="00C33A7E">
              <w:rPr>
                <w:rStyle w:val="cf01"/>
                <w:rFonts w:ascii="Times New Roman" w:hAnsi="Times New Roman" w:cs="Times New Roman"/>
                <w:sz w:val="24"/>
                <w:szCs w:val="24"/>
              </w:rPr>
              <w:t xml:space="preserve">(ES) </w:t>
            </w:r>
            <w:r w:rsidRPr="006952E1">
              <w:rPr>
                <w:rStyle w:val="cf01"/>
                <w:rFonts w:ascii="Times New Roman" w:hAnsi="Times New Roman" w:cs="Times New Roman"/>
                <w:sz w:val="24"/>
                <w:szCs w:val="24"/>
              </w:rPr>
              <w:t xml:space="preserve">2019/878 </w:t>
            </w:r>
          </w:p>
          <w:p w14:paraId="08C97FFA" w14:textId="7CB89D25"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1.</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panta 52.</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punkts (Direktīvas 2013/36/ES 141.b panta 6.</w:t>
            </w:r>
            <w:r w:rsidR="00D82979">
              <w:rPr>
                <w:rStyle w:val="cf01"/>
                <w:rFonts w:ascii="Times New Roman" w:hAnsi="Times New Roman" w:cs="Times New Roman"/>
                <w:sz w:val="24"/>
                <w:szCs w:val="24"/>
              </w:rPr>
              <w:t> </w:t>
            </w:r>
            <w:r w:rsidRPr="006952E1">
              <w:rPr>
                <w:rStyle w:val="cf01"/>
                <w:rFonts w:ascii="Times New Roman" w:hAnsi="Times New Roman" w:cs="Times New Roman"/>
                <w:sz w:val="24"/>
                <w:szCs w:val="24"/>
              </w:rPr>
              <w:t>punkta pēdējā rindkopa)</w:t>
            </w:r>
          </w:p>
        </w:tc>
        <w:tc>
          <w:tcPr>
            <w:tcW w:w="2438" w:type="dxa"/>
          </w:tcPr>
          <w:p w14:paraId="353F60DA" w14:textId="20701AA1"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Projekta 11.</w:t>
            </w:r>
            <w:r w:rsidR="00D82979">
              <w:rPr>
                <w:rFonts w:ascii="Times New Roman" w:hAnsi="Times New Roman" w:cs="Times New Roman"/>
                <w:color w:val="000000" w:themeColor="text1"/>
                <w:sz w:val="24"/>
                <w:szCs w:val="24"/>
              </w:rPr>
              <w:t> </w:t>
            </w:r>
            <w:r w:rsidRPr="006952E1">
              <w:rPr>
                <w:rFonts w:ascii="Times New Roman" w:hAnsi="Times New Roman" w:cs="Times New Roman"/>
                <w:color w:val="000000" w:themeColor="text1"/>
                <w:sz w:val="24"/>
                <w:szCs w:val="24"/>
              </w:rPr>
              <w:t>punkts</w:t>
            </w:r>
          </w:p>
        </w:tc>
        <w:tc>
          <w:tcPr>
            <w:tcW w:w="2438" w:type="dxa"/>
          </w:tcPr>
          <w:p w14:paraId="5B736C87"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Izpilda pilnībā</w:t>
            </w:r>
          </w:p>
        </w:tc>
        <w:tc>
          <w:tcPr>
            <w:tcW w:w="2438" w:type="dxa"/>
          </w:tcPr>
          <w:p w14:paraId="76174F01" w14:textId="77777777" w:rsidR="006952E1" w:rsidRPr="006952E1" w:rsidRDefault="006952E1" w:rsidP="00CA5C85">
            <w:pPr>
              <w:rPr>
                <w:rFonts w:ascii="Times New Roman" w:hAnsi="Times New Roman" w:cs="Times New Roman"/>
                <w:color w:val="000000" w:themeColor="text1"/>
                <w:sz w:val="24"/>
                <w:szCs w:val="24"/>
                <w:highlight w:val="yellow"/>
              </w:rPr>
            </w:pPr>
            <w:r w:rsidRPr="006952E1">
              <w:rPr>
                <w:rFonts w:ascii="Times New Roman" w:hAnsi="Times New Roman" w:cs="Times New Roman"/>
                <w:color w:val="000000" w:themeColor="text1"/>
                <w:sz w:val="24"/>
                <w:szCs w:val="24"/>
              </w:rPr>
              <w:t>Nē</w:t>
            </w:r>
          </w:p>
        </w:tc>
        <w:tc>
          <w:tcPr>
            <w:tcW w:w="2183" w:type="dxa"/>
          </w:tcPr>
          <w:p w14:paraId="773EE301" w14:textId="77777777" w:rsidR="006952E1" w:rsidRPr="006952E1" w:rsidRDefault="006952E1" w:rsidP="00CA5C85">
            <w:pPr>
              <w:rPr>
                <w:rStyle w:val="cf01"/>
                <w:rFonts w:ascii="Times New Roman" w:hAnsi="Times New Roman" w:cs="Times New Roman"/>
                <w:sz w:val="24"/>
                <w:szCs w:val="24"/>
                <w:highlight w:val="yellow"/>
              </w:rPr>
            </w:pPr>
            <w:r w:rsidRPr="006952E1">
              <w:rPr>
                <w:rStyle w:val="cf01"/>
                <w:rFonts w:ascii="Times New Roman" w:hAnsi="Times New Roman" w:cs="Times New Roman"/>
                <w:sz w:val="24"/>
                <w:szCs w:val="24"/>
              </w:rPr>
              <w:t>Jā</w:t>
            </w:r>
          </w:p>
        </w:tc>
        <w:tc>
          <w:tcPr>
            <w:tcW w:w="2693" w:type="dxa"/>
            <w:vMerge/>
          </w:tcPr>
          <w:p w14:paraId="42979121" w14:textId="77777777" w:rsidR="006952E1" w:rsidRPr="006952E1" w:rsidRDefault="006952E1" w:rsidP="00CA5C85">
            <w:pPr>
              <w:ind w:firstLine="417"/>
              <w:rPr>
                <w:rStyle w:val="cf01"/>
                <w:rFonts w:ascii="Times New Roman" w:hAnsi="Times New Roman" w:cs="Times New Roman"/>
                <w:sz w:val="24"/>
                <w:szCs w:val="24"/>
                <w:highlight w:val="yellow"/>
              </w:rPr>
            </w:pPr>
          </w:p>
        </w:tc>
      </w:tr>
    </w:tbl>
    <w:p w14:paraId="70BC86BD" w14:textId="77777777" w:rsidR="006952E1" w:rsidRPr="006952E1" w:rsidRDefault="006952E1" w:rsidP="006952E1">
      <w:pPr>
        <w:rPr>
          <w:rFonts w:ascii="Times New Roman" w:hAnsi="Times New Roman" w:cs="Times New Roman"/>
          <w:color w:val="000000" w:themeColor="text1"/>
          <w:sz w:val="24"/>
          <w:szCs w:val="24"/>
        </w:rPr>
      </w:pPr>
    </w:p>
    <w:sectPr w:rsidR="006952E1" w:rsidRPr="006952E1" w:rsidSect="007B1360">
      <w:pgSz w:w="16838" w:h="11906" w:orient="landscape"/>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A1A02" w14:textId="77777777" w:rsidR="00963458" w:rsidRDefault="00963458" w:rsidP="004D7D20">
      <w:pPr>
        <w:spacing w:after="0" w:line="240" w:lineRule="auto"/>
      </w:pPr>
      <w:r>
        <w:separator/>
      </w:r>
    </w:p>
  </w:endnote>
  <w:endnote w:type="continuationSeparator" w:id="0">
    <w:p w14:paraId="00E78E62" w14:textId="77777777" w:rsidR="00963458" w:rsidRDefault="00963458"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600EB" w14:textId="77777777" w:rsidR="00963458" w:rsidRDefault="00963458" w:rsidP="004D7D20">
      <w:pPr>
        <w:spacing w:after="0" w:line="240" w:lineRule="auto"/>
      </w:pPr>
      <w:r>
        <w:separator/>
      </w:r>
    </w:p>
  </w:footnote>
  <w:footnote w:type="continuationSeparator" w:id="0">
    <w:p w14:paraId="4BA31C8E" w14:textId="77777777" w:rsidR="00963458" w:rsidRDefault="00963458"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Header"/>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20741383">
    <w:abstractNumId w:val="1"/>
  </w:num>
  <w:num w:numId="2" w16cid:durableId="219558385">
    <w:abstractNumId w:val="0"/>
  </w:num>
  <w:num w:numId="3" w16cid:durableId="253784293">
    <w:abstractNumId w:val="3"/>
  </w:num>
  <w:num w:numId="4" w16cid:durableId="1561595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13443"/>
    <w:rsid w:val="000151B7"/>
    <w:rsid w:val="0003590D"/>
    <w:rsid w:val="000434F8"/>
    <w:rsid w:val="00052B8F"/>
    <w:rsid w:val="000620CA"/>
    <w:rsid w:val="00070518"/>
    <w:rsid w:val="000711B5"/>
    <w:rsid w:val="000754BB"/>
    <w:rsid w:val="00083B07"/>
    <w:rsid w:val="00084683"/>
    <w:rsid w:val="00093104"/>
    <w:rsid w:val="00094025"/>
    <w:rsid w:val="000A0EE9"/>
    <w:rsid w:val="000A360D"/>
    <w:rsid w:val="000A49BC"/>
    <w:rsid w:val="000B0418"/>
    <w:rsid w:val="000B0F0C"/>
    <w:rsid w:val="000B18AB"/>
    <w:rsid w:val="000B1C7D"/>
    <w:rsid w:val="000B491E"/>
    <w:rsid w:val="000B4A2E"/>
    <w:rsid w:val="000B4B85"/>
    <w:rsid w:val="000C4902"/>
    <w:rsid w:val="000C76AC"/>
    <w:rsid w:val="000D6E98"/>
    <w:rsid w:val="000D7B1E"/>
    <w:rsid w:val="000E1D27"/>
    <w:rsid w:val="000E5859"/>
    <w:rsid w:val="000E6700"/>
    <w:rsid w:val="00100A93"/>
    <w:rsid w:val="0010496E"/>
    <w:rsid w:val="0011303F"/>
    <w:rsid w:val="001133A1"/>
    <w:rsid w:val="00123692"/>
    <w:rsid w:val="00147132"/>
    <w:rsid w:val="00147622"/>
    <w:rsid w:val="0015367A"/>
    <w:rsid w:val="00170221"/>
    <w:rsid w:val="00171022"/>
    <w:rsid w:val="0018184F"/>
    <w:rsid w:val="001827C1"/>
    <w:rsid w:val="0018395C"/>
    <w:rsid w:val="00184704"/>
    <w:rsid w:val="001A2F7D"/>
    <w:rsid w:val="001A77AD"/>
    <w:rsid w:val="001C03E8"/>
    <w:rsid w:val="001D0779"/>
    <w:rsid w:val="001E045D"/>
    <w:rsid w:val="001E0BB0"/>
    <w:rsid w:val="001E34F2"/>
    <w:rsid w:val="001E42C3"/>
    <w:rsid w:val="001E701B"/>
    <w:rsid w:val="001F4EF1"/>
    <w:rsid w:val="001F60BD"/>
    <w:rsid w:val="001F61C1"/>
    <w:rsid w:val="001F6CE3"/>
    <w:rsid w:val="0020468E"/>
    <w:rsid w:val="00210B1F"/>
    <w:rsid w:val="002113FD"/>
    <w:rsid w:val="00211D34"/>
    <w:rsid w:val="002126D1"/>
    <w:rsid w:val="00212A26"/>
    <w:rsid w:val="0021670E"/>
    <w:rsid w:val="00220B6E"/>
    <w:rsid w:val="00220EB4"/>
    <w:rsid w:val="0022165C"/>
    <w:rsid w:val="0022614E"/>
    <w:rsid w:val="002408A7"/>
    <w:rsid w:val="00242E4C"/>
    <w:rsid w:val="00251046"/>
    <w:rsid w:val="00255F29"/>
    <w:rsid w:val="002621A4"/>
    <w:rsid w:val="00262A34"/>
    <w:rsid w:val="0027276E"/>
    <w:rsid w:val="00283B21"/>
    <w:rsid w:val="00283D41"/>
    <w:rsid w:val="002A6CA2"/>
    <w:rsid w:val="002C6295"/>
    <w:rsid w:val="002D3FFE"/>
    <w:rsid w:val="002D4A37"/>
    <w:rsid w:val="002E1327"/>
    <w:rsid w:val="002E5FC9"/>
    <w:rsid w:val="002E635F"/>
    <w:rsid w:val="002F10D7"/>
    <w:rsid w:val="002F1C0C"/>
    <w:rsid w:val="00300178"/>
    <w:rsid w:val="00304AD5"/>
    <w:rsid w:val="0030749C"/>
    <w:rsid w:val="00312CED"/>
    <w:rsid w:val="00313DCA"/>
    <w:rsid w:val="00316B11"/>
    <w:rsid w:val="00317F16"/>
    <w:rsid w:val="00321062"/>
    <w:rsid w:val="00324765"/>
    <w:rsid w:val="003260EC"/>
    <w:rsid w:val="00326F2F"/>
    <w:rsid w:val="003311CD"/>
    <w:rsid w:val="0033120C"/>
    <w:rsid w:val="00331694"/>
    <w:rsid w:val="003340A7"/>
    <w:rsid w:val="00343634"/>
    <w:rsid w:val="003442A2"/>
    <w:rsid w:val="003502E8"/>
    <w:rsid w:val="003514E7"/>
    <w:rsid w:val="003528D3"/>
    <w:rsid w:val="00361DD9"/>
    <w:rsid w:val="0036658F"/>
    <w:rsid w:val="00366CC3"/>
    <w:rsid w:val="003770FF"/>
    <w:rsid w:val="003876A6"/>
    <w:rsid w:val="003912A6"/>
    <w:rsid w:val="003934A3"/>
    <w:rsid w:val="003A1547"/>
    <w:rsid w:val="003A7C34"/>
    <w:rsid w:val="003B01FF"/>
    <w:rsid w:val="003B0F31"/>
    <w:rsid w:val="003B33BA"/>
    <w:rsid w:val="003B5C31"/>
    <w:rsid w:val="003B7C70"/>
    <w:rsid w:val="003C2B3E"/>
    <w:rsid w:val="003D1C04"/>
    <w:rsid w:val="003E0020"/>
    <w:rsid w:val="003E04EB"/>
    <w:rsid w:val="003E559F"/>
    <w:rsid w:val="003F20B8"/>
    <w:rsid w:val="003F2BDA"/>
    <w:rsid w:val="0040095C"/>
    <w:rsid w:val="00404CD6"/>
    <w:rsid w:val="004050B5"/>
    <w:rsid w:val="00422A7C"/>
    <w:rsid w:val="00426B2C"/>
    <w:rsid w:val="00430307"/>
    <w:rsid w:val="00430443"/>
    <w:rsid w:val="00430A44"/>
    <w:rsid w:val="00437266"/>
    <w:rsid w:val="00441B3E"/>
    <w:rsid w:val="00442D8A"/>
    <w:rsid w:val="0044564D"/>
    <w:rsid w:val="004463D3"/>
    <w:rsid w:val="0045084D"/>
    <w:rsid w:val="00450C86"/>
    <w:rsid w:val="00456FAA"/>
    <w:rsid w:val="0046451C"/>
    <w:rsid w:val="00465DD0"/>
    <w:rsid w:val="004772FB"/>
    <w:rsid w:val="00481633"/>
    <w:rsid w:val="004816A5"/>
    <w:rsid w:val="00483FEF"/>
    <w:rsid w:val="00494F09"/>
    <w:rsid w:val="004A5D40"/>
    <w:rsid w:val="004A6F4E"/>
    <w:rsid w:val="004B3BBE"/>
    <w:rsid w:val="004B6B4B"/>
    <w:rsid w:val="004D1EB8"/>
    <w:rsid w:val="004D5218"/>
    <w:rsid w:val="004D63C1"/>
    <w:rsid w:val="004D7821"/>
    <w:rsid w:val="004D7D20"/>
    <w:rsid w:val="004E0F0D"/>
    <w:rsid w:val="004E638F"/>
    <w:rsid w:val="004F068C"/>
    <w:rsid w:val="004F0FE1"/>
    <w:rsid w:val="004F226D"/>
    <w:rsid w:val="004F4693"/>
    <w:rsid w:val="004F5C09"/>
    <w:rsid w:val="005028D8"/>
    <w:rsid w:val="0050352A"/>
    <w:rsid w:val="00520B95"/>
    <w:rsid w:val="005322CF"/>
    <w:rsid w:val="00533C38"/>
    <w:rsid w:val="005364B7"/>
    <w:rsid w:val="0055187E"/>
    <w:rsid w:val="00561840"/>
    <w:rsid w:val="00563073"/>
    <w:rsid w:val="00567DEF"/>
    <w:rsid w:val="00571F5D"/>
    <w:rsid w:val="005721A2"/>
    <w:rsid w:val="00572BF3"/>
    <w:rsid w:val="00577222"/>
    <w:rsid w:val="00580783"/>
    <w:rsid w:val="0059070B"/>
    <w:rsid w:val="00590EF4"/>
    <w:rsid w:val="00592E64"/>
    <w:rsid w:val="00593C7F"/>
    <w:rsid w:val="00593EB6"/>
    <w:rsid w:val="005945BA"/>
    <w:rsid w:val="00595003"/>
    <w:rsid w:val="005A2AB1"/>
    <w:rsid w:val="005A371C"/>
    <w:rsid w:val="005B0D79"/>
    <w:rsid w:val="005B38B3"/>
    <w:rsid w:val="005B73FE"/>
    <w:rsid w:val="005B7F87"/>
    <w:rsid w:val="005C6F27"/>
    <w:rsid w:val="005C7A4E"/>
    <w:rsid w:val="005D0938"/>
    <w:rsid w:val="005E2284"/>
    <w:rsid w:val="005E3B80"/>
    <w:rsid w:val="005E64B3"/>
    <w:rsid w:val="005F36CC"/>
    <w:rsid w:val="005F6090"/>
    <w:rsid w:val="00601D56"/>
    <w:rsid w:val="00603D98"/>
    <w:rsid w:val="00606810"/>
    <w:rsid w:val="00606FCF"/>
    <w:rsid w:val="00621B68"/>
    <w:rsid w:val="00624CE8"/>
    <w:rsid w:val="006307A1"/>
    <w:rsid w:val="00630FA7"/>
    <w:rsid w:val="00633E46"/>
    <w:rsid w:val="0063607A"/>
    <w:rsid w:val="00642BC4"/>
    <w:rsid w:val="006452B4"/>
    <w:rsid w:val="00650410"/>
    <w:rsid w:val="00653039"/>
    <w:rsid w:val="00653960"/>
    <w:rsid w:val="00656FF8"/>
    <w:rsid w:val="00657769"/>
    <w:rsid w:val="00665CAD"/>
    <w:rsid w:val="00673281"/>
    <w:rsid w:val="00680E40"/>
    <w:rsid w:val="0068263E"/>
    <w:rsid w:val="006827F2"/>
    <w:rsid w:val="0068372E"/>
    <w:rsid w:val="00686149"/>
    <w:rsid w:val="00686B6E"/>
    <w:rsid w:val="00690E9C"/>
    <w:rsid w:val="006952E1"/>
    <w:rsid w:val="006A3B94"/>
    <w:rsid w:val="006A4445"/>
    <w:rsid w:val="006A6073"/>
    <w:rsid w:val="006C564A"/>
    <w:rsid w:val="006D077B"/>
    <w:rsid w:val="006D0C5C"/>
    <w:rsid w:val="006D5F36"/>
    <w:rsid w:val="006D6D82"/>
    <w:rsid w:val="006F5239"/>
    <w:rsid w:val="007048E4"/>
    <w:rsid w:val="00710686"/>
    <w:rsid w:val="0071625E"/>
    <w:rsid w:val="0071733C"/>
    <w:rsid w:val="007200D7"/>
    <w:rsid w:val="00721BEA"/>
    <w:rsid w:val="00731A18"/>
    <w:rsid w:val="0073254C"/>
    <w:rsid w:val="00736400"/>
    <w:rsid w:val="00736D49"/>
    <w:rsid w:val="00737059"/>
    <w:rsid w:val="007437A8"/>
    <w:rsid w:val="00745C0D"/>
    <w:rsid w:val="007539DC"/>
    <w:rsid w:val="00760EAA"/>
    <w:rsid w:val="0076100E"/>
    <w:rsid w:val="007657EB"/>
    <w:rsid w:val="007719B2"/>
    <w:rsid w:val="007747FE"/>
    <w:rsid w:val="007824EB"/>
    <w:rsid w:val="00786B14"/>
    <w:rsid w:val="00787487"/>
    <w:rsid w:val="00797204"/>
    <w:rsid w:val="00797917"/>
    <w:rsid w:val="007A4EB3"/>
    <w:rsid w:val="007B1360"/>
    <w:rsid w:val="007C3713"/>
    <w:rsid w:val="007D3FB7"/>
    <w:rsid w:val="007E15C8"/>
    <w:rsid w:val="007E4E5C"/>
    <w:rsid w:val="00800B4C"/>
    <w:rsid w:val="008051E4"/>
    <w:rsid w:val="00817418"/>
    <w:rsid w:val="00821405"/>
    <w:rsid w:val="00822E71"/>
    <w:rsid w:val="00825D1F"/>
    <w:rsid w:val="00830037"/>
    <w:rsid w:val="0083376C"/>
    <w:rsid w:val="00834471"/>
    <w:rsid w:val="00835821"/>
    <w:rsid w:val="00835D81"/>
    <w:rsid w:val="00836D64"/>
    <w:rsid w:val="0084323D"/>
    <w:rsid w:val="00845440"/>
    <w:rsid w:val="00851C5D"/>
    <w:rsid w:val="00853301"/>
    <w:rsid w:val="00854E07"/>
    <w:rsid w:val="00861A27"/>
    <w:rsid w:val="008642EF"/>
    <w:rsid w:val="00866469"/>
    <w:rsid w:val="00871F76"/>
    <w:rsid w:val="008740A8"/>
    <w:rsid w:val="00877C44"/>
    <w:rsid w:val="00883734"/>
    <w:rsid w:val="008839BC"/>
    <w:rsid w:val="0089023F"/>
    <w:rsid w:val="00894B59"/>
    <w:rsid w:val="008950CA"/>
    <w:rsid w:val="008B03F7"/>
    <w:rsid w:val="008B75D0"/>
    <w:rsid w:val="008B7C5A"/>
    <w:rsid w:val="008C0B17"/>
    <w:rsid w:val="008C500E"/>
    <w:rsid w:val="008D0C81"/>
    <w:rsid w:val="008D1AFB"/>
    <w:rsid w:val="008D76DE"/>
    <w:rsid w:val="008E09D5"/>
    <w:rsid w:val="008E292D"/>
    <w:rsid w:val="008F10D3"/>
    <w:rsid w:val="008F15D4"/>
    <w:rsid w:val="008F7432"/>
    <w:rsid w:val="009051B9"/>
    <w:rsid w:val="00905C0A"/>
    <w:rsid w:val="00905FAA"/>
    <w:rsid w:val="009063AF"/>
    <w:rsid w:val="00906B10"/>
    <w:rsid w:val="00912565"/>
    <w:rsid w:val="0091404B"/>
    <w:rsid w:val="00914189"/>
    <w:rsid w:val="00914420"/>
    <w:rsid w:val="00914B51"/>
    <w:rsid w:val="00914D5A"/>
    <w:rsid w:val="00927070"/>
    <w:rsid w:val="00931484"/>
    <w:rsid w:val="009335D5"/>
    <w:rsid w:val="009500E7"/>
    <w:rsid w:val="0095203D"/>
    <w:rsid w:val="00952874"/>
    <w:rsid w:val="00954061"/>
    <w:rsid w:val="00963458"/>
    <w:rsid w:val="0096351E"/>
    <w:rsid w:val="00964FB9"/>
    <w:rsid w:val="00977615"/>
    <w:rsid w:val="009822D4"/>
    <w:rsid w:val="00987987"/>
    <w:rsid w:val="0099611F"/>
    <w:rsid w:val="00996D7D"/>
    <w:rsid w:val="009A5CC3"/>
    <w:rsid w:val="009B0544"/>
    <w:rsid w:val="009B1075"/>
    <w:rsid w:val="009B4AC9"/>
    <w:rsid w:val="009B6162"/>
    <w:rsid w:val="009B620B"/>
    <w:rsid w:val="009C3525"/>
    <w:rsid w:val="009C3909"/>
    <w:rsid w:val="009D1970"/>
    <w:rsid w:val="009D53DE"/>
    <w:rsid w:val="009E2007"/>
    <w:rsid w:val="009E6A95"/>
    <w:rsid w:val="009F2D2F"/>
    <w:rsid w:val="009F5A05"/>
    <w:rsid w:val="00A04F30"/>
    <w:rsid w:val="00A11EBC"/>
    <w:rsid w:val="00A16630"/>
    <w:rsid w:val="00A202C9"/>
    <w:rsid w:val="00A23583"/>
    <w:rsid w:val="00A4254A"/>
    <w:rsid w:val="00A46015"/>
    <w:rsid w:val="00A46872"/>
    <w:rsid w:val="00A551E7"/>
    <w:rsid w:val="00A61684"/>
    <w:rsid w:val="00A77246"/>
    <w:rsid w:val="00A85BEA"/>
    <w:rsid w:val="00A969C9"/>
    <w:rsid w:val="00A9721F"/>
    <w:rsid w:val="00AA195C"/>
    <w:rsid w:val="00AB3B6E"/>
    <w:rsid w:val="00AB4AF8"/>
    <w:rsid w:val="00AC2934"/>
    <w:rsid w:val="00AC77DE"/>
    <w:rsid w:val="00AD2183"/>
    <w:rsid w:val="00AD392C"/>
    <w:rsid w:val="00AE1C96"/>
    <w:rsid w:val="00AF06BE"/>
    <w:rsid w:val="00AF3B0F"/>
    <w:rsid w:val="00AF5404"/>
    <w:rsid w:val="00AF7C4C"/>
    <w:rsid w:val="00B01E24"/>
    <w:rsid w:val="00B124CD"/>
    <w:rsid w:val="00B13592"/>
    <w:rsid w:val="00B2040A"/>
    <w:rsid w:val="00B20F58"/>
    <w:rsid w:val="00B305D2"/>
    <w:rsid w:val="00B30615"/>
    <w:rsid w:val="00B32AF1"/>
    <w:rsid w:val="00B353B7"/>
    <w:rsid w:val="00B35D22"/>
    <w:rsid w:val="00B3777E"/>
    <w:rsid w:val="00B43E2A"/>
    <w:rsid w:val="00B5670E"/>
    <w:rsid w:val="00B626DA"/>
    <w:rsid w:val="00B821A5"/>
    <w:rsid w:val="00B82618"/>
    <w:rsid w:val="00B84167"/>
    <w:rsid w:val="00B87BDC"/>
    <w:rsid w:val="00B90C07"/>
    <w:rsid w:val="00B91AFC"/>
    <w:rsid w:val="00B91D57"/>
    <w:rsid w:val="00B922C6"/>
    <w:rsid w:val="00BA3686"/>
    <w:rsid w:val="00BB6E66"/>
    <w:rsid w:val="00BC0110"/>
    <w:rsid w:val="00BC3468"/>
    <w:rsid w:val="00BC411D"/>
    <w:rsid w:val="00BE22D3"/>
    <w:rsid w:val="00BF0AFB"/>
    <w:rsid w:val="00BF2932"/>
    <w:rsid w:val="00BF5BB6"/>
    <w:rsid w:val="00C07599"/>
    <w:rsid w:val="00C079C4"/>
    <w:rsid w:val="00C11DFC"/>
    <w:rsid w:val="00C12CF8"/>
    <w:rsid w:val="00C246CB"/>
    <w:rsid w:val="00C3120B"/>
    <w:rsid w:val="00C31C47"/>
    <w:rsid w:val="00C32E3F"/>
    <w:rsid w:val="00C33A7E"/>
    <w:rsid w:val="00C356AD"/>
    <w:rsid w:val="00C36164"/>
    <w:rsid w:val="00C36F5E"/>
    <w:rsid w:val="00C41B8C"/>
    <w:rsid w:val="00C519B1"/>
    <w:rsid w:val="00C52D72"/>
    <w:rsid w:val="00C56AB3"/>
    <w:rsid w:val="00C57D77"/>
    <w:rsid w:val="00C774DB"/>
    <w:rsid w:val="00C77D1C"/>
    <w:rsid w:val="00C833B0"/>
    <w:rsid w:val="00C9333A"/>
    <w:rsid w:val="00C94171"/>
    <w:rsid w:val="00C95193"/>
    <w:rsid w:val="00C952EC"/>
    <w:rsid w:val="00CA0E4F"/>
    <w:rsid w:val="00CA3C0C"/>
    <w:rsid w:val="00CA4A7A"/>
    <w:rsid w:val="00CA5AD7"/>
    <w:rsid w:val="00CA6589"/>
    <w:rsid w:val="00CA67B3"/>
    <w:rsid w:val="00CA7D59"/>
    <w:rsid w:val="00CB29D1"/>
    <w:rsid w:val="00CB2ED4"/>
    <w:rsid w:val="00CB36F6"/>
    <w:rsid w:val="00CB5D37"/>
    <w:rsid w:val="00CB67BA"/>
    <w:rsid w:val="00CC035C"/>
    <w:rsid w:val="00CC4A55"/>
    <w:rsid w:val="00CD37E5"/>
    <w:rsid w:val="00CD4AE2"/>
    <w:rsid w:val="00CE18CE"/>
    <w:rsid w:val="00CF4CC7"/>
    <w:rsid w:val="00CF6ED5"/>
    <w:rsid w:val="00D06984"/>
    <w:rsid w:val="00D10CD9"/>
    <w:rsid w:val="00D34E4F"/>
    <w:rsid w:val="00D430B7"/>
    <w:rsid w:val="00D466AC"/>
    <w:rsid w:val="00D53004"/>
    <w:rsid w:val="00D57B18"/>
    <w:rsid w:val="00D67D2E"/>
    <w:rsid w:val="00D70FDF"/>
    <w:rsid w:val="00D71FB4"/>
    <w:rsid w:val="00D720FB"/>
    <w:rsid w:val="00D738B1"/>
    <w:rsid w:val="00D82979"/>
    <w:rsid w:val="00D84FB8"/>
    <w:rsid w:val="00D87F65"/>
    <w:rsid w:val="00D90B21"/>
    <w:rsid w:val="00D91C56"/>
    <w:rsid w:val="00D96AA6"/>
    <w:rsid w:val="00DA32E6"/>
    <w:rsid w:val="00DC0200"/>
    <w:rsid w:val="00DC0682"/>
    <w:rsid w:val="00DC329B"/>
    <w:rsid w:val="00DC34D4"/>
    <w:rsid w:val="00DC58C2"/>
    <w:rsid w:val="00DD59EA"/>
    <w:rsid w:val="00DE1D4F"/>
    <w:rsid w:val="00DE2569"/>
    <w:rsid w:val="00DE54D0"/>
    <w:rsid w:val="00DF425D"/>
    <w:rsid w:val="00E01603"/>
    <w:rsid w:val="00E02C21"/>
    <w:rsid w:val="00E0471F"/>
    <w:rsid w:val="00E0655E"/>
    <w:rsid w:val="00E20DE8"/>
    <w:rsid w:val="00E22880"/>
    <w:rsid w:val="00E2293F"/>
    <w:rsid w:val="00E337E7"/>
    <w:rsid w:val="00E349E3"/>
    <w:rsid w:val="00E366A0"/>
    <w:rsid w:val="00E47C44"/>
    <w:rsid w:val="00E657DE"/>
    <w:rsid w:val="00E67036"/>
    <w:rsid w:val="00E67EA0"/>
    <w:rsid w:val="00E73DEF"/>
    <w:rsid w:val="00E82790"/>
    <w:rsid w:val="00E829A1"/>
    <w:rsid w:val="00E83B23"/>
    <w:rsid w:val="00E85A18"/>
    <w:rsid w:val="00E87461"/>
    <w:rsid w:val="00E97E14"/>
    <w:rsid w:val="00EA061E"/>
    <w:rsid w:val="00EA0CC6"/>
    <w:rsid w:val="00EA2EB2"/>
    <w:rsid w:val="00EA3C17"/>
    <w:rsid w:val="00EB6818"/>
    <w:rsid w:val="00EC27B8"/>
    <w:rsid w:val="00EC34DC"/>
    <w:rsid w:val="00EC44FD"/>
    <w:rsid w:val="00ED3376"/>
    <w:rsid w:val="00EE014A"/>
    <w:rsid w:val="00EE426C"/>
    <w:rsid w:val="00EE61B4"/>
    <w:rsid w:val="00EF64CC"/>
    <w:rsid w:val="00EF78EF"/>
    <w:rsid w:val="00F00555"/>
    <w:rsid w:val="00F0440B"/>
    <w:rsid w:val="00F11EC5"/>
    <w:rsid w:val="00F1508E"/>
    <w:rsid w:val="00F22887"/>
    <w:rsid w:val="00F235E3"/>
    <w:rsid w:val="00F23FE0"/>
    <w:rsid w:val="00F24CF6"/>
    <w:rsid w:val="00F2777F"/>
    <w:rsid w:val="00F31808"/>
    <w:rsid w:val="00F32B6E"/>
    <w:rsid w:val="00F3350F"/>
    <w:rsid w:val="00F36222"/>
    <w:rsid w:val="00F40D1D"/>
    <w:rsid w:val="00F41E0D"/>
    <w:rsid w:val="00F51E6A"/>
    <w:rsid w:val="00F52256"/>
    <w:rsid w:val="00F55EC3"/>
    <w:rsid w:val="00F575D8"/>
    <w:rsid w:val="00F60D95"/>
    <w:rsid w:val="00F622F3"/>
    <w:rsid w:val="00F6715F"/>
    <w:rsid w:val="00F701EA"/>
    <w:rsid w:val="00F85D18"/>
    <w:rsid w:val="00F910CC"/>
    <w:rsid w:val="00F96434"/>
    <w:rsid w:val="00F96A4F"/>
    <w:rsid w:val="00FA0D6A"/>
    <w:rsid w:val="00FA3BAB"/>
    <w:rsid w:val="00FA57FC"/>
    <w:rsid w:val="00FB112C"/>
    <w:rsid w:val="00FB465B"/>
    <w:rsid w:val="00FC0BBE"/>
    <w:rsid w:val="00FC0EB4"/>
    <w:rsid w:val="00FC1BCE"/>
    <w:rsid w:val="00FC2E36"/>
    <w:rsid w:val="00FC38CB"/>
    <w:rsid w:val="00FC4C67"/>
    <w:rsid w:val="00FC692D"/>
    <w:rsid w:val="00FC6B3E"/>
    <w:rsid w:val="00FD0CE5"/>
    <w:rsid w:val="00FD3D93"/>
    <w:rsid w:val="00FF05EA"/>
    <w:rsid w:val="00FF13B2"/>
    <w:rsid w:val="00FF1CB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914B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4B51"/>
  </w:style>
  <w:style w:type="paragraph" w:styleId="Footer">
    <w:name w:val="footer"/>
    <w:basedOn w:val="Normal"/>
    <w:link w:val="FooterChar"/>
    <w:uiPriority w:val="99"/>
    <w:unhideWhenUsed/>
    <w:rsid w:val="00914B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4B51"/>
  </w:style>
  <w:style w:type="character" w:customStyle="1" w:styleId="cf01">
    <w:name w:val="cf01"/>
    <w:basedOn w:val="DefaultParagraphFont"/>
    <w:rsid w:val="007B1360"/>
    <w:rPr>
      <w:rFonts w:ascii="Segoe UI" w:hAnsi="Segoe UI" w:cs="Segoe UI" w:hint="default"/>
      <w:color w:val="333333"/>
      <w:sz w:val="18"/>
      <w:szCs w:val="18"/>
    </w:rPr>
  </w:style>
  <w:style w:type="character" w:customStyle="1" w:styleId="cf11">
    <w:name w:val="cf11"/>
    <w:basedOn w:val="DefaultParagraphFont"/>
    <w:rsid w:val="007B1360"/>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7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2.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11129</Words>
  <Characters>6344</Characters>
  <Application>Microsoft Office Word</Application>
  <DocSecurity>0</DocSecurity>
  <Lines>52</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Inga Jermoloviča</cp:lastModifiedBy>
  <cp:revision>3</cp:revision>
  <cp:lastPrinted>2022-05-24T05:55:00Z</cp:lastPrinted>
  <dcterms:created xsi:type="dcterms:W3CDTF">2023-08-28T08:14:00Z</dcterms:created>
  <dcterms:modified xsi:type="dcterms:W3CDTF">2023-08-28T08:15:00Z</dcterms:modified>
</cp:coreProperties>
</file>