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4FA44" w14:textId="77777777" w:rsidR="007D3FFB" w:rsidRDefault="00C84127" w:rsidP="00217701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</w:p>
    <w:p w14:paraId="4A9FC8E1" w14:textId="0B7C0FEC" w:rsidR="007D3FFB" w:rsidRDefault="00227CA8" w:rsidP="007D3FFB">
      <w:pPr>
        <w:tabs>
          <w:tab w:val="left" w:pos="709"/>
          <w:tab w:val="left" w:pos="1559"/>
          <w:tab w:val="left" w:pos="2268"/>
          <w:tab w:val="left" w:pos="2977"/>
          <w:tab w:val="left" w:pos="3686"/>
          <w:tab w:val="left" w:pos="4394"/>
          <w:tab w:val="right" w:pos="8789"/>
        </w:tabs>
        <w:spacing w:before="100" w:after="100" w:line="240" w:lineRule="auto"/>
        <w:jc w:val="both"/>
        <w:rPr>
          <w:rFonts w:ascii="Arial" w:eastAsia="Batang" w:hAnsi="Arial" w:cs="Times New Roman"/>
          <w:bCs/>
          <w:sz w:val="20"/>
          <w:szCs w:val="20"/>
          <w:lang w:eastAsia="en-GB"/>
        </w:rPr>
      </w:pPr>
      <w:r w:rsidRPr="007D3FFB">
        <w:rPr>
          <w:rFonts w:ascii="Arial" w:eastAsia="Batang" w:hAnsi="Arial" w:cs="Times New Roman"/>
          <w:bCs/>
          <w:sz w:val="20"/>
          <w:szCs w:val="20"/>
          <w:lang w:eastAsia="en-GB"/>
        </w:rPr>
        <w:t>In the High Court of Justice</w:t>
      </w:r>
    </w:p>
    <w:p w14:paraId="317B9931" w14:textId="2FB90AA9" w:rsidR="007D3FFB" w:rsidRDefault="00227CA8" w:rsidP="007D3FFB">
      <w:pPr>
        <w:tabs>
          <w:tab w:val="left" w:pos="709"/>
          <w:tab w:val="left" w:pos="1559"/>
          <w:tab w:val="left" w:pos="2268"/>
          <w:tab w:val="left" w:pos="2977"/>
          <w:tab w:val="left" w:pos="3686"/>
          <w:tab w:val="left" w:pos="4394"/>
          <w:tab w:val="right" w:pos="8789"/>
        </w:tabs>
        <w:spacing w:before="100" w:after="100" w:line="240" w:lineRule="auto"/>
        <w:jc w:val="both"/>
        <w:rPr>
          <w:rFonts w:ascii="Arial" w:eastAsia="Batang" w:hAnsi="Arial" w:cs="Times New Roman"/>
          <w:bCs/>
          <w:sz w:val="20"/>
          <w:szCs w:val="20"/>
          <w:lang w:eastAsia="en-GB"/>
        </w:rPr>
      </w:pPr>
      <w:r>
        <w:rPr>
          <w:rFonts w:ascii="Arial" w:eastAsia="Batang" w:hAnsi="Arial" w:cs="Times New Roman"/>
          <w:bCs/>
          <w:sz w:val="20"/>
          <w:szCs w:val="20"/>
          <w:lang w:eastAsia="en-GB"/>
        </w:rPr>
        <w:t>Business and Property Courts of England and Wales</w:t>
      </w:r>
    </w:p>
    <w:p w14:paraId="6DB0B913" w14:textId="1930FC56" w:rsidR="007D3FFB" w:rsidRDefault="00227CA8" w:rsidP="007D3FFB">
      <w:pPr>
        <w:tabs>
          <w:tab w:val="left" w:pos="709"/>
          <w:tab w:val="left" w:pos="1559"/>
          <w:tab w:val="left" w:pos="2268"/>
          <w:tab w:val="left" w:pos="2977"/>
          <w:tab w:val="left" w:pos="3686"/>
          <w:tab w:val="left" w:pos="4394"/>
          <w:tab w:val="right" w:pos="8789"/>
        </w:tabs>
        <w:spacing w:before="100" w:after="100" w:line="240" w:lineRule="auto"/>
        <w:jc w:val="both"/>
        <w:rPr>
          <w:rFonts w:ascii="Arial" w:eastAsia="Batang" w:hAnsi="Arial" w:cs="Times New Roman"/>
          <w:bCs/>
          <w:sz w:val="20"/>
          <w:szCs w:val="20"/>
          <w:lang w:eastAsia="en-GB"/>
        </w:rPr>
      </w:pPr>
      <w:r>
        <w:rPr>
          <w:rFonts w:ascii="Arial" w:eastAsia="Batang" w:hAnsi="Arial" w:cs="Times New Roman"/>
          <w:bCs/>
          <w:sz w:val="20"/>
          <w:szCs w:val="20"/>
          <w:lang w:eastAsia="en-GB"/>
        </w:rPr>
        <w:t>Companies Court (</w:t>
      </w:r>
      <w:proofErr w:type="spellStart"/>
      <w:r>
        <w:rPr>
          <w:rFonts w:ascii="Arial" w:eastAsia="Batang" w:hAnsi="Arial" w:cs="Times New Roman"/>
          <w:bCs/>
          <w:sz w:val="20"/>
          <w:szCs w:val="20"/>
          <w:lang w:eastAsia="en-GB"/>
        </w:rPr>
        <w:t>Ch</w:t>
      </w:r>
      <w:proofErr w:type="spellEnd"/>
      <w:r>
        <w:rPr>
          <w:rFonts w:ascii="Arial" w:eastAsia="Batang" w:hAnsi="Arial" w:cs="Times New Roman"/>
          <w:bCs/>
          <w:sz w:val="20"/>
          <w:szCs w:val="20"/>
          <w:lang w:eastAsia="en-GB"/>
        </w:rPr>
        <w:t xml:space="preserve"> D)</w:t>
      </w:r>
    </w:p>
    <w:p w14:paraId="7AA5ECBF" w14:textId="574B8975" w:rsidR="007D3FFB" w:rsidRPr="007D3FFB" w:rsidRDefault="00227CA8" w:rsidP="007D3FFB">
      <w:pPr>
        <w:tabs>
          <w:tab w:val="left" w:pos="709"/>
          <w:tab w:val="left" w:pos="1559"/>
          <w:tab w:val="left" w:pos="2268"/>
          <w:tab w:val="left" w:pos="2977"/>
          <w:tab w:val="left" w:pos="3686"/>
          <w:tab w:val="left" w:pos="4394"/>
          <w:tab w:val="right" w:pos="8789"/>
        </w:tabs>
        <w:spacing w:before="100" w:after="100" w:line="240" w:lineRule="auto"/>
        <w:jc w:val="both"/>
        <w:rPr>
          <w:rFonts w:ascii="Arial" w:eastAsia="Batang" w:hAnsi="Arial" w:cs="Times New Roman"/>
          <w:bCs/>
          <w:sz w:val="20"/>
          <w:szCs w:val="20"/>
          <w:lang w:eastAsia="en-GB"/>
        </w:rPr>
      </w:pPr>
      <w:r w:rsidRPr="007D3FFB">
        <w:rPr>
          <w:rFonts w:ascii="Arial" w:eastAsia="Batang" w:hAnsi="Arial" w:cs="Times New Roman"/>
          <w:bCs/>
          <w:sz w:val="20"/>
          <w:szCs w:val="20"/>
          <w:lang w:eastAsia="en-GB"/>
        </w:rPr>
        <w:t>Claim N</w:t>
      </w:r>
      <w:r w:rsidRPr="000A17A7">
        <w:rPr>
          <w:rFonts w:ascii="Arial" w:eastAsia="Batang" w:hAnsi="Arial" w:cs="Times New Roman"/>
          <w:bCs/>
          <w:sz w:val="20"/>
          <w:szCs w:val="20"/>
          <w:lang w:eastAsia="en-GB"/>
        </w:rPr>
        <w:t>o. CR-2018-007713</w:t>
      </w:r>
    </w:p>
    <w:p w14:paraId="6E31DC2A" w14:textId="77777777" w:rsidR="007D3FFB" w:rsidRDefault="00C84127" w:rsidP="00217701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6B0FC59C" w14:textId="0EBD7219" w:rsidR="00936390" w:rsidRPr="00915521" w:rsidRDefault="00227CA8" w:rsidP="00217701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15521">
        <w:rPr>
          <w:rFonts w:ascii="Arial" w:hAnsi="Arial" w:cs="Arial"/>
          <w:b/>
          <w:color w:val="auto"/>
          <w:sz w:val="20"/>
          <w:szCs w:val="20"/>
        </w:rPr>
        <w:t xml:space="preserve">IN THE MATTER OF </w:t>
      </w:r>
      <w:r>
        <w:rPr>
          <w:rFonts w:ascii="Arial" w:hAnsi="Arial" w:cs="Arial"/>
          <w:b/>
          <w:color w:val="auto"/>
          <w:sz w:val="20"/>
          <w:szCs w:val="20"/>
        </w:rPr>
        <w:t>LEGAL AND GENERAL ASSURANCE SOCIETY LIMITED</w:t>
      </w:r>
    </w:p>
    <w:p w14:paraId="571CE3B6" w14:textId="77777777" w:rsidR="00936390" w:rsidRPr="00915521" w:rsidRDefault="00227CA8" w:rsidP="00217701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915521">
        <w:rPr>
          <w:rFonts w:ascii="Arial" w:hAnsi="Arial" w:cs="Arial"/>
          <w:b/>
          <w:color w:val="auto"/>
          <w:sz w:val="20"/>
          <w:szCs w:val="20"/>
        </w:rPr>
        <w:t>and</w:t>
      </w:r>
      <w:proofErr w:type="gramEnd"/>
    </w:p>
    <w:p w14:paraId="0A58A8A5" w14:textId="465E13A9" w:rsidR="00936390" w:rsidRPr="00915521" w:rsidRDefault="00227CA8" w:rsidP="00217701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IN THE MATTER OF REASSURE LIMITED</w:t>
      </w:r>
    </w:p>
    <w:p w14:paraId="064A6829" w14:textId="77777777" w:rsidR="001E4406" w:rsidRPr="00915521" w:rsidRDefault="00227CA8" w:rsidP="00217701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915521">
        <w:rPr>
          <w:rFonts w:ascii="Arial" w:hAnsi="Arial" w:cs="Arial"/>
          <w:b/>
          <w:color w:val="auto"/>
          <w:sz w:val="20"/>
          <w:szCs w:val="20"/>
        </w:rPr>
        <w:t>and</w:t>
      </w:r>
      <w:proofErr w:type="gramEnd"/>
    </w:p>
    <w:p w14:paraId="6F8A926E" w14:textId="77777777" w:rsidR="001E4406" w:rsidRPr="00915521" w:rsidRDefault="00227CA8" w:rsidP="00217701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15521">
        <w:rPr>
          <w:rFonts w:ascii="Arial" w:hAnsi="Arial" w:cs="Arial"/>
          <w:b/>
          <w:color w:val="auto"/>
          <w:sz w:val="20"/>
          <w:szCs w:val="20"/>
        </w:rPr>
        <w:t>IN THE MATTER OF PART VII OF THE FINANCIAL SERVICES AND MARKETS ACT 2000</w:t>
      </w:r>
    </w:p>
    <w:p w14:paraId="3220863D" w14:textId="77777777" w:rsidR="001E4406" w:rsidRPr="00915521" w:rsidRDefault="00C84127" w:rsidP="0037330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D5880A4" w14:textId="77777777" w:rsidR="00D23E51" w:rsidRDefault="00C84127" w:rsidP="006A6D09">
      <w:pPr>
        <w:pStyle w:val="BodyText"/>
        <w:ind w:left="0"/>
        <w:rPr>
          <w:rFonts w:eastAsiaTheme="minorHAnsi"/>
          <w:sz w:val="20"/>
          <w:szCs w:val="20"/>
          <w:lang w:val="en-GB"/>
        </w:rPr>
      </w:pPr>
    </w:p>
    <w:p w14:paraId="24CAAACD" w14:textId="0225DDB3" w:rsidR="006A6D09" w:rsidRPr="00915521" w:rsidRDefault="00227CA8" w:rsidP="006A6D09">
      <w:pPr>
        <w:pStyle w:val="BodyText"/>
        <w:ind w:left="0"/>
        <w:rPr>
          <w:rFonts w:eastAsiaTheme="minorHAnsi"/>
          <w:sz w:val="20"/>
          <w:szCs w:val="20"/>
          <w:lang w:val="en-GB"/>
        </w:rPr>
      </w:pPr>
      <w:proofErr w:type="gramStart"/>
      <w:r w:rsidRPr="00915521">
        <w:rPr>
          <w:rFonts w:eastAsiaTheme="minorHAnsi"/>
          <w:sz w:val="20"/>
          <w:szCs w:val="20"/>
          <w:lang w:val="en-GB"/>
        </w:rPr>
        <w:t>NOTICE IS HEREBY GIVEN in accordance with section 114</w:t>
      </w:r>
      <w:r>
        <w:rPr>
          <w:rFonts w:eastAsiaTheme="minorHAnsi"/>
          <w:sz w:val="20"/>
          <w:szCs w:val="20"/>
          <w:lang w:val="en-GB"/>
        </w:rPr>
        <w:t>(2)</w:t>
      </w:r>
      <w:r w:rsidRPr="00915521">
        <w:rPr>
          <w:rFonts w:eastAsiaTheme="minorHAnsi"/>
          <w:sz w:val="20"/>
          <w:szCs w:val="20"/>
          <w:lang w:val="en-GB"/>
        </w:rPr>
        <w:t xml:space="preserve"> of the Financial Services and Markets Act 2000 ("</w:t>
      </w:r>
      <w:r w:rsidRPr="00B94B16">
        <w:rPr>
          <w:rFonts w:eastAsiaTheme="minorHAnsi"/>
          <w:b/>
          <w:sz w:val="20"/>
          <w:szCs w:val="20"/>
          <w:lang w:val="en-GB"/>
        </w:rPr>
        <w:t>FSMA</w:t>
      </w:r>
      <w:r w:rsidRPr="00915521">
        <w:rPr>
          <w:rFonts w:eastAsiaTheme="minorHAnsi"/>
          <w:sz w:val="20"/>
          <w:szCs w:val="20"/>
          <w:lang w:val="en-GB"/>
        </w:rPr>
        <w:t xml:space="preserve">") that, on </w:t>
      </w:r>
      <w:r>
        <w:rPr>
          <w:rFonts w:eastAsiaTheme="minorHAnsi"/>
          <w:sz w:val="20"/>
          <w:szCs w:val="20"/>
          <w:lang w:val="en-GB"/>
        </w:rPr>
        <w:t>2</w:t>
      </w:r>
      <w:r w:rsidR="000147E4">
        <w:rPr>
          <w:rFonts w:eastAsiaTheme="minorHAnsi"/>
          <w:sz w:val="20"/>
          <w:szCs w:val="20"/>
          <w:lang w:val="en-GB"/>
        </w:rPr>
        <w:t>1</w:t>
      </w:r>
      <w:r>
        <w:rPr>
          <w:rFonts w:eastAsiaTheme="minorHAnsi"/>
          <w:sz w:val="20"/>
          <w:szCs w:val="20"/>
          <w:lang w:val="en-GB"/>
        </w:rPr>
        <w:t xml:space="preserve"> August 2020</w:t>
      </w:r>
      <w:r w:rsidRPr="00915521">
        <w:rPr>
          <w:rFonts w:eastAsiaTheme="minorHAnsi"/>
          <w:sz w:val="20"/>
          <w:szCs w:val="20"/>
          <w:lang w:val="en-GB"/>
        </w:rPr>
        <w:t xml:space="preserve">, an order was </w:t>
      </w:r>
      <w:r w:rsidR="000147E4">
        <w:rPr>
          <w:rFonts w:eastAsiaTheme="minorHAnsi"/>
          <w:sz w:val="20"/>
          <w:szCs w:val="20"/>
          <w:lang w:val="en-GB"/>
        </w:rPr>
        <w:t>issued</w:t>
      </w:r>
      <w:r w:rsidRPr="00915521">
        <w:rPr>
          <w:rFonts w:eastAsiaTheme="minorHAnsi"/>
          <w:sz w:val="20"/>
          <w:szCs w:val="20"/>
          <w:lang w:val="en-GB"/>
        </w:rPr>
        <w:t xml:space="preserve"> by </w:t>
      </w:r>
      <w:r>
        <w:rPr>
          <w:rFonts w:eastAsiaTheme="minorHAnsi"/>
          <w:sz w:val="20"/>
          <w:szCs w:val="20"/>
          <w:lang w:val="en-GB"/>
        </w:rPr>
        <w:t xml:space="preserve">the High Court of Justice in London under sections 111 and </w:t>
      </w:r>
      <w:r w:rsidRPr="00915521">
        <w:rPr>
          <w:rFonts w:eastAsiaTheme="minorHAnsi"/>
          <w:sz w:val="20"/>
          <w:szCs w:val="20"/>
          <w:lang w:val="en-GB"/>
        </w:rPr>
        <w:t>112 of FSMA sanctioning a scheme (the "</w:t>
      </w:r>
      <w:r w:rsidRPr="00B94B16">
        <w:rPr>
          <w:rFonts w:eastAsiaTheme="minorHAnsi"/>
          <w:b/>
          <w:sz w:val="20"/>
          <w:szCs w:val="20"/>
          <w:lang w:val="en-GB"/>
        </w:rPr>
        <w:t>Scheme</w:t>
      </w:r>
      <w:r w:rsidRPr="00915521">
        <w:rPr>
          <w:rFonts w:eastAsiaTheme="minorHAnsi"/>
          <w:sz w:val="20"/>
          <w:szCs w:val="20"/>
          <w:lang w:val="en-GB"/>
        </w:rPr>
        <w:t xml:space="preserve">") providing for the transfer to </w:t>
      </w:r>
      <w:r>
        <w:rPr>
          <w:rFonts w:eastAsiaTheme="minorHAnsi"/>
          <w:sz w:val="20"/>
          <w:szCs w:val="20"/>
          <w:lang w:val="en-GB"/>
        </w:rPr>
        <w:t>ReAssure Limited of the</w:t>
      </w:r>
      <w:r w:rsidRPr="00F33D4F">
        <w:rPr>
          <w:rFonts w:eastAsiaTheme="minorHAnsi"/>
          <w:sz w:val="20"/>
          <w:szCs w:val="20"/>
          <w:lang w:val="en-GB"/>
        </w:rPr>
        <w:t xml:space="preserve"> </w:t>
      </w:r>
      <w:r>
        <w:rPr>
          <w:sz w:val="20"/>
          <w:szCs w:val="22"/>
        </w:rPr>
        <w:t xml:space="preserve">traditional insurance-based savings, pensions, life and with-profits businesses </w:t>
      </w:r>
      <w:r w:rsidRPr="00F33D4F">
        <w:rPr>
          <w:rFonts w:eastAsiaTheme="minorHAnsi"/>
          <w:sz w:val="20"/>
          <w:szCs w:val="20"/>
          <w:lang w:val="en-GB"/>
        </w:rPr>
        <w:t>of Legal</w:t>
      </w:r>
      <w:r>
        <w:rPr>
          <w:rFonts w:eastAsiaTheme="minorHAnsi"/>
          <w:sz w:val="20"/>
          <w:szCs w:val="20"/>
          <w:lang w:val="en-GB"/>
        </w:rPr>
        <w:t xml:space="preserve"> and General Assurance Society Limited</w:t>
      </w:r>
      <w:r w:rsidRPr="00915521">
        <w:rPr>
          <w:rFonts w:eastAsiaTheme="minorHAnsi"/>
          <w:sz w:val="20"/>
          <w:szCs w:val="20"/>
          <w:lang w:val="en-GB"/>
        </w:rPr>
        <w:t xml:space="preserve"> and </w:t>
      </w:r>
      <w:r>
        <w:rPr>
          <w:rFonts w:eastAsiaTheme="minorHAnsi"/>
          <w:sz w:val="20"/>
          <w:szCs w:val="20"/>
          <w:lang w:val="en-GB"/>
        </w:rPr>
        <w:t xml:space="preserve">the </w:t>
      </w:r>
      <w:r w:rsidRPr="00915521">
        <w:rPr>
          <w:rFonts w:eastAsiaTheme="minorHAnsi"/>
          <w:sz w:val="20"/>
          <w:szCs w:val="20"/>
          <w:lang w:val="en-GB"/>
        </w:rPr>
        <w:t xml:space="preserve">making </w:t>
      </w:r>
      <w:r>
        <w:rPr>
          <w:rFonts w:eastAsiaTheme="minorHAnsi"/>
          <w:sz w:val="20"/>
          <w:szCs w:val="20"/>
          <w:lang w:val="en-GB"/>
        </w:rPr>
        <w:t xml:space="preserve">of </w:t>
      </w:r>
      <w:r w:rsidRPr="00915521">
        <w:rPr>
          <w:rFonts w:eastAsiaTheme="minorHAnsi"/>
          <w:sz w:val="20"/>
          <w:szCs w:val="20"/>
          <w:lang w:val="en-GB"/>
        </w:rPr>
        <w:t>ancillary provision</w:t>
      </w:r>
      <w:r>
        <w:rPr>
          <w:rFonts w:eastAsiaTheme="minorHAnsi"/>
          <w:sz w:val="20"/>
          <w:szCs w:val="20"/>
          <w:lang w:val="en-GB"/>
        </w:rPr>
        <w:t>s</w:t>
      </w:r>
      <w:r w:rsidRPr="00915521">
        <w:rPr>
          <w:rFonts w:eastAsiaTheme="minorHAnsi"/>
          <w:sz w:val="20"/>
          <w:szCs w:val="20"/>
          <w:lang w:val="en-GB"/>
        </w:rPr>
        <w:t xml:space="preserve"> in connection with the Scheme pursuant to section 112</w:t>
      </w:r>
      <w:r>
        <w:rPr>
          <w:rFonts w:eastAsiaTheme="minorHAnsi"/>
          <w:sz w:val="20"/>
          <w:szCs w:val="20"/>
          <w:lang w:val="en-GB"/>
        </w:rPr>
        <w:t>(1)</w:t>
      </w:r>
      <w:r w:rsidRPr="00915521">
        <w:rPr>
          <w:rFonts w:eastAsiaTheme="minorHAnsi"/>
          <w:sz w:val="20"/>
          <w:szCs w:val="20"/>
          <w:lang w:val="en-GB"/>
        </w:rPr>
        <w:t xml:space="preserve"> of FSMA.</w:t>
      </w:r>
      <w:proofErr w:type="gramEnd"/>
      <w:r w:rsidRPr="00915521">
        <w:rPr>
          <w:rFonts w:eastAsiaTheme="minorHAnsi"/>
          <w:sz w:val="20"/>
          <w:szCs w:val="20"/>
          <w:lang w:val="en-GB"/>
        </w:rPr>
        <w:t xml:space="preserve"> The transfer bec</w:t>
      </w:r>
      <w:r>
        <w:rPr>
          <w:rFonts w:eastAsiaTheme="minorHAnsi"/>
          <w:sz w:val="20"/>
          <w:szCs w:val="20"/>
          <w:lang w:val="en-GB"/>
        </w:rPr>
        <w:t>a</w:t>
      </w:r>
      <w:r w:rsidRPr="00915521">
        <w:rPr>
          <w:rFonts w:eastAsiaTheme="minorHAnsi"/>
          <w:sz w:val="20"/>
          <w:szCs w:val="20"/>
          <w:lang w:val="en-GB"/>
        </w:rPr>
        <w:t xml:space="preserve">me effective at </w:t>
      </w:r>
      <w:r>
        <w:rPr>
          <w:rFonts w:eastAsiaTheme="minorHAnsi"/>
          <w:sz w:val="20"/>
          <w:szCs w:val="20"/>
          <w:lang w:val="en-GB"/>
        </w:rPr>
        <w:t>00.01 a.m. (London time)</w:t>
      </w:r>
      <w:r w:rsidRPr="00E40A5A">
        <w:rPr>
          <w:rFonts w:eastAsiaTheme="minorHAnsi"/>
          <w:sz w:val="20"/>
          <w:szCs w:val="20"/>
          <w:lang w:val="en-GB"/>
        </w:rPr>
        <w:t xml:space="preserve"> on </w:t>
      </w:r>
      <w:r>
        <w:rPr>
          <w:rFonts w:eastAsiaTheme="minorHAnsi"/>
          <w:sz w:val="20"/>
          <w:szCs w:val="20"/>
          <w:lang w:val="en-GB"/>
        </w:rPr>
        <w:t>7 September 2020</w:t>
      </w:r>
      <w:r w:rsidRPr="00915521">
        <w:rPr>
          <w:rFonts w:eastAsiaTheme="minorHAnsi"/>
          <w:sz w:val="20"/>
          <w:szCs w:val="20"/>
          <w:lang w:val="en-GB"/>
        </w:rPr>
        <w:t>.</w:t>
      </w:r>
    </w:p>
    <w:p w14:paraId="0E074FBF" w14:textId="77777777" w:rsidR="006A6D09" w:rsidRPr="00915521" w:rsidRDefault="00C84127" w:rsidP="006A6D09">
      <w:pPr>
        <w:pStyle w:val="BodyText"/>
        <w:ind w:left="0"/>
        <w:rPr>
          <w:rFonts w:eastAsiaTheme="minorHAnsi"/>
          <w:sz w:val="20"/>
          <w:szCs w:val="20"/>
          <w:lang w:val="en-GB"/>
        </w:rPr>
      </w:pPr>
    </w:p>
    <w:p w14:paraId="498AFA9F" w14:textId="7264C5CB" w:rsidR="006A6D09" w:rsidRPr="00915521" w:rsidRDefault="00227CA8" w:rsidP="006A6D09">
      <w:pPr>
        <w:pStyle w:val="BodyText"/>
        <w:ind w:left="0"/>
        <w:rPr>
          <w:rFonts w:eastAsiaTheme="minorHAnsi"/>
          <w:sz w:val="20"/>
          <w:szCs w:val="20"/>
          <w:lang w:val="en-GB"/>
        </w:rPr>
      </w:pPr>
      <w:proofErr w:type="gramStart"/>
      <w:r w:rsidRPr="00915521">
        <w:rPr>
          <w:rFonts w:eastAsiaTheme="minorHAnsi"/>
          <w:sz w:val="20"/>
          <w:szCs w:val="20"/>
          <w:lang w:val="en-GB"/>
        </w:rPr>
        <w:t xml:space="preserve">Where, in relation to any policy comprised in the business transferred pursuant to the Scheme, the </w:t>
      </w:r>
      <w:r>
        <w:rPr>
          <w:rFonts w:eastAsiaTheme="minorHAnsi"/>
          <w:sz w:val="20"/>
          <w:szCs w:val="20"/>
          <w:lang w:val="en-GB"/>
        </w:rPr>
        <w:t>s</w:t>
      </w:r>
      <w:r w:rsidRPr="00915521">
        <w:rPr>
          <w:rFonts w:eastAsiaTheme="minorHAnsi"/>
          <w:sz w:val="20"/>
          <w:szCs w:val="20"/>
          <w:lang w:val="en-GB"/>
        </w:rPr>
        <w:t xml:space="preserve">tate of the commitment is an EEA </w:t>
      </w:r>
      <w:r>
        <w:rPr>
          <w:rFonts w:eastAsiaTheme="minorHAnsi"/>
          <w:sz w:val="20"/>
          <w:szCs w:val="20"/>
          <w:lang w:val="en-GB"/>
        </w:rPr>
        <w:t>member s</w:t>
      </w:r>
      <w:r w:rsidR="006F5A3E">
        <w:rPr>
          <w:rFonts w:eastAsiaTheme="minorHAnsi"/>
          <w:sz w:val="20"/>
          <w:szCs w:val="20"/>
          <w:lang w:val="en-GB"/>
        </w:rPr>
        <w:t>tate</w:t>
      </w:r>
      <w:r w:rsidRPr="00915521">
        <w:rPr>
          <w:rFonts w:eastAsiaTheme="minorHAnsi"/>
          <w:sz w:val="20"/>
          <w:szCs w:val="20"/>
          <w:lang w:val="en-GB"/>
        </w:rPr>
        <w:t xml:space="preserve"> and the policyholder has a right to cancel the policy as a result of the Scheme under the law of </w:t>
      </w:r>
      <w:r>
        <w:rPr>
          <w:rFonts w:eastAsiaTheme="minorHAnsi"/>
          <w:sz w:val="20"/>
          <w:szCs w:val="20"/>
          <w:lang w:val="en-GB"/>
        </w:rPr>
        <w:t>that</w:t>
      </w:r>
      <w:r w:rsidRPr="00915521">
        <w:rPr>
          <w:rFonts w:eastAsiaTheme="minorHAnsi"/>
          <w:sz w:val="20"/>
          <w:szCs w:val="20"/>
          <w:lang w:val="en-GB"/>
        </w:rPr>
        <w:t xml:space="preserve"> EEA </w:t>
      </w:r>
      <w:r>
        <w:rPr>
          <w:rFonts w:eastAsiaTheme="minorHAnsi"/>
          <w:sz w:val="20"/>
          <w:szCs w:val="20"/>
          <w:lang w:val="en-GB"/>
        </w:rPr>
        <w:t>member s</w:t>
      </w:r>
      <w:r w:rsidRPr="00915521">
        <w:rPr>
          <w:rFonts w:eastAsiaTheme="minorHAnsi"/>
          <w:sz w:val="20"/>
          <w:szCs w:val="20"/>
          <w:lang w:val="en-GB"/>
        </w:rPr>
        <w:t>tate, that right may be exercised during the period of 21 days following the date of publication of this notice (or where applicable, during such longer period as may be al</w:t>
      </w:r>
      <w:r>
        <w:rPr>
          <w:rFonts w:eastAsiaTheme="minorHAnsi"/>
          <w:sz w:val="20"/>
          <w:szCs w:val="20"/>
          <w:lang w:val="en-GB"/>
        </w:rPr>
        <w:t>lowed under the law of the EEA member state that is the s</w:t>
      </w:r>
      <w:r w:rsidRPr="00915521">
        <w:rPr>
          <w:rFonts w:eastAsiaTheme="minorHAnsi"/>
          <w:sz w:val="20"/>
          <w:szCs w:val="20"/>
          <w:lang w:val="en-GB"/>
        </w:rPr>
        <w:t>tate of the commitment).</w:t>
      </w:r>
      <w:proofErr w:type="gramEnd"/>
    </w:p>
    <w:p w14:paraId="73BD945A" w14:textId="77777777" w:rsidR="006A6D09" w:rsidRPr="00915521" w:rsidRDefault="00C84127" w:rsidP="006A6D09">
      <w:pPr>
        <w:pStyle w:val="BodyText"/>
        <w:ind w:left="0"/>
        <w:rPr>
          <w:rFonts w:eastAsiaTheme="minorHAnsi"/>
          <w:sz w:val="20"/>
          <w:szCs w:val="20"/>
          <w:lang w:val="en-GB"/>
        </w:rPr>
      </w:pPr>
    </w:p>
    <w:p w14:paraId="39F3902F" w14:textId="77777777" w:rsidR="00D23E51" w:rsidRDefault="00C84127" w:rsidP="006A6D09">
      <w:pPr>
        <w:pStyle w:val="BodyText"/>
        <w:ind w:left="0"/>
        <w:rPr>
          <w:sz w:val="20"/>
          <w:szCs w:val="20"/>
        </w:rPr>
      </w:pPr>
    </w:p>
    <w:p w14:paraId="4AF144CB" w14:textId="6DFE7D9F" w:rsidR="006A6D09" w:rsidRPr="00915521" w:rsidRDefault="00227CA8" w:rsidP="006A6D09">
      <w:pPr>
        <w:pStyle w:val="BodyText"/>
        <w:ind w:left="0"/>
        <w:rPr>
          <w:sz w:val="20"/>
          <w:szCs w:val="20"/>
        </w:rPr>
      </w:pPr>
      <w:r w:rsidRPr="00915521">
        <w:rPr>
          <w:sz w:val="20"/>
          <w:szCs w:val="20"/>
        </w:rPr>
        <w:t xml:space="preserve">Dated </w:t>
      </w:r>
      <w:r w:rsidR="00862E0B">
        <w:rPr>
          <w:sz w:val="20"/>
          <w:szCs w:val="20"/>
        </w:rPr>
        <w:t>14</w:t>
      </w:r>
      <w:r>
        <w:rPr>
          <w:sz w:val="20"/>
          <w:szCs w:val="20"/>
        </w:rPr>
        <w:t xml:space="preserve"> September 2020</w:t>
      </w:r>
    </w:p>
    <w:p w14:paraId="24E90294" w14:textId="77777777" w:rsidR="006A6D09" w:rsidRPr="00915521" w:rsidRDefault="00C84127" w:rsidP="006A6D09">
      <w:pPr>
        <w:pStyle w:val="BodyText"/>
        <w:ind w:left="0"/>
        <w:rPr>
          <w:sz w:val="20"/>
          <w:szCs w:val="20"/>
        </w:rPr>
      </w:pPr>
    </w:p>
    <w:p w14:paraId="067941D7" w14:textId="77777777" w:rsidR="00E03D86" w:rsidRDefault="00C84127" w:rsidP="00E40A5A">
      <w:pPr>
        <w:pStyle w:val="Default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4FEF2ADF" w14:textId="074BA3C4" w:rsidR="00D23E51" w:rsidRDefault="00227CA8" w:rsidP="00E40A5A">
      <w:pPr>
        <w:pStyle w:val="Default"/>
        <w:rPr>
          <w:rFonts w:ascii="Arial" w:eastAsia="Arial" w:hAnsi="Arial" w:cs="Arial"/>
          <w:color w:val="auto"/>
          <w:sz w:val="20"/>
          <w:szCs w:val="20"/>
          <w:lang w:val="en-US"/>
        </w:rPr>
      </w:pPr>
      <w:r w:rsidRPr="008144D8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REASSURE LIMITED, Windsor House, Telford Centre, </w:t>
      </w:r>
      <w:proofErr w:type="spellStart"/>
      <w:r w:rsidRPr="008144D8">
        <w:rPr>
          <w:rFonts w:ascii="Arial" w:eastAsia="Arial" w:hAnsi="Arial" w:cs="Arial"/>
          <w:color w:val="auto"/>
          <w:sz w:val="20"/>
          <w:szCs w:val="20"/>
          <w:lang w:val="en-US"/>
        </w:rPr>
        <w:t>Shropshire</w:t>
      </w:r>
      <w:proofErr w:type="spellEnd"/>
      <w:r w:rsidRPr="008144D8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TF3 4NB</w:t>
      </w:r>
    </w:p>
    <w:p w14:paraId="1808B870" w14:textId="77777777" w:rsidR="008144D8" w:rsidRDefault="00C84127" w:rsidP="00E40A5A">
      <w:pPr>
        <w:pStyle w:val="Default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37B76C89" w14:textId="356B54D8" w:rsidR="00606D65" w:rsidRDefault="00227CA8" w:rsidP="00E40A5A">
      <w:pPr>
        <w:pStyle w:val="Default"/>
        <w:rPr>
          <w:rFonts w:ascii="Arial" w:eastAsia="Arial" w:hAnsi="Arial" w:cs="Arial"/>
          <w:color w:val="auto"/>
          <w:sz w:val="20"/>
          <w:szCs w:val="20"/>
          <w:lang w:val="en-US"/>
        </w:rPr>
      </w:pPr>
      <w:r w:rsidRPr="00606D65">
        <w:rPr>
          <w:rFonts w:ascii="Arial" w:eastAsia="Arial" w:hAnsi="Arial" w:cs="Arial"/>
          <w:color w:val="auto"/>
          <w:sz w:val="20"/>
          <w:szCs w:val="20"/>
          <w:lang w:val="en-US"/>
        </w:rPr>
        <w:t>LEGAL AND GENERAL ASSURANCE SOCIETY LIMITED</w:t>
      </w:r>
      <w:r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, One Coleman Street, London EC2R 5AA </w:t>
      </w:r>
    </w:p>
    <w:p w14:paraId="3A04C488" w14:textId="77777777" w:rsidR="00606D65" w:rsidRDefault="00C84127" w:rsidP="00E40A5A">
      <w:pPr>
        <w:pStyle w:val="Default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18ADFB5B" w14:textId="1FC98835" w:rsidR="00606D65" w:rsidRDefault="00C84127" w:rsidP="00E40A5A">
      <w:pPr>
        <w:pStyle w:val="Default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74FF34E2" w14:textId="77777777" w:rsidR="00606D65" w:rsidRDefault="00C84127" w:rsidP="00E40A5A">
      <w:pPr>
        <w:pStyle w:val="Default"/>
        <w:rPr>
          <w:rFonts w:ascii="Arial" w:eastAsia="Arial" w:hAnsi="Arial" w:cs="Arial"/>
          <w:color w:val="auto"/>
          <w:sz w:val="20"/>
          <w:szCs w:val="20"/>
          <w:lang w:val="en-US"/>
        </w:rPr>
      </w:pPr>
    </w:p>
    <w:p w14:paraId="703CC418" w14:textId="77777777" w:rsidR="00915521" w:rsidRPr="00915521" w:rsidRDefault="00C84127">
      <w:pPr>
        <w:pStyle w:val="BodyText"/>
        <w:ind w:left="0"/>
        <w:rPr>
          <w:sz w:val="20"/>
          <w:szCs w:val="20"/>
          <w:lang w:val="en-GB"/>
        </w:rPr>
      </w:pPr>
    </w:p>
    <w:sectPr w:rsidR="00915521" w:rsidRPr="00915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0E241" w14:textId="77777777" w:rsidR="00C84127" w:rsidRDefault="00C84127">
      <w:pPr>
        <w:spacing w:after="0" w:line="240" w:lineRule="auto"/>
      </w:pPr>
      <w:r>
        <w:separator/>
      </w:r>
    </w:p>
  </w:endnote>
  <w:endnote w:type="continuationSeparator" w:id="0">
    <w:p w14:paraId="6769E74B" w14:textId="77777777" w:rsidR="00C84127" w:rsidRDefault="00C8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8F3BB" w14:textId="3B22A9F8" w:rsidR="00BC3E8E" w:rsidRPr="00A8327C" w:rsidRDefault="00C84127" w:rsidP="00A8327C">
    <w:pPr>
      <w:pStyle w:val="Footer"/>
      <w:tabs>
        <w:tab w:val="clear" w:pos="4513"/>
        <w:tab w:val="clear" w:pos="9026"/>
        <w:tab w:val="right" w:pos="8787"/>
      </w:tabs>
    </w:pPr>
    <w:sdt>
      <w:sdtPr>
        <w:rPr>
          <w:szCs w:val="14"/>
        </w:rPr>
        <w:tag w:val="cciManRef"/>
        <w:id w:val="-2135170325"/>
        <w:lock w:val="sdtLocked"/>
        <w:text/>
      </w:sdtPr>
      <w:sdtEndPr/>
      <w:sdtContent>
        <w:r w:rsidR="00740306">
          <w:rPr>
            <w:szCs w:val="14"/>
          </w:rPr>
          <w:t>11/63763807_4</w:t>
        </w:r>
      </w:sdtContent>
    </w:sdt>
    <w:r w:rsidR="00A8327C">
      <w:rPr>
        <w:szCs w:val="14"/>
      </w:rPr>
      <w:ptab w:relativeTo="margin" w:alignment="right" w:leader="none"/>
    </w:r>
    <w:r w:rsidR="00A8327C">
      <w:fldChar w:fldCharType="begin"/>
    </w:r>
    <w:r w:rsidR="00A8327C">
      <w:rPr>
        <w:rStyle w:val="HeaderChar"/>
        <w:szCs w:val="14"/>
      </w:rPr>
      <w:instrText xml:space="preserve"> PAGE \* MERGEFORMAT </w:instrText>
    </w:r>
    <w:r w:rsidR="00A8327C">
      <w:fldChar w:fldCharType="separate"/>
    </w:r>
    <w:r w:rsidR="00A8327C">
      <w:rPr>
        <w:rStyle w:val="HeaderChar"/>
        <w:noProof/>
        <w:szCs w:val="14"/>
      </w:rPr>
      <w:t>1</w:t>
    </w:r>
    <w:r w:rsidR="00A8327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2E6FE" w14:textId="6FF52D5F" w:rsidR="00BE64AD" w:rsidRPr="00A8327C" w:rsidRDefault="00C84127" w:rsidP="00A8327C">
    <w:pPr>
      <w:pStyle w:val="Footer"/>
      <w:tabs>
        <w:tab w:val="clear" w:pos="4513"/>
        <w:tab w:val="clear" w:pos="9026"/>
        <w:tab w:val="right" w:pos="8787"/>
      </w:tabs>
    </w:pPr>
    <w:sdt>
      <w:sdtPr>
        <w:rPr>
          <w:szCs w:val="14"/>
        </w:rPr>
        <w:tag w:val="cciManRef"/>
        <w:id w:val="1544098434"/>
        <w:lock w:val="sdtLocked"/>
        <w:text/>
      </w:sdtPr>
      <w:sdtEndPr/>
      <w:sdtContent>
        <w:r w:rsidR="00740306">
          <w:rPr>
            <w:szCs w:val="14"/>
          </w:rPr>
          <w:t>11/63763807_4</w:t>
        </w:r>
      </w:sdtContent>
    </w:sdt>
    <w:r w:rsidR="00A8327C">
      <w:rPr>
        <w:szCs w:val="14"/>
      </w:rPr>
      <w:ptab w:relativeTo="margin" w:alignment="right" w:leader="none"/>
    </w:r>
    <w:r w:rsidR="00A8327C">
      <w:fldChar w:fldCharType="begin"/>
    </w:r>
    <w:r w:rsidR="00A8327C">
      <w:rPr>
        <w:rStyle w:val="HeaderChar"/>
        <w:szCs w:val="14"/>
      </w:rPr>
      <w:instrText xml:space="preserve"> PAGE \* MERGEFORMAT </w:instrText>
    </w:r>
    <w:r w:rsidR="00A8327C">
      <w:fldChar w:fldCharType="separate"/>
    </w:r>
    <w:r w:rsidR="006B3865">
      <w:rPr>
        <w:rStyle w:val="HeaderChar"/>
        <w:noProof/>
        <w:szCs w:val="14"/>
      </w:rPr>
      <w:t>1</w:t>
    </w:r>
    <w:r w:rsidR="00A8327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E6D7D" w14:textId="2157D5C8" w:rsidR="00BC3E8E" w:rsidRPr="00A8327C" w:rsidRDefault="00C84127" w:rsidP="00A8327C">
    <w:pPr>
      <w:pStyle w:val="Footer"/>
      <w:tabs>
        <w:tab w:val="clear" w:pos="4513"/>
        <w:tab w:val="clear" w:pos="9026"/>
        <w:tab w:val="right" w:pos="8787"/>
      </w:tabs>
    </w:pPr>
    <w:sdt>
      <w:sdtPr>
        <w:rPr>
          <w:szCs w:val="14"/>
        </w:rPr>
        <w:tag w:val="cciManRef"/>
        <w:id w:val="-783801421"/>
        <w:lock w:val="sdtLocked"/>
        <w:text/>
      </w:sdtPr>
      <w:sdtEndPr/>
      <w:sdtContent>
        <w:r w:rsidR="00740306">
          <w:rPr>
            <w:szCs w:val="14"/>
          </w:rPr>
          <w:t>11/63763807_4</w:t>
        </w:r>
      </w:sdtContent>
    </w:sdt>
    <w:r w:rsidR="00A8327C">
      <w:rPr>
        <w:szCs w:val="14"/>
      </w:rPr>
      <w:ptab w:relativeTo="margin" w:alignment="right" w:leader="none"/>
    </w:r>
    <w:r w:rsidR="00A8327C">
      <w:fldChar w:fldCharType="begin"/>
    </w:r>
    <w:r w:rsidR="00A8327C">
      <w:rPr>
        <w:rStyle w:val="HeaderChar"/>
        <w:szCs w:val="14"/>
      </w:rPr>
      <w:instrText xml:space="preserve"> PAGE \* MERGEFORMAT </w:instrText>
    </w:r>
    <w:r w:rsidR="00A8327C">
      <w:fldChar w:fldCharType="separate"/>
    </w:r>
    <w:r w:rsidR="00A8327C">
      <w:rPr>
        <w:rStyle w:val="HeaderChar"/>
        <w:noProof/>
        <w:szCs w:val="14"/>
      </w:rPr>
      <w:t>1</w:t>
    </w:r>
    <w:r w:rsidR="00A8327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BD717" w14:textId="77777777" w:rsidR="00C84127" w:rsidRDefault="00C84127">
      <w:pPr>
        <w:spacing w:after="0" w:line="240" w:lineRule="auto"/>
      </w:pPr>
      <w:r>
        <w:separator/>
      </w:r>
    </w:p>
  </w:footnote>
  <w:footnote w:type="continuationSeparator" w:id="0">
    <w:p w14:paraId="701A44B8" w14:textId="77777777" w:rsidR="00C84127" w:rsidRDefault="00C8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ABCA3" w14:textId="77777777" w:rsidR="00A8327C" w:rsidRDefault="00A832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98733" w14:textId="77777777" w:rsidR="0068622D" w:rsidRDefault="00227CA8">
    <w:pPr>
      <w:pStyle w:val="Header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5CA2F" w14:textId="77777777" w:rsidR="00A8327C" w:rsidRDefault="00A832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4F5"/>
    <w:multiLevelType w:val="hybridMultilevel"/>
    <w:tmpl w:val="C50E6302"/>
    <w:lvl w:ilvl="0" w:tplc="263AF24A">
      <w:start w:val="1"/>
      <w:numFmt w:val="lowerRoman"/>
      <w:lvlText w:val="%1."/>
      <w:lvlJc w:val="right"/>
      <w:pPr>
        <w:ind w:left="720" w:hanging="360"/>
      </w:pPr>
    </w:lvl>
    <w:lvl w:ilvl="1" w:tplc="AD82D5E8" w:tentative="1">
      <w:start w:val="1"/>
      <w:numFmt w:val="lowerLetter"/>
      <w:lvlText w:val="%2."/>
      <w:lvlJc w:val="left"/>
      <w:pPr>
        <w:ind w:left="1440" w:hanging="360"/>
      </w:pPr>
    </w:lvl>
    <w:lvl w:ilvl="2" w:tplc="A54824CA" w:tentative="1">
      <w:start w:val="1"/>
      <w:numFmt w:val="lowerRoman"/>
      <w:lvlText w:val="%3."/>
      <w:lvlJc w:val="right"/>
      <w:pPr>
        <w:ind w:left="2160" w:hanging="180"/>
      </w:pPr>
    </w:lvl>
    <w:lvl w:ilvl="3" w:tplc="D3B8B5F6" w:tentative="1">
      <w:start w:val="1"/>
      <w:numFmt w:val="decimal"/>
      <w:lvlText w:val="%4."/>
      <w:lvlJc w:val="left"/>
      <w:pPr>
        <w:ind w:left="2880" w:hanging="360"/>
      </w:pPr>
    </w:lvl>
    <w:lvl w:ilvl="4" w:tplc="39B441BC" w:tentative="1">
      <w:start w:val="1"/>
      <w:numFmt w:val="lowerLetter"/>
      <w:lvlText w:val="%5."/>
      <w:lvlJc w:val="left"/>
      <w:pPr>
        <w:ind w:left="3600" w:hanging="360"/>
      </w:pPr>
    </w:lvl>
    <w:lvl w:ilvl="5" w:tplc="47BC8BDE" w:tentative="1">
      <w:start w:val="1"/>
      <w:numFmt w:val="lowerRoman"/>
      <w:lvlText w:val="%6."/>
      <w:lvlJc w:val="right"/>
      <w:pPr>
        <w:ind w:left="4320" w:hanging="180"/>
      </w:pPr>
    </w:lvl>
    <w:lvl w:ilvl="6" w:tplc="4FD4E320" w:tentative="1">
      <w:start w:val="1"/>
      <w:numFmt w:val="decimal"/>
      <w:lvlText w:val="%7."/>
      <w:lvlJc w:val="left"/>
      <w:pPr>
        <w:ind w:left="5040" w:hanging="360"/>
      </w:pPr>
    </w:lvl>
    <w:lvl w:ilvl="7" w:tplc="01346A9C" w:tentative="1">
      <w:start w:val="1"/>
      <w:numFmt w:val="lowerLetter"/>
      <w:lvlText w:val="%8."/>
      <w:lvlJc w:val="left"/>
      <w:pPr>
        <w:ind w:left="5760" w:hanging="360"/>
      </w:pPr>
    </w:lvl>
    <w:lvl w:ilvl="8" w:tplc="68BC90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7C"/>
    <w:rsid w:val="000147E4"/>
    <w:rsid w:val="001F40EC"/>
    <w:rsid w:val="00227CA8"/>
    <w:rsid w:val="006B3865"/>
    <w:rsid w:val="006F5A3E"/>
    <w:rsid w:val="00740306"/>
    <w:rsid w:val="00862E0B"/>
    <w:rsid w:val="00A8327C"/>
    <w:rsid w:val="00AC63B7"/>
    <w:rsid w:val="00C84127"/>
    <w:rsid w:val="00D2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16B97"/>
  <w15:docId w15:val="{391ACA6B-1FA4-420B-AFE2-BAF8282D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3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WVariable1">
    <w:name w:val="SW Variable 1"/>
    <w:uiPriority w:val="99"/>
    <w:rsid w:val="004223B6"/>
    <w:rPr>
      <w:color w:val="007E39"/>
      <w14:cntxtAlts/>
    </w:rPr>
  </w:style>
  <w:style w:type="paragraph" w:styleId="Header">
    <w:name w:val="header"/>
    <w:basedOn w:val="Normal"/>
    <w:link w:val="HeaderChar"/>
    <w:uiPriority w:val="39"/>
    <w:unhideWhenUsed/>
    <w:rsid w:val="00686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39"/>
    <w:rsid w:val="0068622D"/>
  </w:style>
  <w:style w:type="paragraph" w:styleId="Footer">
    <w:name w:val="footer"/>
    <w:basedOn w:val="Normal"/>
    <w:link w:val="FooterChar"/>
    <w:uiPriority w:val="99"/>
    <w:unhideWhenUsed/>
    <w:rsid w:val="00686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22D"/>
  </w:style>
  <w:style w:type="paragraph" w:styleId="BalloonText">
    <w:name w:val="Balloon Text"/>
    <w:basedOn w:val="Normal"/>
    <w:link w:val="BalloonTextChar"/>
    <w:uiPriority w:val="99"/>
    <w:semiHidden/>
    <w:unhideWhenUsed/>
    <w:rsid w:val="00B7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7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27C64"/>
    <w:pPr>
      <w:widowControl w:val="0"/>
      <w:autoSpaceDE w:val="0"/>
      <w:autoSpaceDN w:val="0"/>
      <w:spacing w:after="0" w:line="240" w:lineRule="auto"/>
      <w:ind w:left="1454"/>
    </w:pPr>
    <w:rPr>
      <w:rFonts w:ascii="Arial" w:eastAsia="Arial" w:hAnsi="Arial" w:cs="Arial"/>
      <w:sz w:val="8"/>
      <w:szCs w:val="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7C64"/>
    <w:rPr>
      <w:rFonts w:ascii="Arial" w:eastAsia="Arial" w:hAnsi="Arial" w:cs="Arial"/>
      <w:sz w:val="8"/>
      <w:szCs w:val="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4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C67F-62C4-469F-A5C4-BA1FB68C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 Lenss</dc:creator>
  <cp:lastModifiedBy>Ivars Lenss</cp:lastModifiedBy>
  <cp:revision>2</cp:revision>
  <dcterms:created xsi:type="dcterms:W3CDTF">2020-09-23T02:54:00Z</dcterms:created>
  <dcterms:modified xsi:type="dcterms:W3CDTF">2020-09-23T02:54:00Z</dcterms:modified>
</cp:coreProperties>
</file>