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C51" w:rsidRPr="00477791" w:rsidRDefault="00A47087" w:rsidP="00477791">
      <w:pPr>
        <w:keepNext/>
        <w:keepLines/>
        <w:spacing w:after="120" w:line="240" w:lineRule="auto"/>
        <w:jc w:val="both"/>
        <w:outlineLvl w:val="0"/>
        <w:rPr>
          <w:rFonts w:ascii="Times New Roman" w:eastAsia="Times New Roman" w:hAnsi="Times New Roman" w:cs="Times New Roman"/>
          <w:b/>
          <w:bCs/>
          <w:kern w:val="28"/>
        </w:rPr>
      </w:pPr>
      <w:bookmarkStart w:id="0" w:name="_Toc403946511"/>
      <w:r>
        <w:rPr>
          <w:rFonts w:ascii="Times New Roman" w:eastAsia="Times New Roman" w:hAnsi="Times New Roman" w:cs="Times New Roman"/>
          <w:b/>
          <w:bCs/>
          <w:kern w:val="28"/>
        </w:rPr>
        <w:t>2</w:t>
      </w:r>
      <w:r>
        <w:rPr>
          <w:rFonts w:ascii="Times New Roman" w:eastAsia="Times New Roman" w:hAnsi="Times New Roman" w:cs="Times New Roman"/>
          <w:b/>
          <w:bCs/>
          <w:kern w:val="28"/>
        </w:rPr>
        <w:t>7</w:t>
      </w:r>
      <w:r w:rsidR="00C05C51" w:rsidRPr="00477791">
        <w:rPr>
          <w:rFonts w:ascii="Times New Roman" w:eastAsia="Times New Roman" w:hAnsi="Times New Roman" w:cs="Times New Roman"/>
          <w:b/>
          <w:bCs/>
          <w:kern w:val="28"/>
        </w:rPr>
        <w:t>.</w:t>
      </w:r>
      <w:r>
        <w:rPr>
          <w:rFonts w:ascii="Times New Roman" w:eastAsia="Times New Roman" w:hAnsi="Times New Roman" w:cs="Times New Roman"/>
          <w:b/>
          <w:bCs/>
          <w:kern w:val="28"/>
        </w:rPr>
        <w:t>10</w:t>
      </w:r>
      <w:r w:rsidR="00C05C51" w:rsidRPr="00477791">
        <w:rPr>
          <w:rFonts w:ascii="Times New Roman" w:eastAsia="Times New Roman" w:hAnsi="Times New Roman" w:cs="Times New Roman"/>
          <w:b/>
          <w:bCs/>
          <w:kern w:val="28"/>
        </w:rPr>
        <w:t>.</w:t>
      </w:r>
      <w:r w:rsidR="002E5CD2" w:rsidRPr="00477791">
        <w:rPr>
          <w:rFonts w:ascii="Times New Roman" w:eastAsia="Times New Roman" w:hAnsi="Times New Roman" w:cs="Times New Roman"/>
          <w:b/>
          <w:bCs/>
          <w:kern w:val="28"/>
        </w:rPr>
        <w:t>20</w:t>
      </w:r>
      <w:r w:rsidR="002E5CD2">
        <w:rPr>
          <w:rFonts w:ascii="Times New Roman" w:eastAsia="Times New Roman" w:hAnsi="Times New Roman" w:cs="Times New Roman"/>
          <w:b/>
          <w:bCs/>
          <w:kern w:val="28"/>
        </w:rPr>
        <w:t>20</w:t>
      </w:r>
      <w:r w:rsidR="00C05C51" w:rsidRPr="00477791">
        <w:rPr>
          <w:rFonts w:ascii="Times New Roman" w:eastAsia="Times New Roman" w:hAnsi="Times New Roman" w:cs="Times New Roman"/>
          <w:b/>
          <w:bCs/>
          <w:kern w:val="28"/>
        </w:rPr>
        <w:t xml:space="preserve">. lēmums par </w:t>
      </w:r>
      <w:r w:rsidR="008321C2" w:rsidRPr="00477791">
        <w:rPr>
          <w:rFonts w:ascii="Times New Roman" w:eastAsia="Times New Roman" w:hAnsi="Times New Roman" w:cs="Times New Roman"/>
          <w:b/>
          <w:bCs/>
          <w:kern w:val="28"/>
        </w:rPr>
        <w:t>p</w:t>
      </w:r>
      <w:r w:rsidR="00C05C51" w:rsidRPr="00477791">
        <w:rPr>
          <w:rFonts w:ascii="Times New Roman" w:eastAsia="Times New Roman" w:hAnsi="Times New Roman" w:cs="Times New Roman"/>
          <w:b/>
          <w:bCs/>
          <w:kern w:val="28"/>
        </w:rPr>
        <w:t>retcikliskās kapitāla rezerves</w:t>
      </w:r>
      <w:r w:rsidR="002A0A04"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 xml:space="preserve">normas </w:t>
      </w:r>
      <w:r w:rsidR="005D0F48" w:rsidRPr="00477791">
        <w:rPr>
          <w:rFonts w:ascii="Times New Roman" w:eastAsia="Times New Roman" w:hAnsi="Times New Roman" w:cs="Times New Roman"/>
          <w:b/>
          <w:bCs/>
          <w:kern w:val="28"/>
        </w:rPr>
        <w:t>darījumiem</w:t>
      </w:r>
      <w:r w:rsidR="002D1280" w:rsidRPr="00477791">
        <w:rPr>
          <w:rFonts w:ascii="Times New Roman" w:eastAsia="Times New Roman" w:hAnsi="Times New Roman" w:cs="Times New Roman"/>
          <w:b/>
          <w:bCs/>
          <w:kern w:val="28"/>
        </w:rPr>
        <w:t>, kuri noslēgti</w:t>
      </w:r>
      <w:r w:rsidR="005D0F48" w:rsidRPr="00477791">
        <w:rPr>
          <w:rFonts w:ascii="Times New Roman" w:eastAsia="Times New Roman" w:hAnsi="Times New Roman" w:cs="Times New Roman"/>
          <w:b/>
          <w:bCs/>
          <w:kern w:val="28"/>
        </w:rPr>
        <w:t xml:space="preserve"> ar Latvijas </w:t>
      </w:r>
      <w:r w:rsidR="004F22BD" w:rsidRPr="00477791">
        <w:rPr>
          <w:rFonts w:ascii="Times New Roman" w:eastAsia="Times New Roman" w:hAnsi="Times New Roman" w:cs="Times New Roman"/>
          <w:b/>
          <w:bCs/>
          <w:kern w:val="28"/>
        </w:rPr>
        <w:t xml:space="preserve">Republikas </w:t>
      </w:r>
      <w:r w:rsidR="005D0F48" w:rsidRPr="00477791">
        <w:rPr>
          <w:rFonts w:ascii="Times New Roman" w:eastAsia="Times New Roman" w:hAnsi="Times New Roman" w:cs="Times New Roman"/>
          <w:b/>
          <w:bCs/>
          <w:kern w:val="28"/>
        </w:rPr>
        <w:t>rezidentiem</w:t>
      </w:r>
      <w:r w:rsidR="004F22BD" w:rsidRPr="00477791">
        <w:rPr>
          <w:rFonts w:ascii="Times New Roman" w:eastAsia="Times New Roman" w:hAnsi="Times New Roman" w:cs="Times New Roman"/>
          <w:b/>
          <w:bCs/>
          <w:kern w:val="28"/>
        </w:rPr>
        <w:t>,</w:t>
      </w:r>
      <w:r w:rsidR="005D0F48"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noteikšanu</w:t>
      </w:r>
    </w:p>
    <w:p w:rsidR="00C05C51" w:rsidRPr="00A7579A" w:rsidRDefault="00C05C51" w:rsidP="00477791">
      <w:pPr>
        <w:keepNext/>
        <w:keepLines/>
        <w:spacing w:after="120" w:line="240" w:lineRule="auto"/>
        <w:jc w:val="both"/>
        <w:outlineLvl w:val="0"/>
        <w:rPr>
          <w:rFonts w:ascii="Times New Roman" w:eastAsia="Times New Roman" w:hAnsi="Times New Roman" w:cs="Times New Roman"/>
          <w:b/>
          <w:bCs/>
          <w:kern w:val="28"/>
        </w:rPr>
      </w:pPr>
      <w:r w:rsidRPr="00222721">
        <w:rPr>
          <w:rFonts w:ascii="Times New Roman" w:eastAsia="Times New Roman" w:hAnsi="Times New Roman" w:cs="Times New Roman"/>
          <w:b/>
          <w:bCs/>
          <w:kern w:val="28"/>
        </w:rPr>
        <w:t>Pretcikliskās kapitāla rezerves</w:t>
      </w:r>
      <w:r w:rsidR="002A0A04" w:rsidRPr="00222721">
        <w:rPr>
          <w:rFonts w:ascii="Times New Roman" w:eastAsia="Times New Roman" w:hAnsi="Times New Roman" w:cs="Times New Roman"/>
          <w:b/>
          <w:bCs/>
          <w:kern w:val="28"/>
        </w:rPr>
        <w:t xml:space="preserve"> </w:t>
      </w:r>
      <w:r w:rsidRPr="00222721">
        <w:rPr>
          <w:rFonts w:ascii="Times New Roman" w:eastAsia="Times New Roman" w:hAnsi="Times New Roman" w:cs="Times New Roman"/>
          <w:b/>
          <w:bCs/>
          <w:kern w:val="28"/>
        </w:rPr>
        <w:t xml:space="preserve">(PKR) norma </w:t>
      </w:r>
      <w:r w:rsidR="005D0F48" w:rsidRPr="00222721">
        <w:rPr>
          <w:rFonts w:ascii="Times New Roman" w:eastAsia="Times New Roman" w:hAnsi="Times New Roman" w:cs="Times New Roman"/>
          <w:b/>
          <w:bCs/>
          <w:kern w:val="28"/>
        </w:rPr>
        <w:t>darījumiem</w:t>
      </w:r>
      <w:r w:rsidR="002D1280" w:rsidRPr="00A7579A">
        <w:rPr>
          <w:rFonts w:ascii="Times New Roman" w:eastAsia="Times New Roman" w:hAnsi="Times New Roman" w:cs="Times New Roman"/>
          <w:b/>
          <w:bCs/>
          <w:kern w:val="28"/>
        </w:rPr>
        <w:t>, kuri noslēgti</w:t>
      </w:r>
      <w:r w:rsidR="005D0F48" w:rsidRPr="00A7579A">
        <w:rPr>
          <w:rFonts w:ascii="Times New Roman" w:eastAsia="Times New Roman" w:hAnsi="Times New Roman" w:cs="Times New Roman"/>
          <w:b/>
          <w:bCs/>
          <w:kern w:val="28"/>
        </w:rPr>
        <w:t xml:space="preserve"> ar Latvijas </w:t>
      </w:r>
      <w:r w:rsidR="004F22BD" w:rsidRPr="00A7579A">
        <w:rPr>
          <w:rFonts w:ascii="Times New Roman" w:eastAsia="Times New Roman" w:hAnsi="Times New Roman" w:cs="Times New Roman"/>
          <w:b/>
          <w:bCs/>
          <w:kern w:val="28"/>
        </w:rPr>
        <w:t xml:space="preserve">Republikas </w:t>
      </w:r>
      <w:r w:rsidR="005D0F48" w:rsidRPr="00A7579A">
        <w:rPr>
          <w:rFonts w:ascii="Times New Roman" w:eastAsia="Times New Roman" w:hAnsi="Times New Roman" w:cs="Times New Roman"/>
          <w:b/>
          <w:bCs/>
          <w:kern w:val="28"/>
        </w:rPr>
        <w:t>rezidentiem</w:t>
      </w:r>
      <w:r w:rsidR="004F22BD" w:rsidRPr="00A7579A">
        <w:rPr>
          <w:rFonts w:ascii="Times New Roman" w:eastAsia="Times New Roman" w:hAnsi="Times New Roman" w:cs="Times New Roman"/>
          <w:b/>
          <w:bCs/>
          <w:kern w:val="28"/>
        </w:rPr>
        <w:t>,</w:t>
      </w:r>
      <w:r w:rsidR="005D0F48"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tiek noteikta</w:t>
      </w:r>
      <w:r w:rsidR="0058464F"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0% apmērā. Noteikto PKR normu kredītiestādes specifiskās pretcikliskās kapitāla rezerves aprēķinā izmanto</w:t>
      </w:r>
      <w:r w:rsidR="00F06CDC" w:rsidRPr="00A7579A">
        <w:rPr>
          <w:rFonts w:ascii="Times New Roman" w:eastAsia="Times New Roman" w:hAnsi="Times New Roman" w:cs="Times New Roman"/>
          <w:b/>
          <w:bCs/>
          <w:kern w:val="28"/>
        </w:rPr>
        <w:t>s</w:t>
      </w:r>
      <w:r w:rsidR="002A0A04"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 xml:space="preserve">no </w:t>
      </w:r>
      <w:r w:rsidR="002E5CD2" w:rsidRPr="00A7579A">
        <w:rPr>
          <w:rFonts w:ascii="Times New Roman" w:eastAsia="Times New Roman" w:hAnsi="Times New Roman" w:cs="Times New Roman"/>
          <w:b/>
          <w:bCs/>
          <w:kern w:val="28"/>
        </w:rPr>
        <w:t>202</w:t>
      </w:r>
      <w:r w:rsidR="002E5CD2">
        <w:rPr>
          <w:rFonts w:ascii="Times New Roman" w:eastAsia="Times New Roman" w:hAnsi="Times New Roman" w:cs="Times New Roman"/>
          <w:b/>
          <w:bCs/>
          <w:kern w:val="28"/>
        </w:rPr>
        <w:t>1</w:t>
      </w:r>
      <w:r w:rsidRPr="00A7579A">
        <w:rPr>
          <w:rFonts w:ascii="Times New Roman" w:eastAsia="Times New Roman" w:hAnsi="Times New Roman" w:cs="Times New Roman"/>
          <w:b/>
          <w:bCs/>
          <w:kern w:val="28"/>
        </w:rPr>
        <w:t>.</w:t>
      </w:r>
      <w:r w:rsidR="0058464F" w:rsidRPr="00A7579A">
        <w:rPr>
          <w:rFonts w:ascii="Times New Roman" w:eastAsia="Times New Roman" w:hAnsi="Times New Roman" w:cs="Times New Roman"/>
          <w:b/>
          <w:bCs/>
          <w:kern w:val="28"/>
        </w:rPr>
        <w:t> </w:t>
      </w:r>
      <w:r w:rsidRPr="00A7579A">
        <w:rPr>
          <w:rFonts w:ascii="Times New Roman" w:eastAsia="Times New Roman" w:hAnsi="Times New Roman" w:cs="Times New Roman"/>
          <w:b/>
          <w:bCs/>
          <w:kern w:val="28"/>
        </w:rPr>
        <w:t>gada 1.</w:t>
      </w:r>
      <w:r w:rsidR="002A0A04" w:rsidRPr="00A7579A">
        <w:rPr>
          <w:rFonts w:ascii="Times New Roman" w:eastAsia="Times New Roman" w:hAnsi="Times New Roman" w:cs="Times New Roman"/>
          <w:b/>
          <w:bCs/>
          <w:kern w:val="28"/>
        </w:rPr>
        <w:t> </w:t>
      </w:r>
      <w:r w:rsidR="00A47087">
        <w:rPr>
          <w:rFonts w:ascii="Times New Roman" w:eastAsia="Times New Roman" w:hAnsi="Times New Roman" w:cs="Times New Roman"/>
          <w:b/>
          <w:bCs/>
          <w:kern w:val="28"/>
        </w:rPr>
        <w:t>novembra</w:t>
      </w:r>
      <w:r w:rsidRPr="00A7579A">
        <w:rPr>
          <w:rFonts w:ascii="Times New Roman" w:eastAsia="Times New Roman" w:hAnsi="Times New Roman" w:cs="Times New Roman"/>
          <w:b/>
          <w:bCs/>
          <w:kern w:val="28"/>
        </w:rPr>
        <w:t xml:space="preserve">. </w:t>
      </w:r>
      <w:r w:rsidR="007D02BE" w:rsidRPr="00A7579A">
        <w:rPr>
          <w:rFonts w:ascii="Times New Roman" w:eastAsia="Times New Roman" w:hAnsi="Times New Roman" w:cs="Times New Roman"/>
          <w:b/>
          <w:bCs/>
          <w:kern w:val="28"/>
        </w:rPr>
        <w:t>Finanšu un kapitāla tirgus komisija (</w:t>
      </w:r>
      <w:r w:rsidR="00936D45" w:rsidRPr="00A7579A">
        <w:rPr>
          <w:rFonts w:ascii="Times New Roman" w:eastAsia="Times New Roman" w:hAnsi="Times New Roman" w:cs="Times New Roman"/>
          <w:b/>
          <w:bCs/>
          <w:kern w:val="28"/>
        </w:rPr>
        <w:t>FKTK</w:t>
      </w:r>
      <w:r w:rsidR="007D02BE" w:rsidRPr="00A7579A">
        <w:rPr>
          <w:rFonts w:ascii="Times New Roman" w:eastAsia="Times New Roman" w:hAnsi="Times New Roman" w:cs="Times New Roman"/>
          <w:b/>
          <w:bCs/>
          <w:kern w:val="28"/>
        </w:rPr>
        <w:t>)</w:t>
      </w:r>
      <w:r w:rsidR="00936D45" w:rsidRPr="00A7579A">
        <w:rPr>
          <w:rFonts w:ascii="Times New Roman" w:eastAsia="Times New Roman" w:hAnsi="Times New Roman" w:cs="Times New Roman"/>
          <w:b/>
          <w:bCs/>
          <w:kern w:val="28"/>
        </w:rPr>
        <w:t xml:space="preserve"> lems par nepieciešamību noteikt PKR normu virs 0%, ja Latvijas finanšu sektorā tiks novērots būtisks ciklisko sistēmisko risku pieaugums.</w:t>
      </w:r>
    </w:p>
    <w:bookmarkEnd w:id="0"/>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FKTK, analizējot Latvijas finanšu cikla izmaiņas kontekstā ar PKR normas noteikšanu, aktīvi seko līdzi un analizē globālās tendences saistībā ar koronavīrusa Covid–19 pandēmiju un tās izraisīto globālo ekonomikas pieprasījuma-piedāvājuma šoku. Kā liecina jaunākā Centrālās statistikas pārvaldes (CSP) informācija, kopumā ekonomika 2020. gada 2. ceturksnī būtiski sabremzējās un IKP samazinājās par 8.9% pret 2019. gada atbilstošo ceturksni. Kritumu visvairāk ietekmēja apjoma samazinājums ražojošajās nozarēs un pakalpojumu nozarēs. Saruka arī iekasēto nodokļu apjoms par produktiem. Latvijas Banka septembrī atjaunoja prognozi par 2020. gadu, paredzot 4.7% IKP samazinājumu, pretstatā 7.5% samazinājumam, kas tika prognozēts jūnijā. Pašlaik pieejamie dati par jūliju un augustu, kā arī CSP veiktās k</w:t>
      </w:r>
      <w:r w:rsidR="001D02DD">
        <w:rPr>
          <w:rFonts w:ascii="Times New Roman" w:eastAsia="Calibri" w:hAnsi="Times New Roman" w:cs="Times New Roman"/>
          <w:noProof/>
          <w:lang w:eastAsia="lv-LV"/>
        </w:rPr>
        <w:t>onjuktūras apsekojumos iegūtie</w:t>
      </w:r>
      <w:r w:rsidR="001D02DD">
        <w:rPr>
          <w:rStyle w:val="FootnoteReference"/>
          <w:rFonts w:ascii="Times New Roman" w:eastAsia="Calibri" w:hAnsi="Times New Roman"/>
          <w:noProof/>
          <w:lang w:eastAsia="lv-LV"/>
        </w:rPr>
        <w:footnoteReference w:id="1"/>
      </w:r>
      <w:r w:rsidR="001D02DD">
        <w:rPr>
          <w:rFonts w:ascii="Times New Roman" w:eastAsia="Calibri" w:hAnsi="Times New Roman" w:cs="Times New Roman"/>
          <w:noProof/>
          <w:lang w:eastAsia="lv-LV"/>
        </w:rPr>
        <w:t xml:space="preserve"> </w:t>
      </w:r>
      <w:r w:rsidRPr="00E61204">
        <w:rPr>
          <w:rFonts w:ascii="Times New Roman" w:eastAsia="Calibri" w:hAnsi="Times New Roman" w:cs="Times New Roman"/>
          <w:noProof/>
          <w:lang w:eastAsia="lv-LV"/>
        </w:rPr>
        <w:t>uzņēmēju un patērētāju noskaņojuma rādītāji sniedz signālu, ka ekonomikas izaugsmes krituma zemākais punkts ir jau ticis sasniegts, un trešajā un ceturtajā ceturksnī, palielnoties aktivitātei, ekonomikas samazinājums gada griezumā būs būtiski mazāks nekā otrajā ceturksnī, lai arī dažas n</w:t>
      </w:r>
      <w:bookmarkStart w:id="1" w:name="_GoBack"/>
      <w:bookmarkEnd w:id="1"/>
      <w:r w:rsidRPr="00E61204">
        <w:rPr>
          <w:rFonts w:ascii="Times New Roman" w:eastAsia="Calibri" w:hAnsi="Times New Roman" w:cs="Times New Roman"/>
          <w:noProof/>
          <w:lang w:eastAsia="lv-LV"/>
        </w:rPr>
        <w:t>ozares, tostarp transports un tūrisms, vēl atpaliks no iepriekšējā gada līmeņa. Pēdējā mēneša laikā būtiski arī pieauguši ar Covid-19 izplatību saistītie riski, strauji augot vīrusa infekcijas gadījumiem vairākās Eiropas valstīs, tajā skaitā arī Latvijas kaimiņvalstīs, un sekmīga vīrusa ierobežošana arī turpmāk būs galvenais faktors, no kā būs atkarīga Latvijas ekonomikas attīstība tuvāko mēnešu un ceturkšņu laikā.</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Covid-19 pandēmijas mazināšanai noteiktie ierobežojumi būtiski ietekmēja uzņēmējdarbības vidi Latvijā, mazinot kopējo aktivitāti. Uzņēmumi cieta zaudējumus gan darbinieku karantīnas vai pašizolācijas dēļ, gan pieprasījuma samazinājuma eksporta noieta tirgos dēļ, kā arī kopējais iekšzemes pieprasījuma samazinājums bremzēja tautsaimniecības attīstību. Šā gada 2. ceturksnī pret iepriekšējā gada atbilstošo periodu kopējo IKP pieauguma tempa kritumu lielā mērā ietekmēja būtisks samazinājums (IKP apjoma izmaiņās pēc ražošanas aspekta) vairākās nozarēs. Visslielākais kritums ir novērojams izmitināšanas un ēdināšanas nozarē (63.4%) un transporta un uzglabāšanas nozarē (samazinājums par 26.6%, t.sk. pasažieru pārvadājumos – par 69.3%), ko veicināja Latvijas un citu valstu valdību noteiktie ierobežojumi Covid-19 pandēmijas ierobežošanai, kā arī būtisks Krievijas kravu tranzīta caur Latvijas ostām apjoma kritums. Viena no vissmagāk pandēmijas skartajām nozarēm bija māksla, izklaide un atpūta, kur samazinājums pret iepriekšējo periodu sasniedza 46.3%. Būtisks pieaugums 2. ceturksnī, salīdzinājumā ar iepriekšējā gada atbilstošo periodu, bija vērojams tikai vienā nozarē - informācijas un komunikācijas tehnoloģiju iekārtu vairumtirdzniecībā (pieaugums par 19.3%), ko veicināja nepieciešamība pielāgoties attālinātā darba un mācību vajadzībām pandēmijas laikā.</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 xml:space="preserve">Šā gada 2. ceturkšņa vidējais patēriņa cenu pieauguma temps caurmērā bija negatīvs, salīdzinot ar iepriekšējā gada atbilstošo periodu, bet jau jūlijā tas sasniedza pozitīvu līmeni (0.5% pieaugums pret iepriekšējā gada attiecīgo mēnesi). Patēriņa cenu kritumu 2. ceturksnī visvairāk ietekmēja pieprasījuma samazināšanās Covid-19 izplatību ierobežojošo pasākumu dēļ, savukārt pieaugumu jūlija mēnesī veicināja cenu kāpums pārtikai, veselības aprūpei, restorānu un viesnību pakalpojumiem un ar atpūtu un kultūru saistītām precēm un pakalpojumiem. Kā liecina jaunākā CSP informācija, vidējam patēriņa cenu līmenim augustā atkal bija vērojams negatīvs pieauguma temps (samazinājums par 0.2% pret iepriekšējā gada attiecīgo mēnesi), ko pamatā noteica pēdējos mēnešus saglabājušais cenu kritums ar mājokli un transportu saistītām precēm un pakalpojumiem. </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lastRenderedPageBreak/>
        <w:t>2020. gada 2. ceturksnī mājsaimniecību gala patēriņa izdevumi samazinājās par 20.9% salīdzinot ar iepriekšējā gada atbilstošo periodu. Valdības pieņemtie Covid-19 pandēmijas izplatīšanos ierobežojošie pasākumi būtiski ietekmēja mājsaimniecību izdevumus transportam un atpūtas un kultūras pasākumiem - izdevumi šajās galapatēriņa grupās samazinājās attiecīgi par 26,5% un 74,5%. Pandēmijas ietekmē 2. ceturksnī (salīdzinot ar iepriekšējā gada atbilstošo periodu) mājsaimniecības par 63,2% mazāk tērējušas arī izmitināšanas un ēdināšanas pakalpojumiem.</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 xml:space="preserve">Preču un pakalpojuma eksports (IKP apjoma izmaiņās pēc izlietojuma aspekta) šā gada 2. ceturksnī samazinājās par 12.5%, salīdzinot ar iepriekšējā gada atbilstošo periodu, tai skaitā preču eksports, kas veido aptuveni 75% no kopējā eksporta, samazinājās par 4.0%, savukārt  pakalpojumu eksports - par 31.2%, galvenokārt pandēmijas negatīvās ietekmes uz tūrismu rezultātā. Preču un pakalpojumu importa samazinājumu par 15.3% šā gada 2. ceturksnī (salīdzinot ar iepriekšējā gada atbilstošo periodu) būtiski ietekmēja tieši preču importa, kas veido vairāk kā 80% no kopējā importa apjoma, samazinājums, kā arī pakalpojumu importa kritums par 32.5%, ko galvenokārt noteica transporta un tūrisma pakalpojumu importa samazinājums. Turpmākā eksporta un importa attīstība, līdzīgi kā kopējās ekonomikas perspektīvas, joprojām ir neskaidras. Nākamajos mēnešos eksportu var negatīvi ietekmēt ārēja pieprasījuma samazinājums, ņemot vērā potenciālo pandēmijas situācijas pasliktināšanos citās valstīs. </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 xml:space="preserve">PKR orientiera dati 2020. gada 1. ceturkšņa beigās par kredītu atlikuma un IKP attiecības novirzi no ilgtermiņa tendences norāda uz ilgstoši saglabājušos negatīvu tendenci, – gan izmantojot plašo (-33% 2020. gada 1. ceturkšņa beigās), gan šauro (-19.4% 2020. gada 2. ceturkšņa beigās) kredītu definīciju. Latvijas rezidentiem izsniegto kredītu (pēc šaurās definīcijas) un IKP attiecība turpina pakāpeniski samazināties un 2020. gada 2. ceturkšņa beigās bija 32%. Šāds kredītu un IKP attiecības līmenis Latvijā iepriekš bija vērojams 2003. gadā.  </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 xml:space="preserve">Iekšzemes kreditēšanu kopumā negatīvi ir ietekmējusi Covid-19 pandēmijas izraisītā ekonomikas attīstības sabremzēšanās. Kopējā iekšzemes privātā nefinanšu kredītportfeļa pieauguma temps 2020. gada 1.ceturksnī samazinājās par 0.02%, salīdzinot ar iepriekšējā gada atbilstošo periodu. </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 xml:space="preserve">Kredītiestāžu iekšzemes privātajiem nefinanšu klientiem izsniegtais kredītu apjoms 2020. gada 2. ceturksnī, salīdzinot ar iepriekšējā gada atbilstošo periodu, saruka par 3.6%. Samazinājumu galvenokārt veidoja nefinanšu sabiedrību kredītportfeļa sarukums (par 7.0%), kā arī mājsaimniecību patēriņa kredītu apjoma samazinājums par 4.6%. Savukārt iekšzemes mājsaimniecību kredītportfelis 2020. gada 2. ceturksnī (salīdzinot ar iepriekšējā gada atbilstošo periodu) nedaudz pieauga (par 0.3%), lielā mērā pateicoties ar nekustamo īpašumu ķīlu nodrošināto kredītu pieaugumam (par 1.0%). </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Būtisku lomu kreditēšanā Latvijā arī ekonomikas lejupslīdes apstākļos joprojām spēlē valsts atbalsta programma mājokļa iegādei. Nozīmīga daļa jauno mājokļa kredītu tiek izsniegta tieši ar valsts galvojumu, kas atspoguļojas arī caurmērā noturīgā un mērenā hipotekārā kredītportfeļa pieaugumā – kredītu mājokļa iegādei skaits 2. ceturksnī, salīdzinot ar iepriekšējā gada atbilstošo periodu, ir kopumā pieaudzis par 3.1%, bet to apmērs ir sarucis tikai nedaudz (par 0.1%).</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Covid-19 pandēmijas izraisītā ekonomikas aktivitātes sabremzēšanās turpina negatīvi ietekmēt arī nebanku kreditēšanas sektoru un pieauguma temps iekšzemes nebanku kreditētāju kredīta atlikumos nefinanšu sabiedrībām un mājsaimniecībām 2020. gada 2. ceturksnī (pret iepriekšējā gada atbilstošo periodu) samazinājās par 4.1%, savukārt līzinga sabiedrībām tas samazinājās vēl vairāk - par 4.5%. Lielākais kritums 2020. gada 2. ceturksnī novērots līzinga sabiedrību kredītportfelī nefinanšu uzņēmumiem, veidojot negatīvu pieauguma tempu (samazinājums par 7.4% (gads pret gadu)). Aizdevumi mājsaimniecībām 2020. gada 2. ceturksnī (pret iepriekšējā gada atbilstošo periodu) mēreni pieauga par 5.9%</w:t>
      </w:r>
      <w:r w:rsidR="002C4471">
        <w:rPr>
          <w:rFonts w:ascii="Times New Roman" w:eastAsia="Calibri" w:hAnsi="Times New Roman" w:cs="Times New Roman"/>
          <w:noProof/>
          <w:lang w:eastAsia="lv-LV"/>
        </w:rPr>
        <w:t xml:space="preserve">. </w:t>
      </w:r>
      <w:r w:rsidRPr="00E61204">
        <w:rPr>
          <w:rFonts w:ascii="Times New Roman" w:eastAsia="Calibri" w:hAnsi="Times New Roman" w:cs="Times New Roman"/>
          <w:noProof/>
          <w:lang w:eastAsia="lv-LV"/>
        </w:rPr>
        <w:t xml:space="preserve">Pieaugums mājsaimniecību kredītportfelī ir skaidrojams ar iepriekšējā gada apjomiem - zemo bāzi un ar iepriekšējo periodu straujo aizdevumu atlikuma pieaugumu. </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 xml:space="preserve">Savukārt atsevišķu nebanku kreditētāju, t.sk. "ātro kredītu" sabiedrību, izsniegtie kredīti mājsaimniecībām 2020. gada 2. ceturksnī pret iepriekšējā gada atbilstošo periodu samazinājās par 3.7%. Ilgstošajam pēdējos gados novērotajam pozitīvajam pieauguma tempam pretēju </w:t>
      </w:r>
      <w:r w:rsidRPr="00E61204">
        <w:rPr>
          <w:rFonts w:ascii="Times New Roman" w:eastAsia="Calibri" w:hAnsi="Times New Roman" w:cs="Times New Roman"/>
          <w:noProof/>
          <w:lang w:eastAsia="lv-LV"/>
        </w:rPr>
        <w:lastRenderedPageBreak/>
        <w:t xml:space="preserve">tendenci lielā mērā ietekmēja arī nesenie grozījumi Patērētāju tiesību aizsardzības likumā, paredzot paaugstinātus kreditēšanas standartus un stingrākus kredītu izsniegšanas nosacījumus. Ir sagaidāms, ka turpmākos periodus nebanku kreditētāju aizdevēju skaits varētu samazināties, no šā gada 1. janvāra </w:t>
      </w:r>
      <w:r w:rsidR="002C4471">
        <w:rPr>
          <w:rFonts w:ascii="Times New Roman" w:eastAsia="Calibri" w:hAnsi="Times New Roman" w:cs="Times New Roman"/>
          <w:noProof/>
          <w:lang w:eastAsia="lv-LV"/>
        </w:rPr>
        <w:t xml:space="preserve">tika </w:t>
      </w:r>
      <w:r w:rsidR="002C4471" w:rsidRPr="00E61204">
        <w:rPr>
          <w:rFonts w:ascii="Times New Roman" w:eastAsia="Calibri" w:hAnsi="Times New Roman" w:cs="Times New Roman"/>
          <w:noProof/>
          <w:lang w:eastAsia="lv-LV"/>
        </w:rPr>
        <w:t>paaugstin</w:t>
      </w:r>
      <w:r w:rsidR="002C4471">
        <w:rPr>
          <w:rFonts w:ascii="Times New Roman" w:eastAsia="Calibri" w:hAnsi="Times New Roman" w:cs="Times New Roman"/>
          <w:noProof/>
          <w:lang w:eastAsia="lv-LV"/>
        </w:rPr>
        <w:t xml:space="preserve">āta </w:t>
      </w:r>
      <w:r w:rsidR="002C4471" w:rsidRPr="00E61204">
        <w:rPr>
          <w:rFonts w:ascii="Times New Roman" w:eastAsia="Calibri" w:hAnsi="Times New Roman" w:cs="Times New Roman"/>
          <w:noProof/>
          <w:lang w:eastAsia="lv-LV"/>
        </w:rPr>
        <w:t>ikgadēj</w:t>
      </w:r>
      <w:r w:rsidR="002C4471">
        <w:rPr>
          <w:rFonts w:ascii="Times New Roman" w:eastAsia="Calibri" w:hAnsi="Times New Roman" w:cs="Times New Roman"/>
          <w:noProof/>
          <w:lang w:eastAsia="lv-LV"/>
        </w:rPr>
        <w:t xml:space="preserve">ā </w:t>
      </w:r>
      <w:r w:rsidRPr="00E61204">
        <w:rPr>
          <w:rFonts w:ascii="Times New Roman" w:eastAsia="Calibri" w:hAnsi="Times New Roman" w:cs="Times New Roman"/>
          <w:noProof/>
          <w:lang w:eastAsia="lv-LV"/>
        </w:rPr>
        <w:t>valsts nodevai par uzraudzību</w:t>
      </w:r>
      <w:r w:rsidR="002C4471">
        <w:rPr>
          <w:rFonts w:ascii="Times New Roman" w:eastAsia="Calibri" w:hAnsi="Times New Roman" w:cs="Times New Roman"/>
          <w:noProof/>
          <w:lang w:eastAsia="lv-LV"/>
        </w:rPr>
        <w:t>.</w:t>
      </w:r>
      <w:r w:rsidRPr="00E61204">
        <w:rPr>
          <w:rFonts w:ascii="Times New Roman" w:eastAsia="Calibri" w:hAnsi="Times New Roman" w:cs="Times New Roman"/>
          <w:noProof/>
          <w:lang w:eastAsia="lv-LV"/>
        </w:rPr>
        <w:t xml:space="preserve"> Tā rezultātā, kā arī ņemot vērā pandēmijas izraisīto ekonomikas lejupslīdi, atsevišķas mazās "ātro kredītu" sabiedrības varētu pārdot savus kredītportfeļus lielākām sabiedrībām vai arī veikt darbības apvienošanos. Turklāt, ir sagaidāms, ka jaunu tirgus dalībnieku ienākšana tirgū ar šo gadu būs ierobežotāka, jo valsts nodeva par licences izsniegšanu ir pieaugusi līdzvērtīgi nodevai par uzraudzību</w:t>
      </w:r>
      <w:r w:rsidR="002C4471">
        <w:rPr>
          <w:rFonts w:ascii="Times New Roman" w:eastAsia="Calibri" w:hAnsi="Times New Roman" w:cs="Times New Roman"/>
          <w:noProof/>
          <w:lang w:eastAsia="lv-LV"/>
        </w:rPr>
        <w:t>.</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 xml:space="preserve">Nekustamā īpašuma tirgus tendencēs 2020. gada sākumā iezīmējās vairākas būtiskas izmaiņas, kas bija saistītas ar martā noteiktajiem ierobežojumiem un pēkšņu vispārēju ekonomikas attīstības sabremzēšanos un iedzīvotāju piesardzību. Martā interese par hipotekāro kreditēšanu strauji nokritās, iedzīvotājiem tā vietā novirzot savus brīvos līdzekļus mājokļa labiekārtošanai vai remontam, kā arī turpinot veidot uzkrājumus. Savukārt vasarā, kā norāda eksperti, salīdzinot ar pavasari darījumu skaits būtiski pieauga, piemēram, Rīgā jūlijā darījumu skaits palielinājās par 29% salīdzinot ar jūniju, un, tendencei turpinoties, 3. ceturksnī darījumu skaits būtiski neatpaliktu no 1. ceturkšņa situācijas. Vienlaikus Rīgas mikrorajonu sērijveida dzīvokļu tirgū jūlijā novērotais cenu kritums bijis pagaidām vislielākais šogad, un jau augustā ir novērojams vairs tikai nebūtisks viena kvadrātmetra vidējais cenu kritums. Īres tirgus kopumā ir jūtīgāk reaģējis uz esošo situāciju ekonomikā, bet prasītajām īres maksām jau augustā ir novērots būtisks pieaugums, ņemot vērā studentu veidoto papildus pieprasījumu, un tās šobrīd ir sasniegušas gada sākuma līmeni. </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 xml:space="preserve">Mājokļu cenas šogad joprojām turpina pieaugt, bet pandēmijas ietekmē cenu pieauguma temps ir ievērojami samazinājies. Ņemot vērā nekoriģētus datus, CSP mājokļu cenu indekss 2020. gada 2. ceturksnī, salīdzinājumā ar iepriekšējā gada atbilstošo periodu, palielinājās par 1.6% (salīdzinājumā ar 8.8% pieaugumu 1. ceturksnī), esošo mājokļu cenām samazinoties par 0.1% (salīdzinot ar pieaugumu par 7.3% 1. ceturksnī), bet jauno mājokļu cenām pieaugot par 9.2% (1. ceturksnī - 15.6%). </w:t>
      </w:r>
    </w:p>
    <w:p w:rsidR="00E61204" w:rsidRPr="00E61204" w:rsidRDefault="00E61204" w:rsidP="00E61204">
      <w:pPr>
        <w:spacing w:after="120" w:line="240" w:lineRule="auto"/>
        <w:jc w:val="both"/>
        <w:rPr>
          <w:rFonts w:ascii="Times New Roman" w:eastAsia="Calibri" w:hAnsi="Times New Roman" w:cs="Times New Roman"/>
          <w:noProof/>
          <w:lang w:eastAsia="lv-LV"/>
        </w:rPr>
      </w:pPr>
      <w:r w:rsidRPr="00E61204">
        <w:rPr>
          <w:rFonts w:ascii="Times New Roman" w:eastAsia="Calibri" w:hAnsi="Times New Roman" w:cs="Times New Roman"/>
          <w:noProof/>
          <w:lang w:eastAsia="lv-LV"/>
        </w:rPr>
        <w:t xml:space="preserve">Vērtējot situāciju Latvijā 2020. gada septembrī, ņemot vērā tautsaimniecības šokus un neskaidrību par turpmākajām ekonomikas attīstības tendencēm, kas var ļoti strauji pasliktināties, pieaugot saslimušo skaitam un atjaunojoties ierobežojumiem, ir vērojami signāli par pieaugošiem riskiem finanšu stabilitātei un ir prognozējama finanšu cikla lejupvērsta tendence. Šajā periodā ļoti būtiski ir lemt par atbalsta pasākumu turpināšanu visvairāk skartajām uzņēmējdarbības nozarēm, jo pandēmijas turpmāka ietekme atsevišķām nozarēm nozīmētu arī turpmāku būtisku darbības ierobežošanu. Kopumā ciklisko risku novērtējums 2020. gada 2. ceturksni paliek nemainīgs, lai arī neskaidrība par Covid-19 pandēmijas turpmāku izplatību un tās ietekmi uz Latvijas tautsaimniecību paredz piesardzīgu ciklisko politiku attiecībā uz pozitīvas PKR normas piemērošanu. </w:t>
      </w:r>
    </w:p>
    <w:p w:rsidR="00A3730D" w:rsidRPr="00A7579A" w:rsidRDefault="00E61204" w:rsidP="00470CFE">
      <w:pPr>
        <w:keepNext/>
        <w:keepLines/>
        <w:spacing w:after="120" w:line="240" w:lineRule="auto"/>
        <w:jc w:val="both"/>
        <w:outlineLvl w:val="0"/>
        <w:rPr>
          <w:rFonts w:ascii="Times New Roman" w:hAnsi="Times New Roman" w:cs="Times New Roman"/>
        </w:rPr>
      </w:pPr>
      <w:r w:rsidRPr="00E61204">
        <w:rPr>
          <w:rFonts w:ascii="Times New Roman" w:eastAsia="Calibri" w:hAnsi="Times New Roman" w:cs="Times New Roman"/>
          <w:noProof/>
          <w:lang w:eastAsia="lv-LV"/>
        </w:rPr>
        <w:t xml:space="preserve">FKTK sadarbībā ar Latvijas Banku turpinās analizēt būtiskos rādītājus un tendences, vērtējot nosakāmo PKR normu nākamajos ceturkšņos. </w:t>
      </w:r>
    </w:p>
    <w:sectPr w:rsidR="00A3730D" w:rsidRPr="00A7579A" w:rsidSect="00FB659C">
      <w:pgSz w:w="11906" w:h="16838"/>
      <w:pgMar w:top="1440" w:right="1800" w:bottom="85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959" w:rsidRDefault="00691959" w:rsidP="0032368D">
      <w:pPr>
        <w:spacing w:after="0" w:line="240" w:lineRule="auto"/>
      </w:pPr>
      <w:r>
        <w:separator/>
      </w:r>
    </w:p>
  </w:endnote>
  <w:endnote w:type="continuationSeparator" w:id="0">
    <w:p w:rsidR="00691959" w:rsidRDefault="00691959"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959" w:rsidRDefault="00691959" w:rsidP="0032368D">
      <w:pPr>
        <w:spacing w:after="0" w:line="240" w:lineRule="auto"/>
      </w:pPr>
      <w:r>
        <w:separator/>
      </w:r>
    </w:p>
  </w:footnote>
  <w:footnote w:type="continuationSeparator" w:id="0">
    <w:p w:rsidR="00691959" w:rsidRDefault="00691959" w:rsidP="0032368D">
      <w:pPr>
        <w:spacing w:after="0" w:line="240" w:lineRule="auto"/>
      </w:pPr>
      <w:r>
        <w:continuationSeparator/>
      </w:r>
    </w:p>
  </w:footnote>
  <w:footnote w:id="1">
    <w:p w:rsidR="001D02DD" w:rsidRPr="001D02DD" w:rsidRDefault="001D02DD">
      <w:pPr>
        <w:pStyle w:val="FootnoteText"/>
        <w:rPr>
          <w:rFonts w:ascii="Times New Roman" w:hAnsi="Times New Roman" w:cs="Times New Roman"/>
          <w:lang w:val="en-US"/>
        </w:rPr>
      </w:pPr>
      <w:r w:rsidRPr="001D02DD">
        <w:rPr>
          <w:rStyle w:val="FootnoteReference"/>
          <w:rFonts w:ascii="Times New Roman" w:hAnsi="Times New Roman"/>
        </w:rPr>
        <w:footnoteRef/>
      </w:r>
      <w:r w:rsidRPr="001D02DD">
        <w:rPr>
          <w:rFonts w:ascii="Times New Roman" w:hAnsi="Times New Roman" w:cs="Times New Roman"/>
        </w:rPr>
        <w:t xml:space="preserve"> </w:t>
      </w:r>
      <w:r w:rsidRPr="001D02DD">
        <w:rPr>
          <w:rFonts w:ascii="Times New Roman" w:hAnsi="Times New Roman" w:cs="Times New Roman"/>
        </w:rPr>
        <w:t xml:space="preserve">CSP. Uzņēmumu konfidences rādītāji augustā. Pieejams: </w:t>
      </w:r>
      <w:hyperlink r:id="rId1" w:history="1">
        <w:r w:rsidRPr="001D02DD">
          <w:rPr>
            <w:rStyle w:val="Hyperlink"/>
            <w:rFonts w:ascii="Times New Roman" w:hAnsi="Times New Roman" w:cs="Times New Roman"/>
          </w:rPr>
          <w:t>https://www.csb.gov.lv/lv/Statistika/covid19/uznemumu-konfidences-raditaji-augusta</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68D"/>
    <w:rsid w:val="0000345E"/>
    <w:rsid w:val="00006294"/>
    <w:rsid w:val="000219CE"/>
    <w:rsid w:val="00033609"/>
    <w:rsid w:val="000416B6"/>
    <w:rsid w:val="0004770A"/>
    <w:rsid w:val="0005216E"/>
    <w:rsid w:val="00053D55"/>
    <w:rsid w:val="00056361"/>
    <w:rsid w:val="000732CA"/>
    <w:rsid w:val="00073CF2"/>
    <w:rsid w:val="00074564"/>
    <w:rsid w:val="000760CC"/>
    <w:rsid w:val="0007732A"/>
    <w:rsid w:val="0008428A"/>
    <w:rsid w:val="00092FAB"/>
    <w:rsid w:val="000A78A0"/>
    <w:rsid w:val="000B500D"/>
    <w:rsid w:val="000C4CF1"/>
    <w:rsid w:val="000C5528"/>
    <w:rsid w:val="000D0CFE"/>
    <w:rsid w:val="000D3F5D"/>
    <w:rsid w:val="000E07A5"/>
    <w:rsid w:val="000E7C19"/>
    <w:rsid w:val="001107C9"/>
    <w:rsid w:val="001200D0"/>
    <w:rsid w:val="00133C4A"/>
    <w:rsid w:val="001462F3"/>
    <w:rsid w:val="00151AC3"/>
    <w:rsid w:val="0015490A"/>
    <w:rsid w:val="00157AFD"/>
    <w:rsid w:val="00160E17"/>
    <w:rsid w:val="0017114E"/>
    <w:rsid w:val="00173659"/>
    <w:rsid w:val="00174F2D"/>
    <w:rsid w:val="0019182F"/>
    <w:rsid w:val="00196BE7"/>
    <w:rsid w:val="001A066A"/>
    <w:rsid w:val="001A3D76"/>
    <w:rsid w:val="001B1DB2"/>
    <w:rsid w:val="001B255A"/>
    <w:rsid w:val="001B2BC2"/>
    <w:rsid w:val="001B386C"/>
    <w:rsid w:val="001B3A24"/>
    <w:rsid w:val="001B4A29"/>
    <w:rsid w:val="001B75E4"/>
    <w:rsid w:val="001C4A4B"/>
    <w:rsid w:val="001D02DD"/>
    <w:rsid w:val="001D0D8E"/>
    <w:rsid w:val="001D1AD1"/>
    <w:rsid w:val="001D7A88"/>
    <w:rsid w:val="001D7E5E"/>
    <w:rsid w:val="001E4DEF"/>
    <w:rsid w:val="001E54D3"/>
    <w:rsid w:val="001E5B20"/>
    <w:rsid w:val="001E631C"/>
    <w:rsid w:val="001F0D5B"/>
    <w:rsid w:val="001F36C7"/>
    <w:rsid w:val="001F3CBB"/>
    <w:rsid w:val="001F574A"/>
    <w:rsid w:val="001F7184"/>
    <w:rsid w:val="00200585"/>
    <w:rsid w:val="00201F2A"/>
    <w:rsid w:val="00202693"/>
    <w:rsid w:val="00211C78"/>
    <w:rsid w:val="00212C82"/>
    <w:rsid w:val="00214ED9"/>
    <w:rsid w:val="002204A7"/>
    <w:rsid w:val="00222721"/>
    <w:rsid w:val="002343BD"/>
    <w:rsid w:val="0024248F"/>
    <w:rsid w:val="002427C4"/>
    <w:rsid w:val="00250A7A"/>
    <w:rsid w:val="0025420C"/>
    <w:rsid w:val="0025718E"/>
    <w:rsid w:val="00257798"/>
    <w:rsid w:val="002578B4"/>
    <w:rsid w:val="00264AD0"/>
    <w:rsid w:val="00275056"/>
    <w:rsid w:val="002774E0"/>
    <w:rsid w:val="0028285A"/>
    <w:rsid w:val="00282D6E"/>
    <w:rsid w:val="00283EDB"/>
    <w:rsid w:val="00286B91"/>
    <w:rsid w:val="00297A9A"/>
    <w:rsid w:val="002A0A04"/>
    <w:rsid w:val="002A3173"/>
    <w:rsid w:val="002A37B2"/>
    <w:rsid w:val="002A623C"/>
    <w:rsid w:val="002A6B0A"/>
    <w:rsid w:val="002B0DEE"/>
    <w:rsid w:val="002C0998"/>
    <w:rsid w:val="002C17C8"/>
    <w:rsid w:val="002C4471"/>
    <w:rsid w:val="002C4B94"/>
    <w:rsid w:val="002D0028"/>
    <w:rsid w:val="002D1280"/>
    <w:rsid w:val="002D66B5"/>
    <w:rsid w:val="002D763E"/>
    <w:rsid w:val="002E2D88"/>
    <w:rsid w:val="002E458C"/>
    <w:rsid w:val="002E5CD2"/>
    <w:rsid w:val="002E5D00"/>
    <w:rsid w:val="002E7702"/>
    <w:rsid w:val="002F0E6B"/>
    <w:rsid w:val="002F2C6A"/>
    <w:rsid w:val="0030576F"/>
    <w:rsid w:val="00307DBC"/>
    <w:rsid w:val="003146BA"/>
    <w:rsid w:val="0031554E"/>
    <w:rsid w:val="00317341"/>
    <w:rsid w:val="0032368D"/>
    <w:rsid w:val="00327AF2"/>
    <w:rsid w:val="00332E8E"/>
    <w:rsid w:val="00336DFF"/>
    <w:rsid w:val="003408BC"/>
    <w:rsid w:val="00342E7E"/>
    <w:rsid w:val="00347BD8"/>
    <w:rsid w:val="003510A3"/>
    <w:rsid w:val="003522C3"/>
    <w:rsid w:val="0036153F"/>
    <w:rsid w:val="0036687B"/>
    <w:rsid w:val="003676B7"/>
    <w:rsid w:val="00373687"/>
    <w:rsid w:val="003811B7"/>
    <w:rsid w:val="003833D9"/>
    <w:rsid w:val="003869BE"/>
    <w:rsid w:val="003950AB"/>
    <w:rsid w:val="003A1C21"/>
    <w:rsid w:val="003A4F4B"/>
    <w:rsid w:val="003A71F7"/>
    <w:rsid w:val="003A788B"/>
    <w:rsid w:val="003C0C57"/>
    <w:rsid w:val="003C4CFB"/>
    <w:rsid w:val="003C5456"/>
    <w:rsid w:val="003C6059"/>
    <w:rsid w:val="003C7C63"/>
    <w:rsid w:val="003D03F5"/>
    <w:rsid w:val="003D464B"/>
    <w:rsid w:val="003D54E7"/>
    <w:rsid w:val="003F243B"/>
    <w:rsid w:val="004058BC"/>
    <w:rsid w:val="00407879"/>
    <w:rsid w:val="00410BF9"/>
    <w:rsid w:val="00413C37"/>
    <w:rsid w:val="00421D1C"/>
    <w:rsid w:val="00427AFE"/>
    <w:rsid w:val="0044271E"/>
    <w:rsid w:val="004438F2"/>
    <w:rsid w:val="004458CB"/>
    <w:rsid w:val="0046415C"/>
    <w:rsid w:val="00470CFE"/>
    <w:rsid w:val="004715BE"/>
    <w:rsid w:val="00471FDD"/>
    <w:rsid w:val="00477791"/>
    <w:rsid w:val="004802E1"/>
    <w:rsid w:val="00481DA2"/>
    <w:rsid w:val="00483023"/>
    <w:rsid w:val="0048333C"/>
    <w:rsid w:val="00483487"/>
    <w:rsid w:val="004852DF"/>
    <w:rsid w:val="00485DED"/>
    <w:rsid w:val="00490B38"/>
    <w:rsid w:val="004950F6"/>
    <w:rsid w:val="004A27C0"/>
    <w:rsid w:val="004A6195"/>
    <w:rsid w:val="004A6271"/>
    <w:rsid w:val="004D2A61"/>
    <w:rsid w:val="004D5F26"/>
    <w:rsid w:val="004E4EFF"/>
    <w:rsid w:val="004E598C"/>
    <w:rsid w:val="004F1E9D"/>
    <w:rsid w:val="004F22BD"/>
    <w:rsid w:val="004F57E6"/>
    <w:rsid w:val="004F663E"/>
    <w:rsid w:val="005002AE"/>
    <w:rsid w:val="0050101D"/>
    <w:rsid w:val="00501F69"/>
    <w:rsid w:val="005039A2"/>
    <w:rsid w:val="00505E20"/>
    <w:rsid w:val="00512D34"/>
    <w:rsid w:val="0051567D"/>
    <w:rsid w:val="00541087"/>
    <w:rsid w:val="00545D33"/>
    <w:rsid w:val="00551EDB"/>
    <w:rsid w:val="005530EC"/>
    <w:rsid w:val="005557E7"/>
    <w:rsid w:val="00556281"/>
    <w:rsid w:val="00563458"/>
    <w:rsid w:val="00575728"/>
    <w:rsid w:val="005809B2"/>
    <w:rsid w:val="0058464F"/>
    <w:rsid w:val="00584828"/>
    <w:rsid w:val="00594104"/>
    <w:rsid w:val="00595758"/>
    <w:rsid w:val="00597727"/>
    <w:rsid w:val="005B43FD"/>
    <w:rsid w:val="005B5A65"/>
    <w:rsid w:val="005B6F2D"/>
    <w:rsid w:val="005C192C"/>
    <w:rsid w:val="005C5BE4"/>
    <w:rsid w:val="005C6193"/>
    <w:rsid w:val="005C6820"/>
    <w:rsid w:val="005D0F48"/>
    <w:rsid w:val="005D72CD"/>
    <w:rsid w:val="005D7527"/>
    <w:rsid w:val="005E27EE"/>
    <w:rsid w:val="005F22B5"/>
    <w:rsid w:val="005F5E68"/>
    <w:rsid w:val="005F6B02"/>
    <w:rsid w:val="005F6B51"/>
    <w:rsid w:val="0060248D"/>
    <w:rsid w:val="00603E26"/>
    <w:rsid w:val="00611E90"/>
    <w:rsid w:val="0061393A"/>
    <w:rsid w:val="00626D69"/>
    <w:rsid w:val="00630A3C"/>
    <w:rsid w:val="00637145"/>
    <w:rsid w:val="006419D4"/>
    <w:rsid w:val="00647385"/>
    <w:rsid w:val="006506BC"/>
    <w:rsid w:val="00650A3F"/>
    <w:rsid w:val="00652B58"/>
    <w:rsid w:val="00665696"/>
    <w:rsid w:val="00676D29"/>
    <w:rsid w:val="006852AB"/>
    <w:rsid w:val="00686462"/>
    <w:rsid w:val="0068695B"/>
    <w:rsid w:val="00691959"/>
    <w:rsid w:val="00694A1E"/>
    <w:rsid w:val="006A0A25"/>
    <w:rsid w:val="006A2EA8"/>
    <w:rsid w:val="006A5D61"/>
    <w:rsid w:val="006C4BF1"/>
    <w:rsid w:val="006D53F7"/>
    <w:rsid w:val="006E2DE7"/>
    <w:rsid w:val="006E54D0"/>
    <w:rsid w:val="006F3C5A"/>
    <w:rsid w:val="007054B6"/>
    <w:rsid w:val="007101E0"/>
    <w:rsid w:val="007135B6"/>
    <w:rsid w:val="00715403"/>
    <w:rsid w:val="00722FBC"/>
    <w:rsid w:val="007240F6"/>
    <w:rsid w:val="00730C2D"/>
    <w:rsid w:val="007314BB"/>
    <w:rsid w:val="00732145"/>
    <w:rsid w:val="00734FF6"/>
    <w:rsid w:val="0075295B"/>
    <w:rsid w:val="00752964"/>
    <w:rsid w:val="00753A0C"/>
    <w:rsid w:val="00755306"/>
    <w:rsid w:val="0076445A"/>
    <w:rsid w:val="007711FA"/>
    <w:rsid w:val="0077191E"/>
    <w:rsid w:val="00781E70"/>
    <w:rsid w:val="00786278"/>
    <w:rsid w:val="00795CBC"/>
    <w:rsid w:val="00797CA5"/>
    <w:rsid w:val="007A0626"/>
    <w:rsid w:val="007A06E9"/>
    <w:rsid w:val="007A2552"/>
    <w:rsid w:val="007A3364"/>
    <w:rsid w:val="007A6003"/>
    <w:rsid w:val="007B0186"/>
    <w:rsid w:val="007B18EE"/>
    <w:rsid w:val="007B5C91"/>
    <w:rsid w:val="007B6DE4"/>
    <w:rsid w:val="007B70B4"/>
    <w:rsid w:val="007C062F"/>
    <w:rsid w:val="007C5CB7"/>
    <w:rsid w:val="007D02BE"/>
    <w:rsid w:val="007D0F9E"/>
    <w:rsid w:val="007D4B90"/>
    <w:rsid w:val="007F0B1F"/>
    <w:rsid w:val="007F27EB"/>
    <w:rsid w:val="007F43A8"/>
    <w:rsid w:val="008018ED"/>
    <w:rsid w:val="00803B31"/>
    <w:rsid w:val="008045C6"/>
    <w:rsid w:val="00804704"/>
    <w:rsid w:val="0080796D"/>
    <w:rsid w:val="008126F3"/>
    <w:rsid w:val="00812F55"/>
    <w:rsid w:val="008153A2"/>
    <w:rsid w:val="00823AC7"/>
    <w:rsid w:val="00827011"/>
    <w:rsid w:val="008321C2"/>
    <w:rsid w:val="0083262F"/>
    <w:rsid w:val="00833DD1"/>
    <w:rsid w:val="00834BCF"/>
    <w:rsid w:val="0084152B"/>
    <w:rsid w:val="008436E0"/>
    <w:rsid w:val="0086001F"/>
    <w:rsid w:val="00883B9E"/>
    <w:rsid w:val="008971A7"/>
    <w:rsid w:val="008A2AD7"/>
    <w:rsid w:val="008B0CC4"/>
    <w:rsid w:val="008B0FED"/>
    <w:rsid w:val="008B2C91"/>
    <w:rsid w:val="008B365D"/>
    <w:rsid w:val="008B7997"/>
    <w:rsid w:val="008C19F9"/>
    <w:rsid w:val="008C4114"/>
    <w:rsid w:val="008E4105"/>
    <w:rsid w:val="008F031D"/>
    <w:rsid w:val="00900A60"/>
    <w:rsid w:val="009036F8"/>
    <w:rsid w:val="009044ED"/>
    <w:rsid w:val="00906956"/>
    <w:rsid w:val="009107FF"/>
    <w:rsid w:val="0091202B"/>
    <w:rsid w:val="0091533F"/>
    <w:rsid w:val="0092200A"/>
    <w:rsid w:val="00932616"/>
    <w:rsid w:val="00934B31"/>
    <w:rsid w:val="00936D45"/>
    <w:rsid w:val="00937F23"/>
    <w:rsid w:val="00947530"/>
    <w:rsid w:val="009562C7"/>
    <w:rsid w:val="009654B7"/>
    <w:rsid w:val="00970803"/>
    <w:rsid w:val="00970B53"/>
    <w:rsid w:val="00973A4B"/>
    <w:rsid w:val="00973D6F"/>
    <w:rsid w:val="009751FA"/>
    <w:rsid w:val="009803DF"/>
    <w:rsid w:val="00990449"/>
    <w:rsid w:val="00997CAD"/>
    <w:rsid w:val="009A09F2"/>
    <w:rsid w:val="009A5CAC"/>
    <w:rsid w:val="009B053B"/>
    <w:rsid w:val="009C47C6"/>
    <w:rsid w:val="009D133E"/>
    <w:rsid w:val="009D5592"/>
    <w:rsid w:val="009D5C3F"/>
    <w:rsid w:val="009E69AE"/>
    <w:rsid w:val="009F4A34"/>
    <w:rsid w:val="009F4B08"/>
    <w:rsid w:val="009F6D73"/>
    <w:rsid w:val="00A066A5"/>
    <w:rsid w:val="00A06DCF"/>
    <w:rsid w:val="00A10CCE"/>
    <w:rsid w:val="00A111D3"/>
    <w:rsid w:val="00A17E24"/>
    <w:rsid w:val="00A2498A"/>
    <w:rsid w:val="00A254AC"/>
    <w:rsid w:val="00A31E93"/>
    <w:rsid w:val="00A343F8"/>
    <w:rsid w:val="00A37284"/>
    <w:rsid w:val="00A3730D"/>
    <w:rsid w:val="00A460F4"/>
    <w:rsid w:val="00A46727"/>
    <w:rsid w:val="00A47087"/>
    <w:rsid w:val="00A51512"/>
    <w:rsid w:val="00A60AD7"/>
    <w:rsid w:val="00A61771"/>
    <w:rsid w:val="00A63FA3"/>
    <w:rsid w:val="00A73D5F"/>
    <w:rsid w:val="00A740A3"/>
    <w:rsid w:val="00A749AD"/>
    <w:rsid w:val="00A7579A"/>
    <w:rsid w:val="00A81C4E"/>
    <w:rsid w:val="00A90DD9"/>
    <w:rsid w:val="00A96FD2"/>
    <w:rsid w:val="00AA54E2"/>
    <w:rsid w:val="00AB0804"/>
    <w:rsid w:val="00AB7D3C"/>
    <w:rsid w:val="00AC017B"/>
    <w:rsid w:val="00AC3B42"/>
    <w:rsid w:val="00AC5314"/>
    <w:rsid w:val="00AD0F9A"/>
    <w:rsid w:val="00AD0FED"/>
    <w:rsid w:val="00AD3EE0"/>
    <w:rsid w:val="00AD4BAB"/>
    <w:rsid w:val="00AE237D"/>
    <w:rsid w:val="00AF1886"/>
    <w:rsid w:val="00AF5A22"/>
    <w:rsid w:val="00AF66DD"/>
    <w:rsid w:val="00B131EB"/>
    <w:rsid w:val="00B14758"/>
    <w:rsid w:val="00B2174C"/>
    <w:rsid w:val="00B228F2"/>
    <w:rsid w:val="00B340E6"/>
    <w:rsid w:val="00B35AC6"/>
    <w:rsid w:val="00B35E52"/>
    <w:rsid w:val="00B36036"/>
    <w:rsid w:val="00B45EF2"/>
    <w:rsid w:val="00B57DE1"/>
    <w:rsid w:val="00B70808"/>
    <w:rsid w:val="00B76C49"/>
    <w:rsid w:val="00B7762B"/>
    <w:rsid w:val="00B77A3A"/>
    <w:rsid w:val="00B933DE"/>
    <w:rsid w:val="00B94A70"/>
    <w:rsid w:val="00B94FA0"/>
    <w:rsid w:val="00BA7A20"/>
    <w:rsid w:val="00BC2EF8"/>
    <w:rsid w:val="00BC61BA"/>
    <w:rsid w:val="00BD4B42"/>
    <w:rsid w:val="00BD6400"/>
    <w:rsid w:val="00BE4CD6"/>
    <w:rsid w:val="00BE6527"/>
    <w:rsid w:val="00BF0EA9"/>
    <w:rsid w:val="00BF1FBC"/>
    <w:rsid w:val="00BF4770"/>
    <w:rsid w:val="00C01699"/>
    <w:rsid w:val="00C02112"/>
    <w:rsid w:val="00C04813"/>
    <w:rsid w:val="00C05C51"/>
    <w:rsid w:val="00C40D79"/>
    <w:rsid w:val="00C51304"/>
    <w:rsid w:val="00C617C6"/>
    <w:rsid w:val="00C63EB1"/>
    <w:rsid w:val="00C7742A"/>
    <w:rsid w:val="00C84AAE"/>
    <w:rsid w:val="00CA2374"/>
    <w:rsid w:val="00CB0996"/>
    <w:rsid w:val="00CB0997"/>
    <w:rsid w:val="00CB1528"/>
    <w:rsid w:val="00CB6ADE"/>
    <w:rsid w:val="00CC708A"/>
    <w:rsid w:val="00CC7720"/>
    <w:rsid w:val="00CD6726"/>
    <w:rsid w:val="00CD77B4"/>
    <w:rsid w:val="00CE0BC6"/>
    <w:rsid w:val="00D03E0C"/>
    <w:rsid w:val="00D07221"/>
    <w:rsid w:val="00D121EA"/>
    <w:rsid w:val="00D203B7"/>
    <w:rsid w:val="00D20E6D"/>
    <w:rsid w:val="00D225CA"/>
    <w:rsid w:val="00D32F4B"/>
    <w:rsid w:val="00D336FE"/>
    <w:rsid w:val="00D43F90"/>
    <w:rsid w:val="00D478AE"/>
    <w:rsid w:val="00D478E9"/>
    <w:rsid w:val="00D47D17"/>
    <w:rsid w:val="00D5033E"/>
    <w:rsid w:val="00D5186E"/>
    <w:rsid w:val="00D5282A"/>
    <w:rsid w:val="00D52888"/>
    <w:rsid w:val="00D804C6"/>
    <w:rsid w:val="00D901EC"/>
    <w:rsid w:val="00D92758"/>
    <w:rsid w:val="00D95035"/>
    <w:rsid w:val="00DA22B5"/>
    <w:rsid w:val="00DA566A"/>
    <w:rsid w:val="00DB2930"/>
    <w:rsid w:val="00DB366C"/>
    <w:rsid w:val="00DB4787"/>
    <w:rsid w:val="00DB689E"/>
    <w:rsid w:val="00DC02D1"/>
    <w:rsid w:val="00DC088E"/>
    <w:rsid w:val="00DC2C50"/>
    <w:rsid w:val="00DC3C4B"/>
    <w:rsid w:val="00DC5BC8"/>
    <w:rsid w:val="00DD1268"/>
    <w:rsid w:val="00DD45B1"/>
    <w:rsid w:val="00DD7B69"/>
    <w:rsid w:val="00DE2350"/>
    <w:rsid w:val="00DE4BD5"/>
    <w:rsid w:val="00DF3E48"/>
    <w:rsid w:val="00DF45EE"/>
    <w:rsid w:val="00E11FC9"/>
    <w:rsid w:val="00E20ACF"/>
    <w:rsid w:val="00E20F38"/>
    <w:rsid w:val="00E22DC2"/>
    <w:rsid w:val="00E234D1"/>
    <w:rsid w:val="00E25E99"/>
    <w:rsid w:val="00E32D20"/>
    <w:rsid w:val="00E360C4"/>
    <w:rsid w:val="00E361A8"/>
    <w:rsid w:val="00E479DE"/>
    <w:rsid w:val="00E60665"/>
    <w:rsid w:val="00E60F59"/>
    <w:rsid w:val="00E61204"/>
    <w:rsid w:val="00E61ADB"/>
    <w:rsid w:val="00E6384B"/>
    <w:rsid w:val="00E6583E"/>
    <w:rsid w:val="00E72ACD"/>
    <w:rsid w:val="00E72E46"/>
    <w:rsid w:val="00E74D2B"/>
    <w:rsid w:val="00E75100"/>
    <w:rsid w:val="00E75495"/>
    <w:rsid w:val="00E76600"/>
    <w:rsid w:val="00E84344"/>
    <w:rsid w:val="00E9170F"/>
    <w:rsid w:val="00E9329D"/>
    <w:rsid w:val="00EA38B7"/>
    <w:rsid w:val="00EA39EE"/>
    <w:rsid w:val="00EA5186"/>
    <w:rsid w:val="00EB59C4"/>
    <w:rsid w:val="00EC0C38"/>
    <w:rsid w:val="00ED0319"/>
    <w:rsid w:val="00ED2B36"/>
    <w:rsid w:val="00ED4E21"/>
    <w:rsid w:val="00ED76A1"/>
    <w:rsid w:val="00EE1537"/>
    <w:rsid w:val="00EE1EEE"/>
    <w:rsid w:val="00EE74AB"/>
    <w:rsid w:val="00EE74B5"/>
    <w:rsid w:val="00EF0585"/>
    <w:rsid w:val="00EF6ACF"/>
    <w:rsid w:val="00F06CDC"/>
    <w:rsid w:val="00F13520"/>
    <w:rsid w:val="00F15844"/>
    <w:rsid w:val="00F40422"/>
    <w:rsid w:val="00F42D02"/>
    <w:rsid w:val="00F43086"/>
    <w:rsid w:val="00F4649E"/>
    <w:rsid w:val="00F511BD"/>
    <w:rsid w:val="00F511EA"/>
    <w:rsid w:val="00F514F0"/>
    <w:rsid w:val="00F62F5E"/>
    <w:rsid w:val="00F70483"/>
    <w:rsid w:val="00F75EF8"/>
    <w:rsid w:val="00F83F56"/>
    <w:rsid w:val="00F83F5F"/>
    <w:rsid w:val="00F85351"/>
    <w:rsid w:val="00F93372"/>
    <w:rsid w:val="00FA19CE"/>
    <w:rsid w:val="00FA2263"/>
    <w:rsid w:val="00FB659C"/>
    <w:rsid w:val="00FC0DF5"/>
    <w:rsid w:val="00FC3E17"/>
    <w:rsid w:val="00FC5E65"/>
    <w:rsid w:val="00FC6C58"/>
    <w:rsid w:val="00FD2440"/>
    <w:rsid w:val="00FE0283"/>
    <w:rsid w:val="00FE4989"/>
    <w:rsid w:val="00FF0A26"/>
    <w:rsid w:val="00FF783B"/>
    <w:rsid w:val="00FF78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C9DB6A-C965-446E-AE2E-145A18348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uiPriority w:val="99"/>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 w:type="paragraph" w:styleId="Header">
    <w:name w:val="header"/>
    <w:basedOn w:val="Normal"/>
    <w:link w:val="HeaderChar"/>
    <w:uiPriority w:val="99"/>
    <w:unhideWhenUsed/>
    <w:rsid w:val="00947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530"/>
  </w:style>
  <w:style w:type="paragraph" w:styleId="Footer">
    <w:name w:val="footer"/>
    <w:basedOn w:val="Normal"/>
    <w:link w:val="FooterChar"/>
    <w:uiPriority w:val="99"/>
    <w:unhideWhenUsed/>
    <w:rsid w:val="00947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530"/>
  </w:style>
  <w:style w:type="character" w:styleId="Hyperlink">
    <w:name w:val="Hyperlink"/>
    <w:basedOn w:val="DefaultParagraphFont"/>
    <w:uiPriority w:val="99"/>
    <w:unhideWhenUsed/>
    <w:rsid w:val="00470CFE"/>
    <w:rPr>
      <w:color w:val="0000FF" w:themeColor="hyperlink"/>
      <w:u w:val="single"/>
    </w:rPr>
  </w:style>
  <w:style w:type="character" w:styleId="FollowedHyperlink">
    <w:name w:val="FollowedHyperlink"/>
    <w:basedOn w:val="DefaultParagraphFont"/>
    <w:uiPriority w:val="99"/>
    <w:semiHidden/>
    <w:unhideWhenUsed/>
    <w:rsid w:val="00470C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451261">
      <w:bodyDiv w:val="1"/>
      <w:marLeft w:val="0"/>
      <w:marRight w:val="0"/>
      <w:marTop w:val="0"/>
      <w:marBottom w:val="0"/>
      <w:divBdr>
        <w:top w:val="none" w:sz="0" w:space="0" w:color="auto"/>
        <w:left w:val="none" w:sz="0" w:space="0" w:color="auto"/>
        <w:bottom w:val="none" w:sz="0" w:space="0" w:color="auto"/>
        <w:right w:val="none" w:sz="0" w:space="0" w:color="auto"/>
      </w:divBdr>
    </w:div>
    <w:div w:id="10225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csb.gov.lv/lv/Statistika/covid19/uznemumu-konfidences-raditaji-augus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A8C9A-4A25-42C8-8085-8FD12343B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1827</Words>
  <Characters>10417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Kristina Bojare</cp:lastModifiedBy>
  <cp:revision>20</cp:revision>
  <cp:lastPrinted>2016-01-27T08:05:00Z</cp:lastPrinted>
  <dcterms:created xsi:type="dcterms:W3CDTF">2020-04-24T12:15:00Z</dcterms:created>
  <dcterms:modified xsi:type="dcterms:W3CDTF">2020-10-22T09:39:00Z</dcterms:modified>
</cp:coreProperties>
</file>