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C51" w:rsidRPr="00477791" w:rsidRDefault="002E5CD2" w:rsidP="00477791">
      <w:pPr>
        <w:keepNext/>
        <w:keepLines/>
        <w:spacing w:after="120" w:line="240" w:lineRule="auto"/>
        <w:jc w:val="both"/>
        <w:outlineLvl w:val="0"/>
        <w:rPr>
          <w:rFonts w:ascii="Times New Roman" w:eastAsia="Times New Roman" w:hAnsi="Times New Roman" w:cs="Times New Roman"/>
          <w:b/>
          <w:bCs/>
          <w:kern w:val="28"/>
        </w:rPr>
      </w:pPr>
      <w:bookmarkStart w:id="0" w:name="_Toc403946511"/>
      <w:r>
        <w:rPr>
          <w:rFonts w:ascii="Times New Roman" w:eastAsia="Times New Roman" w:hAnsi="Times New Roman" w:cs="Times New Roman"/>
          <w:b/>
          <w:bCs/>
          <w:kern w:val="28"/>
        </w:rPr>
        <w:t>28</w:t>
      </w:r>
      <w:r w:rsidR="00C05C51" w:rsidRPr="00477791">
        <w:rPr>
          <w:rFonts w:ascii="Times New Roman" w:eastAsia="Times New Roman" w:hAnsi="Times New Roman" w:cs="Times New Roman"/>
          <w:b/>
          <w:bCs/>
          <w:kern w:val="28"/>
        </w:rPr>
        <w:t>.</w:t>
      </w:r>
      <w:r>
        <w:rPr>
          <w:rFonts w:ascii="Times New Roman" w:eastAsia="Times New Roman" w:hAnsi="Times New Roman" w:cs="Times New Roman"/>
          <w:b/>
          <w:bCs/>
          <w:kern w:val="28"/>
        </w:rPr>
        <w:t>01</w:t>
      </w:r>
      <w:r w:rsidR="00C05C51" w:rsidRPr="00477791">
        <w:rPr>
          <w:rFonts w:ascii="Times New Roman" w:eastAsia="Times New Roman" w:hAnsi="Times New Roman" w:cs="Times New Roman"/>
          <w:b/>
          <w:bCs/>
          <w:kern w:val="28"/>
        </w:rPr>
        <w:t>.</w:t>
      </w:r>
      <w:r w:rsidRPr="00477791">
        <w:rPr>
          <w:rFonts w:ascii="Times New Roman" w:eastAsia="Times New Roman" w:hAnsi="Times New Roman" w:cs="Times New Roman"/>
          <w:b/>
          <w:bCs/>
          <w:kern w:val="28"/>
        </w:rPr>
        <w:t>20</w:t>
      </w:r>
      <w:r>
        <w:rPr>
          <w:rFonts w:ascii="Times New Roman" w:eastAsia="Times New Roman" w:hAnsi="Times New Roman" w:cs="Times New Roman"/>
          <w:b/>
          <w:bCs/>
          <w:kern w:val="28"/>
        </w:rPr>
        <w:t>20</w:t>
      </w:r>
      <w:r w:rsidR="00C05C51" w:rsidRPr="00477791">
        <w:rPr>
          <w:rFonts w:ascii="Times New Roman" w:eastAsia="Times New Roman" w:hAnsi="Times New Roman" w:cs="Times New Roman"/>
          <w:b/>
          <w:bCs/>
          <w:kern w:val="28"/>
        </w:rPr>
        <w:t xml:space="preserve">. lēmums par </w:t>
      </w:r>
      <w:r w:rsidR="008321C2" w:rsidRPr="00477791">
        <w:rPr>
          <w:rFonts w:ascii="Times New Roman" w:eastAsia="Times New Roman" w:hAnsi="Times New Roman" w:cs="Times New Roman"/>
          <w:b/>
          <w:bCs/>
          <w:kern w:val="28"/>
        </w:rPr>
        <w:t>p</w:t>
      </w:r>
      <w:r w:rsidR="00C05C51" w:rsidRPr="00477791">
        <w:rPr>
          <w:rFonts w:ascii="Times New Roman" w:eastAsia="Times New Roman" w:hAnsi="Times New Roman" w:cs="Times New Roman"/>
          <w:b/>
          <w:bCs/>
          <w:kern w:val="28"/>
        </w:rPr>
        <w:t>retcikliskās kapitāla rezerves</w:t>
      </w:r>
      <w:r w:rsidR="002A0A04" w:rsidRPr="00477791">
        <w:rPr>
          <w:rFonts w:ascii="Times New Roman" w:eastAsia="Times New Roman" w:hAnsi="Times New Roman" w:cs="Times New Roman"/>
          <w:b/>
          <w:bCs/>
          <w:kern w:val="28"/>
        </w:rPr>
        <w:t xml:space="preserve"> </w:t>
      </w:r>
      <w:r w:rsidR="00C05C51" w:rsidRPr="00477791">
        <w:rPr>
          <w:rFonts w:ascii="Times New Roman" w:eastAsia="Times New Roman" w:hAnsi="Times New Roman" w:cs="Times New Roman"/>
          <w:b/>
          <w:bCs/>
          <w:kern w:val="28"/>
        </w:rPr>
        <w:t xml:space="preserve">normas </w:t>
      </w:r>
      <w:r w:rsidR="005D0F48" w:rsidRPr="00477791">
        <w:rPr>
          <w:rFonts w:ascii="Times New Roman" w:eastAsia="Times New Roman" w:hAnsi="Times New Roman" w:cs="Times New Roman"/>
          <w:b/>
          <w:bCs/>
          <w:kern w:val="28"/>
        </w:rPr>
        <w:t>darījumiem</w:t>
      </w:r>
      <w:r w:rsidR="002D1280" w:rsidRPr="00477791">
        <w:rPr>
          <w:rFonts w:ascii="Times New Roman" w:eastAsia="Times New Roman" w:hAnsi="Times New Roman" w:cs="Times New Roman"/>
          <w:b/>
          <w:bCs/>
          <w:kern w:val="28"/>
        </w:rPr>
        <w:t>, kuri noslēgti</w:t>
      </w:r>
      <w:r w:rsidR="005D0F48" w:rsidRPr="00477791">
        <w:rPr>
          <w:rFonts w:ascii="Times New Roman" w:eastAsia="Times New Roman" w:hAnsi="Times New Roman" w:cs="Times New Roman"/>
          <w:b/>
          <w:bCs/>
          <w:kern w:val="28"/>
        </w:rPr>
        <w:t xml:space="preserve"> ar Latvijas </w:t>
      </w:r>
      <w:r w:rsidR="004F22BD" w:rsidRPr="00477791">
        <w:rPr>
          <w:rFonts w:ascii="Times New Roman" w:eastAsia="Times New Roman" w:hAnsi="Times New Roman" w:cs="Times New Roman"/>
          <w:b/>
          <w:bCs/>
          <w:kern w:val="28"/>
        </w:rPr>
        <w:t xml:space="preserve">Republikas </w:t>
      </w:r>
      <w:r w:rsidR="005D0F48" w:rsidRPr="00477791">
        <w:rPr>
          <w:rFonts w:ascii="Times New Roman" w:eastAsia="Times New Roman" w:hAnsi="Times New Roman" w:cs="Times New Roman"/>
          <w:b/>
          <w:bCs/>
          <w:kern w:val="28"/>
        </w:rPr>
        <w:t>rezidentiem</w:t>
      </w:r>
      <w:r w:rsidR="004F22BD" w:rsidRPr="00477791">
        <w:rPr>
          <w:rFonts w:ascii="Times New Roman" w:eastAsia="Times New Roman" w:hAnsi="Times New Roman" w:cs="Times New Roman"/>
          <w:b/>
          <w:bCs/>
          <w:kern w:val="28"/>
        </w:rPr>
        <w:t>,</w:t>
      </w:r>
      <w:r w:rsidR="005D0F48" w:rsidRPr="00477791">
        <w:rPr>
          <w:rFonts w:ascii="Times New Roman" w:eastAsia="Times New Roman" w:hAnsi="Times New Roman" w:cs="Times New Roman"/>
          <w:b/>
          <w:bCs/>
          <w:kern w:val="28"/>
        </w:rPr>
        <w:t xml:space="preserve"> </w:t>
      </w:r>
      <w:r w:rsidR="00C05C51" w:rsidRPr="00477791">
        <w:rPr>
          <w:rFonts w:ascii="Times New Roman" w:eastAsia="Times New Roman" w:hAnsi="Times New Roman" w:cs="Times New Roman"/>
          <w:b/>
          <w:bCs/>
          <w:kern w:val="28"/>
        </w:rPr>
        <w:t>noteikšanu</w:t>
      </w:r>
    </w:p>
    <w:p w:rsidR="00C05C51" w:rsidRPr="00A7579A" w:rsidRDefault="00C05C51" w:rsidP="00477791">
      <w:pPr>
        <w:keepNext/>
        <w:keepLines/>
        <w:spacing w:after="120" w:line="240" w:lineRule="auto"/>
        <w:jc w:val="both"/>
        <w:outlineLvl w:val="0"/>
        <w:rPr>
          <w:rFonts w:ascii="Times New Roman" w:eastAsia="Times New Roman" w:hAnsi="Times New Roman" w:cs="Times New Roman"/>
          <w:b/>
          <w:bCs/>
          <w:kern w:val="28"/>
        </w:rPr>
      </w:pPr>
      <w:r w:rsidRPr="00222721">
        <w:rPr>
          <w:rFonts w:ascii="Times New Roman" w:eastAsia="Times New Roman" w:hAnsi="Times New Roman" w:cs="Times New Roman"/>
          <w:b/>
          <w:bCs/>
          <w:kern w:val="28"/>
        </w:rPr>
        <w:t>Pretcikliskās kapitāla rezerves</w:t>
      </w:r>
      <w:r w:rsidR="002A0A04" w:rsidRPr="00222721">
        <w:rPr>
          <w:rFonts w:ascii="Times New Roman" w:eastAsia="Times New Roman" w:hAnsi="Times New Roman" w:cs="Times New Roman"/>
          <w:b/>
          <w:bCs/>
          <w:kern w:val="28"/>
        </w:rPr>
        <w:t xml:space="preserve"> </w:t>
      </w:r>
      <w:r w:rsidRPr="00222721">
        <w:rPr>
          <w:rFonts w:ascii="Times New Roman" w:eastAsia="Times New Roman" w:hAnsi="Times New Roman" w:cs="Times New Roman"/>
          <w:b/>
          <w:bCs/>
          <w:kern w:val="28"/>
        </w:rPr>
        <w:t xml:space="preserve">(PKR) norma </w:t>
      </w:r>
      <w:r w:rsidR="005D0F48" w:rsidRPr="00222721">
        <w:rPr>
          <w:rFonts w:ascii="Times New Roman" w:eastAsia="Times New Roman" w:hAnsi="Times New Roman" w:cs="Times New Roman"/>
          <w:b/>
          <w:bCs/>
          <w:kern w:val="28"/>
        </w:rPr>
        <w:t>darījumiem</w:t>
      </w:r>
      <w:r w:rsidR="002D1280" w:rsidRPr="00A7579A">
        <w:rPr>
          <w:rFonts w:ascii="Times New Roman" w:eastAsia="Times New Roman" w:hAnsi="Times New Roman" w:cs="Times New Roman"/>
          <w:b/>
          <w:bCs/>
          <w:kern w:val="28"/>
        </w:rPr>
        <w:t>, kuri noslēgti</w:t>
      </w:r>
      <w:r w:rsidR="005D0F48" w:rsidRPr="00A7579A">
        <w:rPr>
          <w:rFonts w:ascii="Times New Roman" w:eastAsia="Times New Roman" w:hAnsi="Times New Roman" w:cs="Times New Roman"/>
          <w:b/>
          <w:bCs/>
          <w:kern w:val="28"/>
        </w:rPr>
        <w:t xml:space="preserve"> ar Latvijas </w:t>
      </w:r>
      <w:r w:rsidR="004F22BD" w:rsidRPr="00A7579A">
        <w:rPr>
          <w:rFonts w:ascii="Times New Roman" w:eastAsia="Times New Roman" w:hAnsi="Times New Roman" w:cs="Times New Roman"/>
          <w:b/>
          <w:bCs/>
          <w:kern w:val="28"/>
        </w:rPr>
        <w:t xml:space="preserve">Republikas </w:t>
      </w:r>
      <w:r w:rsidR="005D0F48" w:rsidRPr="00A7579A">
        <w:rPr>
          <w:rFonts w:ascii="Times New Roman" w:eastAsia="Times New Roman" w:hAnsi="Times New Roman" w:cs="Times New Roman"/>
          <w:b/>
          <w:bCs/>
          <w:kern w:val="28"/>
        </w:rPr>
        <w:t>rezidentiem</w:t>
      </w:r>
      <w:r w:rsidR="004F22BD" w:rsidRPr="00A7579A">
        <w:rPr>
          <w:rFonts w:ascii="Times New Roman" w:eastAsia="Times New Roman" w:hAnsi="Times New Roman" w:cs="Times New Roman"/>
          <w:b/>
          <w:bCs/>
          <w:kern w:val="28"/>
        </w:rPr>
        <w:t>,</w:t>
      </w:r>
      <w:r w:rsidR="005D0F48"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tiek noteikta</w:t>
      </w:r>
      <w:r w:rsidR="0058464F"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0% apmērā. Noteikto PKR normu kredītiestādes specifiskās pretcikliskās kapitāla rezerves aprēķinā izmanto</w:t>
      </w:r>
      <w:r w:rsidR="00F06CDC" w:rsidRPr="00A7579A">
        <w:rPr>
          <w:rFonts w:ascii="Times New Roman" w:eastAsia="Times New Roman" w:hAnsi="Times New Roman" w:cs="Times New Roman"/>
          <w:b/>
          <w:bCs/>
          <w:kern w:val="28"/>
        </w:rPr>
        <w:t>s</w:t>
      </w:r>
      <w:r w:rsidR="002A0A04"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 xml:space="preserve">no </w:t>
      </w:r>
      <w:r w:rsidR="002E5CD2" w:rsidRPr="00A7579A">
        <w:rPr>
          <w:rFonts w:ascii="Times New Roman" w:eastAsia="Times New Roman" w:hAnsi="Times New Roman" w:cs="Times New Roman"/>
          <w:b/>
          <w:bCs/>
          <w:kern w:val="28"/>
        </w:rPr>
        <w:t>202</w:t>
      </w:r>
      <w:r w:rsidR="002E5CD2">
        <w:rPr>
          <w:rFonts w:ascii="Times New Roman" w:eastAsia="Times New Roman" w:hAnsi="Times New Roman" w:cs="Times New Roman"/>
          <w:b/>
          <w:bCs/>
          <w:kern w:val="28"/>
        </w:rPr>
        <w:t>1</w:t>
      </w:r>
      <w:r w:rsidRPr="00A7579A">
        <w:rPr>
          <w:rFonts w:ascii="Times New Roman" w:eastAsia="Times New Roman" w:hAnsi="Times New Roman" w:cs="Times New Roman"/>
          <w:b/>
          <w:bCs/>
          <w:kern w:val="28"/>
        </w:rPr>
        <w:t>.</w:t>
      </w:r>
      <w:r w:rsidR="0058464F" w:rsidRPr="00A7579A">
        <w:rPr>
          <w:rFonts w:ascii="Times New Roman" w:eastAsia="Times New Roman" w:hAnsi="Times New Roman" w:cs="Times New Roman"/>
          <w:b/>
          <w:bCs/>
          <w:kern w:val="28"/>
        </w:rPr>
        <w:t> </w:t>
      </w:r>
      <w:r w:rsidRPr="00A7579A">
        <w:rPr>
          <w:rFonts w:ascii="Times New Roman" w:eastAsia="Times New Roman" w:hAnsi="Times New Roman" w:cs="Times New Roman"/>
          <w:b/>
          <w:bCs/>
          <w:kern w:val="28"/>
        </w:rPr>
        <w:t>gada 1.</w:t>
      </w:r>
      <w:r w:rsidR="002A0A04" w:rsidRPr="00A7579A">
        <w:rPr>
          <w:rFonts w:ascii="Times New Roman" w:eastAsia="Times New Roman" w:hAnsi="Times New Roman" w:cs="Times New Roman"/>
          <w:b/>
          <w:bCs/>
          <w:kern w:val="28"/>
        </w:rPr>
        <w:t> </w:t>
      </w:r>
      <w:r w:rsidR="002E5CD2">
        <w:rPr>
          <w:rFonts w:ascii="Times New Roman" w:eastAsia="Times New Roman" w:hAnsi="Times New Roman" w:cs="Times New Roman"/>
          <w:b/>
          <w:bCs/>
          <w:kern w:val="28"/>
        </w:rPr>
        <w:t>februāra</w:t>
      </w:r>
      <w:r w:rsidRPr="00A7579A">
        <w:rPr>
          <w:rFonts w:ascii="Times New Roman" w:eastAsia="Times New Roman" w:hAnsi="Times New Roman" w:cs="Times New Roman"/>
          <w:b/>
          <w:bCs/>
          <w:kern w:val="28"/>
        </w:rPr>
        <w:t xml:space="preserve">. </w:t>
      </w:r>
      <w:r w:rsidR="007D02BE" w:rsidRPr="00A7579A">
        <w:rPr>
          <w:rFonts w:ascii="Times New Roman" w:eastAsia="Times New Roman" w:hAnsi="Times New Roman" w:cs="Times New Roman"/>
          <w:b/>
          <w:bCs/>
          <w:kern w:val="28"/>
        </w:rPr>
        <w:t>Finanšu un kapitāla tirgus komisija (</w:t>
      </w:r>
      <w:r w:rsidR="00936D45" w:rsidRPr="00A7579A">
        <w:rPr>
          <w:rFonts w:ascii="Times New Roman" w:eastAsia="Times New Roman" w:hAnsi="Times New Roman" w:cs="Times New Roman"/>
          <w:b/>
          <w:bCs/>
          <w:kern w:val="28"/>
        </w:rPr>
        <w:t>FKTK</w:t>
      </w:r>
      <w:r w:rsidR="007D02BE" w:rsidRPr="00A7579A">
        <w:rPr>
          <w:rFonts w:ascii="Times New Roman" w:eastAsia="Times New Roman" w:hAnsi="Times New Roman" w:cs="Times New Roman"/>
          <w:b/>
          <w:bCs/>
          <w:kern w:val="28"/>
        </w:rPr>
        <w:t>)</w:t>
      </w:r>
      <w:r w:rsidR="00936D45" w:rsidRPr="00A7579A">
        <w:rPr>
          <w:rFonts w:ascii="Times New Roman" w:eastAsia="Times New Roman" w:hAnsi="Times New Roman" w:cs="Times New Roman"/>
          <w:b/>
          <w:bCs/>
          <w:kern w:val="28"/>
        </w:rPr>
        <w:t xml:space="preserve"> lems par nepieciešamību noteikt PKR normu virs 0%, ja Latvijas finanšu sektorā tiks novērots būtisks ciklisko sistēmisko risku pieaugums.</w:t>
      </w:r>
    </w:p>
    <w:bookmarkEnd w:id="0"/>
    <w:p w:rsidR="00E75495" w:rsidRDefault="00E75495" w:rsidP="00E75495">
      <w:pPr>
        <w:jc w:val="both"/>
        <w:rPr>
          <w:rFonts w:ascii="Times New Roman" w:hAnsi="Times New Roman" w:cs="Times New Roman"/>
          <w:bCs/>
          <w:iCs/>
        </w:rPr>
      </w:pPr>
      <w:r w:rsidRPr="00E96894">
        <w:rPr>
          <w:rFonts w:ascii="Times New Roman" w:hAnsi="Times New Roman" w:cs="Times New Roman"/>
          <w:bCs/>
          <w:iCs/>
        </w:rPr>
        <w:t>2019. gada otrajā pusgadā Latvijā bija vērojama daļēja tautsaimniecības izaugsmes tempa atjaunošanās. Ja 2017.</w:t>
      </w:r>
      <w:r w:rsidR="00133C4A">
        <w:rPr>
          <w:rFonts w:ascii="Times New Roman" w:hAnsi="Times New Roman" w:cs="Times New Roman"/>
          <w:bCs/>
          <w:iCs/>
        </w:rPr>
        <w:t xml:space="preserve"> </w:t>
      </w:r>
      <w:r w:rsidRPr="00E96894">
        <w:rPr>
          <w:rFonts w:ascii="Times New Roman" w:hAnsi="Times New Roman" w:cs="Times New Roman"/>
          <w:bCs/>
          <w:iCs/>
        </w:rPr>
        <w:t>un 2018. gadā IKP pieaugums vidēji ik ceturksni bija 4.0%</w:t>
      </w:r>
      <w:r w:rsidR="00133C4A">
        <w:rPr>
          <w:rFonts w:ascii="Times New Roman" w:hAnsi="Times New Roman" w:cs="Times New Roman"/>
          <w:bCs/>
          <w:iCs/>
        </w:rPr>
        <w:t>–</w:t>
      </w:r>
      <w:r w:rsidRPr="00E96894">
        <w:rPr>
          <w:rFonts w:ascii="Times New Roman" w:hAnsi="Times New Roman" w:cs="Times New Roman"/>
          <w:bCs/>
          <w:iCs/>
        </w:rPr>
        <w:t xml:space="preserve">5.0% (pret iepriekšējā gada atbilstošo periodu) apmērā, tad 2019. gada pirmajā pusgadā tas saruka līdz pat 1.8% </w:t>
      </w:r>
      <w:r w:rsidR="00133C4A">
        <w:rPr>
          <w:rFonts w:ascii="Times New Roman" w:hAnsi="Times New Roman" w:cs="Times New Roman"/>
          <w:bCs/>
          <w:iCs/>
        </w:rPr>
        <w:t>(</w:t>
      </w:r>
      <w:r w:rsidRPr="00E96894">
        <w:rPr>
          <w:rFonts w:ascii="Times New Roman" w:hAnsi="Times New Roman" w:cs="Times New Roman"/>
          <w:bCs/>
          <w:iCs/>
        </w:rPr>
        <w:t>otrajā ceturksnī</w:t>
      </w:r>
      <w:r w:rsidR="00133C4A">
        <w:rPr>
          <w:rFonts w:ascii="Times New Roman" w:hAnsi="Times New Roman" w:cs="Times New Roman"/>
          <w:bCs/>
          <w:iCs/>
        </w:rPr>
        <w:t>)</w:t>
      </w:r>
      <w:r w:rsidRPr="00E96894">
        <w:rPr>
          <w:rFonts w:ascii="Times New Roman" w:hAnsi="Times New Roman" w:cs="Times New Roman"/>
          <w:bCs/>
          <w:iCs/>
        </w:rPr>
        <w:t xml:space="preserve">, nedaudz atgūstoties vien trešajā ceturksnī, kad IKP pieauguma temps sasniedza 2.9%, ņemot vērā izaugsmes atjaunošanos rūpniecības nozarē. </w:t>
      </w:r>
    </w:p>
    <w:p w:rsidR="00E75495" w:rsidRPr="00E96894" w:rsidRDefault="00E75495" w:rsidP="00E75495">
      <w:pPr>
        <w:jc w:val="both"/>
        <w:rPr>
          <w:rFonts w:ascii="Times New Roman" w:hAnsi="Times New Roman" w:cs="Times New Roman"/>
          <w:bCs/>
          <w:iCs/>
        </w:rPr>
      </w:pPr>
      <w:r>
        <w:rPr>
          <w:rFonts w:ascii="Times New Roman" w:hAnsi="Times New Roman" w:cs="Times New Roman"/>
          <w:bCs/>
          <w:iCs/>
        </w:rPr>
        <w:t>E</w:t>
      </w:r>
      <w:r w:rsidRPr="00E96894">
        <w:rPr>
          <w:rFonts w:ascii="Times New Roman" w:hAnsi="Times New Roman" w:cs="Times New Roman"/>
          <w:bCs/>
          <w:iCs/>
        </w:rPr>
        <w:t>konomiskās izaugsmes temp</w:t>
      </w:r>
      <w:r>
        <w:rPr>
          <w:rFonts w:ascii="Times New Roman" w:hAnsi="Times New Roman" w:cs="Times New Roman"/>
          <w:bCs/>
          <w:iCs/>
        </w:rPr>
        <w:t>u</w:t>
      </w:r>
      <w:r w:rsidRPr="00E96894">
        <w:rPr>
          <w:rFonts w:ascii="Times New Roman" w:hAnsi="Times New Roman" w:cs="Times New Roman"/>
          <w:bCs/>
          <w:iCs/>
        </w:rPr>
        <w:t xml:space="preserve"> izmaiņas ir cieši saistītas ar ārējo tirgu un Eiropas Savienības fondu </w:t>
      </w:r>
      <w:r w:rsidR="0048333C">
        <w:rPr>
          <w:rFonts w:ascii="Times New Roman" w:hAnsi="Times New Roman" w:cs="Times New Roman"/>
          <w:bCs/>
          <w:iCs/>
        </w:rPr>
        <w:t xml:space="preserve">līdzekļu </w:t>
      </w:r>
      <w:r w:rsidRPr="00E96894">
        <w:rPr>
          <w:rFonts w:ascii="Times New Roman" w:hAnsi="Times New Roman" w:cs="Times New Roman"/>
          <w:bCs/>
          <w:iCs/>
        </w:rPr>
        <w:t>ieplūdes cikla izmaiņām. Pēc Starptautiskā Valūtas fonda jaunākajām prognozēm</w:t>
      </w:r>
      <w:r w:rsidR="0048333C">
        <w:rPr>
          <w:rFonts w:ascii="Times New Roman" w:hAnsi="Times New Roman" w:cs="Times New Roman"/>
          <w:bCs/>
          <w:iCs/>
        </w:rPr>
        <w:t>,</w:t>
      </w:r>
      <w:r w:rsidRPr="00E96894">
        <w:rPr>
          <w:rFonts w:ascii="Times New Roman" w:hAnsi="Times New Roman" w:cs="Times New Roman"/>
          <w:bCs/>
          <w:iCs/>
        </w:rPr>
        <w:t xml:space="preserve"> šogad pasaules ekonomikas izaugsme būs zemākā kopš globālās finanšu krīzes. Lēnāki izaugsmes tempi ir vērojami arī eirozonas valstīs, turklāt situāciju Eiropā kopumā pasliktina arī neskaidrības ar Vācijas rūpniecības nozares problēm</w:t>
      </w:r>
      <w:r>
        <w:rPr>
          <w:rFonts w:ascii="Times New Roman" w:hAnsi="Times New Roman" w:cs="Times New Roman"/>
          <w:bCs/>
          <w:iCs/>
        </w:rPr>
        <w:t>ām</w:t>
      </w:r>
      <w:r w:rsidRPr="00E96894">
        <w:rPr>
          <w:rFonts w:ascii="Times New Roman" w:hAnsi="Times New Roman" w:cs="Times New Roman"/>
          <w:bCs/>
          <w:iCs/>
        </w:rPr>
        <w:t xml:space="preserve">. Būtiskākais Latvijas ekonomikas izaugsmes veicinātājs joprojām ir privātais patēriņš, ko stimulē </w:t>
      </w:r>
      <w:r>
        <w:rPr>
          <w:rFonts w:ascii="Times New Roman" w:hAnsi="Times New Roman" w:cs="Times New Roman"/>
          <w:bCs/>
          <w:iCs/>
        </w:rPr>
        <w:t>atalgojuma</w:t>
      </w:r>
      <w:r w:rsidRPr="00E96894">
        <w:rPr>
          <w:rFonts w:ascii="Times New Roman" w:hAnsi="Times New Roman" w:cs="Times New Roman"/>
          <w:bCs/>
          <w:iCs/>
        </w:rPr>
        <w:t xml:space="preserve"> pieaugums, kā arī ekonomisko attīstību turpina veicināt uz iekšējo tirgu vērstie sektori. Ekonomikas izaugsmei ir bijusi liela ietekme uz straujo bezdarba līmeņa samazināšanos 2019.</w:t>
      </w:r>
      <w:r w:rsidR="00FC5E65">
        <w:rPr>
          <w:rFonts w:ascii="Times New Roman" w:hAnsi="Times New Roman" w:cs="Times New Roman"/>
          <w:bCs/>
          <w:iCs/>
        </w:rPr>
        <w:t> </w:t>
      </w:r>
      <w:r w:rsidRPr="00E96894">
        <w:rPr>
          <w:rFonts w:ascii="Times New Roman" w:hAnsi="Times New Roman" w:cs="Times New Roman"/>
          <w:bCs/>
          <w:iCs/>
        </w:rPr>
        <w:t>gada laikā. Tiek prognozēts, ka turpmākajos gados</w:t>
      </w:r>
      <w:r>
        <w:rPr>
          <w:rFonts w:ascii="Times New Roman" w:hAnsi="Times New Roman" w:cs="Times New Roman"/>
          <w:bCs/>
          <w:iCs/>
        </w:rPr>
        <w:t xml:space="preserve"> Latvijā</w:t>
      </w:r>
      <w:r w:rsidRPr="00E96894">
        <w:rPr>
          <w:rFonts w:ascii="Times New Roman" w:hAnsi="Times New Roman" w:cs="Times New Roman"/>
          <w:bCs/>
          <w:iCs/>
        </w:rPr>
        <w:t xml:space="preserve"> saglabāsies mērens IKP izaugsmes temps (ap 2.8%</w:t>
      </w:r>
      <w:r w:rsidR="0048333C">
        <w:rPr>
          <w:rFonts w:ascii="Times New Roman" w:hAnsi="Times New Roman" w:cs="Times New Roman"/>
          <w:bCs/>
          <w:iCs/>
        </w:rPr>
        <w:t>–</w:t>
      </w:r>
      <w:r w:rsidRPr="00E96894">
        <w:rPr>
          <w:rFonts w:ascii="Times New Roman" w:hAnsi="Times New Roman" w:cs="Times New Roman"/>
          <w:bCs/>
          <w:iCs/>
        </w:rPr>
        <w:t>3% gadā), jo zemās globālās ekonomiskās izaugsmes prognozes ierobežo ārējā pieprasījuma pieauguma potenciālu.</w:t>
      </w:r>
    </w:p>
    <w:p w:rsidR="00E75495" w:rsidRPr="00E96894" w:rsidRDefault="00E75495" w:rsidP="00E75495">
      <w:pPr>
        <w:jc w:val="both"/>
        <w:rPr>
          <w:rFonts w:ascii="Times New Roman" w:hAnsi="Times New Roman" w:cs="Times New Roman"/>
          <w:bCs/>
          <w:iCs/>
        </w:rPr>
      </w:pPr>
      <w:r w:rsidRPr="00E96894">
        <w:rPr>
          <w:rFonts w:ascii="Times New Roman" w:hAnsi="Times New Roman" w:cs="Times New Roman"/>
          <w:bCs/>
          <w:iCs/>
        </w:rPr>
        <w:t xml:space="preserve">Ekonomiskās izaugsmes tempi patlaban nerada riskus finanšu stabilitātei, un tā joprojām turpinās bez aktīvas kreditēšanas ietekmes. Kredītu atlikuma un IKP novirze no ilgtermiņa tendences ilgstoši saglabājas negatīva un ir viena no lielākajām starp Eiropas valstīm – gan izmantojot plašo (-38% 2019. gada 2. ceturkšņa beigās), gan šauro </w:t>
      </w:r>
      <w:r w:rsidRPr="00E96894">
        <w:rPr>
          <w:rFonts w:ascii="Times New Roman" w:hAnsi="Times New Roman" w:cs="Times New Roman"/>
          <w:bCs/>
          <w:iCs/>
        </w:rPr>
        <w:br/>
        <w:t xml:space="preserve">(-23% 2019. gada 3. ceturkšņa beigās) kredītu definīciju. Latvijas rezidentiem izsniegto kredītu (pēc šaurās definīcijas) un IKP attiecība turpina samazināties un 2019. gada 3. ceturkšņa beigās bija 33%. Šāds kredītu un IKP attiecības līmenis Latvijā iepriekš bija vērojams 2003.–2004. gadā.  </w:t>
      </w:r>
    </w:p>
    <w:p w:rsidR="00E75495" w:rsidRDefault="00E75495" w:rsidP="00E75495">
      <w:pPr>
        <w:jc w:val="both"/>
        <w:rPr>
          <w:rFonts w:ascii="Times New Roman" w:hAnsi="Times New Roman" w:cs="Times New Roman"/>
          <w:bCs/>
          <w:iCs/>
        </w:rPr>
      </w:pPr>
      <w:r>
        <w:rPr>
          <w:rFonts w:ascii="Times New Roman" w:hAnsi="Times New Roman" w:cs="Times New Roman"/>
          <w:bCs/>
          <w:iCs/>
        </w:rPr>
        <w:t>Kopējā i</w:t>
      </w:r>
      <w:r w:rsidRPr="00E96894">
        <w:rPr>
          <w:rFonts w:ascii="Times New Roman" w:hAnsi="Times New Roman" w:cs="Times New Roman"/>
          <w:bCs/>
          <w:iCs/>
        </w:rPr>
        <w:t>ekšzemes kreditēšana</w:t>
      </w:r>
      <w:r>
        <w:rPr>
          <w:rFonts w:ascii="Times New Roman" w:hAnsi="Times New Roman" w:cs="Times New Roman"/>
          <w:bCs/>
          <w:iCs/>
        </w:rPr>
        <w:t xml:space="preserve"> privātajam nefinanšu sektoram 2019. gada 2. ceturksnī pret iepriekšējā gada atbilstošo periodu samazinājās par 0.2%, kas būtiski atpaliek no IKP pieauguma tempa, kā rezultātā</w:t>
      </w:r>
      <w:r w:rsidRPr="00E96894">
        <w:rPr>
          <w:rFonts w:ascii="Times New Roman" w:hAnsi="Times New Roman" w:cs="Times New Roman"/>
          <w:bCs/>
          <w:iCs/>
        </w:rPr>
        <w:t xml:space="preserve"> tās ap</w:t>
      </w:r>
      <w:r>
        <w:rPr>
          <w:rFonts w:ascii="Times New Roman" w:hAnsi="Times New Roman" w:cs="Times New Roman"/>
          <w:bCs/>
          <w:iCs/>
        </w:rPr>
        <w:t xml:space="preserve">mērs </w:t>
      </w:r>
      <w:r w:rsidRPr="00E96894">
        <w:rPr>
          <w:rFonts w:ascii="Times New Roman" w:hAnsi="Times New Roman" w:cs="Times New Roman"/>
          <w:bCs/>
          <w:iCs/>
        </w:rPr>
        <w:t xml:space="preserve">pret IKP </w:t>
      </w:r>
      <w:r>
        <w:rPr>
          <w:rFonts w:ascii="Times New Roman" w:hAnsi="Times New Roman" w:cs="Times New Roman"/>
          <w:bCs/>
          <w:iCs/>
        </w:rPr>
        <w:t>turpina</w:t>
      </w:r>
      <w:r w:rsidRPr="00E96894">
        <w:rPr>
          <w:rFonts w:ascii="Times New Roman" w:hAnsi="Times New Roman" w:cs="Times New Roman"/>
          <w:bCs/>
          <w:iCs/>
        </w:rPr>
        <w:t xml:space="preserve"> samazinā</w:t>
      </w:r>
      <w:r>
        <w:rPr>
          <w:rFonts w:ascii="Times New Roman" w:hAnsi="Times New Roman" w:cs="Times New Roman"/>
          <w:bCs/>
          <w:iCs/>
        </w:rPr>
        <w:t>ties</w:t>
      </w:r>
      <w:r w:rsidRPr="00E96894">
        <w:rPr>
          <w:rFonts w:ascii="Times New Roman" w:hAnsi="Times New Roman" w:cs="Times New Roman"/>
          <w:bCs/>
          <w:iCs/>
        </w:rPr>
        <w:t xml:space="preserve">. </w:t>
      </w:r>
      <w:r>
        <w:rPr>
          <w:rFonts w:ascii="Times New Roman" w:hAnsi="Times New Roman" w:cs="Times New Roman"/>
          <w:bCs/>
          <w:iCs/>
        </w:rPr>
        <w:t xml:space="preserve">Banku kopējais kredītportfelis </w:t>
      </w:r>
      <w:r w:rsidRPr="00E96894">
        <w:rPr>
          <w:rFonts w:ascii="Times New Roman" w:hAnsi="Times New Roman" w:cs="Times New Roman"/>
          <w:bCs/>
          <w:iCs/>
        </w:rPr>
        <w:t xml:space="preserve">2019. gada septembrī, salīdzinot ar iepriekšējā gada atbilstošo periodu, </w:t>
      </w:r>
      <w:r>
        <w:rPr>
          <w:rFonts w:ascii="Times New Roman" w:hAnsi="Times New Roman" w:cs="Times New Roman"/>
          <w:bCs/>
          <w:iCs/>
        </w:rPr>
        <w:t xml:space="preserve">pieauga par 1.6% </w:t>
      </w:r>
      <w:r w:rsidR="0048333C">
        <w:rPr>
          <w:rFonts w:ascii="Times New Roman" w:hAnsi="Times New Roman" w:cs="Times New Roman"/>
          <w:bCs/>
          <w:iCs/>
        </w:rPr>
        <w:t>–</w:t>
      </w:r>
      <w:r>
        <w:rPr>
          <w:rFonts w:ascii="Times New Roman" w:hAnsi="Times New Roman" w:cs="Times New Roman"/>
          <w:bCs/>
          <w:iCs/>
        </w:rPr>
        <w:t xml:space="preserve"> </w:t>
      </w:r>
      <w:r w:rsidRPr="00E96894">
        <w:rPr>
          <w:rFonts w:ascii="Times New Roman" w:hAnsi="Times New Roman" w:cs="Times New Roman"/>
          <w:bCs/>
          <w:iCs/>
        </w:rPr>
        <w:t>mērens pieaugums bija gan mājsaimniecību kreditēšan</w:t>
      </w:r>
      <w:r w:rsidR="0048333C">
        <w:rPr>
          <w:rFonts w:ascii="Times New Roman" w:hAnsi="Times New Roman" w:cs="Times New Roman"/>
          <w:bCs/>
          <w:iCs/>
        </w:rPr>
        <w:t>ā</w:t>
      </w:r>
      <w:r w:rsidRPr="00E96894">
        <w:rPr>
          <w:rFonts w:ascii="Times New Roman" w:hAnsi="Times New Roman" w:cs="Times New Roman"/>
          <w:bCs/>
          <w:iCs/>
        </w:rPr>
        <w:t xml:space="preserve"> (1.0%), gan nefinanšu sabiedrību kreditēšan</w:t>
      </w:r>
      <w:r w:rsidR="0048333C">
        <w:rPr>
          <w:rFonts w:ascii="Times New Roman" w:hAnsi="Times New Roman" w:cs="Times New Roman"/>
          <w:bCs/>
          <w:iCs/>
        </w:rPr>
        <w:t>ā</w:t>
      </w:r>
      <w:r w:rsidRPr="00E96894">
        <w:rPr>
          <w:rFonts w:ascii="Times New Roman" w:hAnsi="Times New Roman" w:cs="Times New Roman"/>
          <w:bCs/>
          <w:iCs/>
        </w:rPr>
        <w:t xml:space="preserve"> (2.5%). Mājsaimniecību neto pozīcija arī ir pozitīva (7.4% no IKP 2019.</w:t>
      </w:r>
      <w:r w:rsidR="00FC5E65">
        <w:rPr>
          <w:rFonts w:ascii="Times New Roman" w:hAnsi="Times New Roman" w:cs="Times New Roman"/>
          <w:bCs/>
          <w:iCs/>
        </w:rPr>
        <w:t> </w:t>
      </w:r>
      <w:r w:rsidRPr="00E96894">
        <w:rPr>
          <w:rFonts w:ascii="Times New Roman" w:hAnsi="Times New Roman" w:cs="Times New Roman"/>
          <w:bCs/>
          <w:iCs/>
        </w:rPr>
        <w:t>gada 2. ceturksnī), noguldījumiem pārsniedzot saistības. Kopējo kreditēšanas attīstību stimulē valsts atbalsta programma mājokļa iegādei – lai arī apm</w:t>
      </w:r>
      <w:r w:rsidR="0048333C">
        <w:rPr>
          <w:rFonts w:ascii="Times New Roman" w:hAnsi="Times New Roman" w:cs="Times New Roman"/>
          <w:bCs/>
          <w:iCs/>
        </w:rPr>
        <w:t>ēr</w:t>
      </w:r>
      <w:r w:rsidRPr="00E96894">
        <w:rPr>
          <w:rFonts w:ascii="Times New Roman" w:hAnsi="Times New Roman" w:cs="Times New Roman"/>
          <w:bCs/>
          <w:iCs/>
        </w:rPr>
        <w:t>i 2019. gada 3. ceturksnī (salīdzinot ar 2. ceturksni) ir sarukuši, kredītu mājokļa iegādei atlikums, salīdzinot ar 2018. gadu, ir kopumā pieaudzis par 0.9%, kā arī to skaits ir pieaudzis par 2</w:t>
      </w:r>
      <w:r w:rsidR="0048333C">
        <w:rPr>
          <w:rFonts w:ascii="Times New Roman" w:hAnsi="Times New Roman" w:cs="Times New Roman"/>
          <w:bCs/>
          <w:iCs/>
        </w:rPr>
        <w:t>.</w:t>
      </w:r>
      <w:r w:rsidRPr="00E96894">
        <w:rPr>
          <w:rFonts w:ascii="Times New Roman" w:hAnsi="Times New Roman" w:cs="Times New Roman"/>
          <w:bCs/>
          <w:iCs/>
        </w:rPr>
        <w:t xml:space="preserve">1% (pret iepriekšējā gada atbilstošo periodu). Aptuveni puse jauno mājokļa kredītu tiek izsniegti ar valsts galvojumu. </w:t>
      </w:r>
    </w:p>
    <w:p w:rsidR="00E75495" w:rsidRPr="00E96894" w:rsidRDefault="00E75495" w:rsidP="00E75495">
      <w:pPr>
        <w:jc w:val="both"/>
        <w:rPr>
          <w:rFonts w:ascii="Times New Roman" w:hAnsi="Times New Roman" w:cs="Times New Roman"/>
          <w:bCs/>
          <w:iCs/>
        </w:rPr>
      </w:pPr>
      <w:r w:rsidRPr="00E96894">
        <w:rPr>
          <w:rFonts w:ascii="Times New Roman" w:hAnsi="Times New Roman" w:cs="Times New Roman"/>
          <w:bCs/>
          <w:iCs/>
        </w:rPr>
        <w:t xml:space="preserve">Vairākas kredītiestādes pašlaik veic izmaiņas to biznesa modeļos, palielinot vietējo klientu kreditēšanu, bet pašlaik šī tendence neatstāj būtisku ietekmi uz finanšu cikla attīstību (šo kredītiestāžu tirgus daļa kopējā iekšzemes nefinanšu sektora kredītportfelī </w:t>
      </w:r>
      <w:r>
        <w:rPr>
          <w:rFonts w:ascii="Times New Roman" w:hAnsi="Times New Roman" w:cs="Times New Roman"/>
          <w:bCs/>
          <w:iCs/>
        </w:rPr>
        <w:t>bija</w:t>
      </w:r>
      <w:r w:rsidRPr="00E96894">
        <w:rPr>
          <w:rFonts w:ascii="Times New Roman" w:hAnsi="Times New Roman" w:cs="Times New Roman"/>
          <w:bCs/>
          <w:iCs/>
        </w:rPr>
        <w:t xml:space="preserve"> aptuveni 5.6% 2019. gada 3. ceturkšņa beigā</w:t>
      </w:r>
      <w:r w:rsidR="0048333C">
        <w:rPr>
          <w:rFonts w:ascii="Times New Roman" w:hAnsi="Times New Roman" w:cs="Times New Roman"/>
          <w:bCs/>
          <w:iCs/>
        </w:rPr>
        <w:t>s</w:t>
      </w:r>
      <w:r w:rsidRPr="00E96894">
        <w:rPr>
          <w:rFonts w:ascii="Times New Roman" w:hAnsi="Times New Roman" w:cs="Times New Roman"/>
          <w:bCs/>
          <w:iCs/>
        </w:rPr>
        <w:t xml:space="preserve">). </w:t>
      </w:r>
    </w:p>
    <w:p w:rsidR="00E75495" w:rsidRPr="00E96894" w:rsidRDefault="00E75495" w:rsidP="00E75495">
      <w:pPr>
        <w:jc w:val="both"/>
        <w:rPr>
          <w:rFonts w:ascii="Times New Roman" w:hAnsi="Times New Roman" w:cs="Times New Roman"/>
          <w:bCs/>
          <w:iCs/>
        </w:rPr>
      </w:pPr>
      <w:r w:rsidRPr="00E96894">
        <w:rPr>
          <w:rFonts w:ascii="Times New Roman" w:hAnsi="Times New Roman" w:cs="Times New Roman"/>
          <w:bCs/>
          <w:iCs/>
        </w:rPr>
        <w:lastRenderedPageBreak/>
        <w:t>Nebanku kreditētāju loma iekšzemes kreditēšanā pakāpeniski turpina pieaugt, lai arī nebanku kreditēšanas pieauguma tempi kopš 2018. gada ir nedaudz palēninājušies saistībā ar atsevišķu līzinga sabiedrību kredītportfeļa apm</w:t>
      </w:r>
      <w:r w:rsidR="0048333C">
        <w:rPr>
          <w:rFonts w:ascii="Times New Roman" w:hAnsi="Times New Roman" w:cs="Times New Roman"/>
          <w:bCs/>
          <w:iCs/>
        </w:rPr>
        <w:t>ēr</w:t>
      </w:r>
      <w:r w:rsidRPr="00E96894">
        <w:rPr>
          <w:rFonts w:ascii="Times New Roman" w:hAnsi="Times New Roman" w:cs="Times New Roman"/>
          <w:bCs/>
          <w:iCs/>
        </w:rPr>
        <w:t>a izmaiņām. 2019. gada 2. ceturksnī kopējais nebanku kredītportfelis turpināja pieaugt (</w:t>
      </w:r>
      <w:r>
        <w:rPr>
          <w:rFonts w:ascii="Times New Roman" w:hAnsi="Times New Roman" w:cs="Times New Roman"/>
          <w:bCs/>
          <w:iCs/>
        </w:rPr>
        <w:t xml:space="preserve">par </w:t>
      </w:r>
      <w:r w:rsidRPr="00E96894">
        <w:rPr>
          <w:rFonts w:ascii="Times New Roman" w:hAnsi="Times New Roman" w:cs="Times New Roman"/>
          <w:bCs/>
          <w:iCs/>
        </w:rPr>
        <w:t xml:space="preserve">5.3% pret iepriekšējā gada atbilstošo periodu). Mājsaimniecībām izsniegto kredītu portfelis 2019. gada 2. ceturksnī kopumā ir pieaudzis par 11.9%, t.sk. pieauguši procentu maksājumi par nebanku izsniegtajiem kredītiem. Nozīmīga loma šajā pieaugumā ir </w:t>
      </w:r>
      <w:r w:rsidR="001A066A" w:rsidRPr="000441DF">
        <w:rPr>
          <w:rFonts w:ascii="Times New Roman" w:eastAsia="Times New Roman" w:hAnsi="Times New Roman" w:cs="Times New Roman"/>
          <w:bCs/>
        </w:rPr>
        <w:t>"</w:t>
      </w:r>
      <w:r w:rsidRPr="00E96894">
        <w:rPr>
          <w:rFonts w:ascii="Times New Roman" w:hAnsi="Times New Roman" w:cs="Times New Roman"/>
          <w:bCs/>
          <w:iCs/>
        </w:rPr>
        <w:t>ātro kredītu</w:t>
      </w:r>
      <w:r w:rsidR="001A066A" w:rsidRPr="000441DF">
        <w:rPr>
          <w:rFonts w:ascii="Times New Roman" w:eastAsia="Times New Roman" w:hAnsi="Times New Roman" w:cs="Times New Roman"/>
          <w:bCs/>
        </w:rPr>
        <w:t>"</w:t>
      </w:r>
      <w:r w:rsidR="0048333C">
        <w:rPr>
          <w:rFonts w:ascii="Times New Roman" w:hAnsi="Times New Roman" w:cs="Times New Roman"/>
          <w:bCs/>
          <w:iCs/>
        </w:rPr>
        <w:t xml:space="preserve"> devēju</w:t>
      </w:r>
      <w:r w:rsidRPr="00E96894">
        <w:rPr>
          <w:rFonts w:ascii="Times New Roman" w:hAnsi="Times New Roman" w:cs="Times New Roman"/>
          <w:bCs/>
          <w:iCs/>
        </w:rPr>
        <w:t xml:space="preserve"> aizdevumiem mājsaimniecībām, k</w:t>
      </w:r>
      <w:r w:rsidR="0048333C">
        <w:rPr>
          <w:rFonts w:ascii="Times New Roman" w:hAnsi="Times New Roman" w:cs="Times New Roman"/>
          <w:bCs/>
          <w:iCs/>
        </w:rPr>
        <w:t>uru</w:t>
      </w:r>
      <w:r w:rsidRPr="00E96894">
        <w:rPr>
          <w:rFonts w:ascii="Times New Roman" w:hAnsi="Times New Roman" w:cs="Times New Roman"/>
          <w:bCs/>
          <w:iCs/>
        </w:rPr>
        <w:t xml:space="preserve"> apmērs turpina vērā ņemami pieaugt (13.9% 2019. gada 3.ceturksnī pret iepriekšējā gada atbilstošo periodu). Lai </w:t>
      </w:r>
      <w:r w:rsidRPr="00FC5E65">
        <w:rPr>
          <w:rFonts w:ascii="Times New Roman" w:hAnsi="Times New Roman" w:cs="Times New Roman"/>
          <w:bCs/>
          <w:iCs/>
        </w:rPr>
        <w:t xml:space="preserve">arī </w:t>
      </w:r>
      <w:r w:rsidR="0048333C" w:rsidRPr="00FC5E65">
        <w:rPr>
          <w:rFonts w:ascii="Times New Roman" w:hAnsi="Times New Roman" w:cs="Times New Roman"/>
          <w:bCs/>
          <w:iCs/>
        </w:rPr>
        <w:t>2019.</w:t>
      </w:r>
      <w:r w:rsidR="0048333C" w:rsidRPr="0048333C">
        <w:rPr>
          <w:rFonts w:ascii="Times New Roman" w:hAnsi="Times New Roman" w:cs="Times New Roman"/>
          <w:bCs/>
          <w:iCs/>
        </w:rPr>
        <w:t xml:space="preserve"> </w:t>
      </w:r>
      <w:r w:rsidRPr="0048333C">
        <w:rPr>
          <w:rFonts w:ascii="Times New Roman" w:hAnsi="Times New Roman" w:cs="Times New Roman"/>
          <w:bCs/>
          <w:iCs/>
        </w:rPr>
        <w:t>gada 1. jūlijā</w:t>
      </w:r>
      <w:r w:rsidRPr="00E96894">
        <w:rPr>
          <w:rFonts w:ascii="Times New Roman" w:hAnsi="Times New Roman" w:cs="Times New Roman"/>
          <w:bCs/>
          <w:iCs/>
        </w:rPr>
        <w:t xml:space="preserve"> spēkā stājās patērētāju tiesību aizsardzības likumā (PTAL) noteiktie kredītu reklāmas un procentu likmju griestu ierobežojumi, </w:t>
      </w:r>
      <w:r w:rsidR="001A066A" w:rsidRPr="000441DF">
        <w:rPr>
          <w:rFonts w:ascii="Times New Roman" w:eastAsia="Times New Roman" w:hAnsi="Times New Roman" w:cs="Times New Roman"/>
          <w:bCs/>
        </w:rPr>
        <w:t>"</w:t>
      </w:r>
      <w:r w:rsidRPr="00E96894">
        <w:rPr>
          <w:rFonts w:ascii="Times New Roman" w:hAnsi="Times New Roman" w:cs="Times New Roman"/>
          <w:bCs/>
          <w:iCs/>
        </w:rPr>
        <w:t>ātro kredītu</w:t>
      </w:r>
      <w:r w:rsidR="001A066A" w:rsidRPr="000441DF">
        <w:rPr>
          <w:rFonts w:ascii="Times New Roman" w:eastAsia="Times New Roman" w:hAnsi="Times New Roman" w:cs="Times New Roman"/>
          <w:bCs/>
        </w:rPr>
        <w:t>"</w:t>
      </w:r>
      <w:r w:rsidRPr="00E96894">
        <w:rPr>
          <w:rFonts w:ascii="Times New Roman" w:hAnsi="Times New Roman" w:cs="Times New Roman"/>
          <w:bCs/>
          <w:iCs/>
        </w:rPr>
        <w:t xml:space="preserve"> izsniedzēji ir atraduši veidus</w:t>
      </w:r>
      <w:r w:rsidR="0048333C">
        <w:rPr>
          <w:rFonts w:ascii="Times New Roman" w:hAnsi="Times New Roman" w:cs="Times New Roman"/>
          <w:bCs/>
          <w:iCs/>
        </w:rPr>
        <w:t>,</w:t>
      </w:r>
      <w:r w:rsidRPr="00E96894">
        <w:rPr>
          <w:rFonts w:ascii="Times New Roman" w:hAnsi="Times New Roman" w:cs="Times New Roman"/>
          <w:bCs/>
          <w:iCs/>
        </w:rPr>
        <w:t xml:space="preserve"> kā pielāgot savus produktus un reklāmu, lai tos apietu. Neskatoties uz to, kopumā PTAL grozījumu ietekme uz finanšu stabilitāti tiek vērtēta kā pozitīva. </w:t>
      </w:r>
    </w:p>
    <w:p w:rsidR="00E75495" w:rsidRPr="00E96894" w:rsidRDefault="00E75495" w:rsidP="00E75495">
      <w:pPr>
        <w:jc w:val="both"/>
        <w:rPr>
          <w:rFonts w:ascii="Times New Roman" w:hAnsi="Times New Roman" w:cs="Times New Roman"/>
          <w:bCs/>
          <w:iCs/>
        </w:rPr>
      </w:pPr>
      <w:r w:rsidRPr="00E96894">
        <w:rPr>
          <w:rFonts w:ascii="Times New Roman" w:hAnsi="Times New Roman" w:cs="Times New Roman"/>
          <w:bCs/>
          <w:iCs/>
        </w:rPr>
        <w:t xml:space="preserve">Nebanku kreditēšanas pieaugums ir saistīts ar pastāvīgu darba samaksas </w:t>
      </w:r>
      <w:r>
        <w:rPr>
          <w:rFonts w:ascii="Times New Roman" w:hAnsi="Times New Roman" w:cs="Times New Roman"/>
          <w:bCs/>
          <w:iCs/>
        </w:rPr>
        <w:t>palielināšanos</w:t>
      </w:r>
      <w:r w:rsidRPr="00E96894">
        <w:rPr>
          <w:rFonts w:ascii="Times New Roman" w:hAnsi="Times New Roman" w:cs="Times New Roman"/>
          <w:bCs/>
          <w:iCs/>
        </w:rPr>
        <w:t xml:space="preserve"> (reālā neto darba samaksa 2019. gada 3. ceturksnī pret iepriekšējā gada atbilstošo periodu </w:t>
      </w:r>
      <w:r>
        <w:rPr>
          <w:rFonts w:ascii="Times New Roman" w:hAnsi="Times New Roman" w:cs="Times New Roman"/>
          <w:bCs/>
          <w:iCs/>
        </w:rPr>
        <w:t>pieauga par 4</w:t>
      </w:r>
      <w:r w:rsidR="0048333C">
        <w:rPr>
          <w:rFonts w:ascii="Times New Roman" w:hAnsi="Times New Roman" w:cs="Times New Roman"/>
          <w:bCs/>
          <w:iCs/>
        </w:rPr>
        <w:t>.</w:t>
      </w:r>
      <w:r>
        <w:rPr>
          <w:rFonts w:ascii="Times New Roman" w:hAnsi="Times New Roman" w:cs="Times New Roman"/>
          <w:bCs/>
          <w:iCs/>
        </w:rPr>
        <w:t>7%</w:t>
      </w:r>
      <w:r w:rsidRPr="00E96894">
        <w:rPr>
          <w:rFonts w:ascii="Times New Roman" w:hAnsi="Times New Roman" w:cs="Times New Roman"/>
          <w:bCs/>
          <w:iCs/>
        </w:rPr>
        <w:t xml:space="preserve">), spēcīgo ekonomisko izaugsmi pēdējos gados un Eiropas Savienības struktūrfondu apgūšanu. Lielāko daļu no nebanku kreditētāju kredītportfeļa </w:t>
      </w:r>
      <w:r>
        <w:rPr>
          <w:rFonts w:ascii="Times New Roman" w:hAnsi="Times New Roman" w:cs="Times New Roman"/>
          <w:bCs/>
          <w:iCs/>
        </w:rPr>
        <w:t xml:space="preserve">ir izsniegušas </w:t>
      </w:r>
      <w:r w:rsidRPr="00E96894">
        <w:rPr>
          <w:rFonts w:ascii="Times New Roman" w:hAnsi="Times New Roman" w:cs="Times New Roman"/>
          <w:bCs/>
          <w:iCs/>
        </w:rPr>
        <w:t>līzinga kompānijas, kuras vairumā gadījumu ir banku meitasuzņēmumi un kuras ir pakļautas konsolidētajai uzraudzībai. Tāpēc nebanku kreditēšanas strukturālo pieaugumu lielā mērā sekmē banku grupu stratēģijas un pieaugošais pieprasījums pēc pakalpojumiem, kurus nodrošina līzinga apakšstruktūras, piemēram, 2019. gada 2. ceturk</w:t>
      </w:r>
      <w:r>
        <w:rPr>
          <w:rFonts w:ascii="Times New Roman" w:hAnsi="Times New Roman" w:cs="Times New Roman"/>
          <w:bCs/>
          <w:iCs/>
        </w:rPr>
        <w:t>snī</w:t>
      </w:r>
      <w:r w:rsidRPr="00E96894">
        <w:rPr>
          <w:rFonts w:ascii="Times New Roman" w:hAnsi="Times New Roman" w:cs="Times New Roman"/>
          <w:bCs/>
          <w:iCs/>
        </w:rPr>
        <w:t xml:space="preserve"> aptuveni 50% no visiem jaunajiem līzinga </w:t>
      </w:r>
      <w:r>
        <w:rPr>
          <w:rFonts w:ascii="Times New Roman" w:hAnsi="Times New Roman" w:cs="Times New Roman"/>
          <w:bCs/>
          <w:iCs/>
        </w:rPr>
        <w:t>darījumiem</w:t>
      </w:r>
      <w:r w:rsidRPr="00E96894">
        <w:rPr>
          <w:rFonts w:ascii="Times New Roman" w:hAnsi="Times New Roman" w:cs="Times New Roman"/>
          <w:bCs/>
          <w:iCs/>
        </w:rPr>
        <w:t xml:space="preserve"> </w:t>
      </w:r>
      <w:r w:rsidR="0048333C">
        <w:rPr>
          <w:rFonts w:ascii="Times New Roman" w:hAnsi="Times New Roman" w:cs="Times New Roman"/>
          <w:bCs/>
          <w:iCs/>
        </w:rPr>
        <w:t>veidoja</w:t>
      </w:r>
      <w:r w:rsidR="0048333C" w:rsidRPr="00E96894">
        <w:rPr>
          <w:rFonts w:ascii="Times New Roman" w:hAnsi="Times New Roman" w:cs="Times New Roman"/>
          <w:bCs/>
          <w:iCs/>
        </w:rPr>
        <w:t xml:space="preserve"> </w:t>
      </w:r>
      <w:r w:rsidRPr="00E96894">
        <w:rPr>
          <w:rFonts w:ascii="Times New Roman" w:hAnsi="Times New Roman" w:cs="Times New Roman"/>
          <w:bCs/>
          <w:iCs/>
        </w:rPr>
        <w:t>viegl</w:t>
      </w:r>
      <w:r w:rsidR="0048333C">
        <w:rPr>
          <w:rFonts w:ascii="Times New Roman" w:hAnsi="Times New Roman" w:cs="Times New Roman"/>
          <w:bCs/>
          <w:iCs/>
        </w:rPr>
        <w:t>o</w:t>
      </w:r>
      <w:r w:rsidRPr="00E96894">
        <w:rPr>
          <w:rFonts w:ascii="Times New Roman" w:hAnsi="Times New Roman" w:cs="Times New Roman"/>
          <w:bCs/>
          <w:iCs/>
        </w:rPr>
        <w:t xml:space="preserve"> automašīn</w:t>
      </w:r>
      <w:r w:rsidR="0048333C">
        <w:rPr>
          <w:rFonts w:ascii="Times New Roman" w:hAnsi="Times New Roman" w:cs="Times New Roman"/>
          <w:bCs/>
          <w:iCs/>
        </w:rPr>
        <w:t>u</w:t>
      </w:r>
      <w:r w:rsidRPr="00E96894">
        <w:rPr>
          <w:rFonts w:ascii="Times New Roman" w:hAnsi="Times New Roman" w:cs="Times New Roman"/>
          <w:bCs/>
          <w:iCs/>
        </w:rPr>
        <w:t xml:space="preserve">, bet aptuveni 30% </w:t>
      </w:r>
      <w:r w:rsidR="0048333C">
        <w:rPr>
          <w:rFonts w:ascii="Times New Roman" w:hAnsi="Times New Roman" w:cs="Times New Roman"/>
          <w:bCs/>
          <w:iCs/>
        </w:rPr>
        <w:t>–</w:t>
      </w:r>
      <w:r w:rsidRPr="00E96894">
        <w:rPr>
          <w:rFonts w:ascii="Times New Roman" w:hAnsi="Times New Roman" w:cs="Times New Roman"/>
          <w:bCs/>
          <w:iCs/>
        </w:rPr>
        <w:t xml:space="preserve"> dažād</w:t>
      </w:r>
      <w:r w:rsidR="0048333C">
        <w:rPr>
          <w:rFonts w:ascii="Times New Roman" w:hAnsi="Times New Roman" w:cs="Times New Roman"/>
          <w:bCs/>
          <w:iCs/>
        </w:rPr>
        <w:t>u</w:t>
      </w:r>
      <w:r w:rsidRPr="00E96894">
        <w:rPr>
          <w:rFonts w:ascii="Times New Roman" w:hAnsi="Times New Roman" w:cs="Times New Roman"/>
          <w:bCs/>
          <w:iCs/>
        </w:rPr>
        <w:t xml:space="preserve"> iekārt</w:t>
      </w:r>
      <w:r w:rsidR="0048333C">
        <w:rPr>
          <w:rFonts w:ascii="Times New Roman" w:hAnsi="Times New Roman" w:cs="Times New Roman"/>
          <w:bCs/>
          <w:iCs/>
        </w:rPr>
        <w:t>u pirkšanas darījumi</w:t>
      </w:r>
      <w:r w:rsidRPr="00E96894">
        <w:rPr>
          <w:rFonts w:ascii="Times New Roman" w:hAnsi="Times New Roman" w:cs="Times New Roman"/>
          <w:bCs/>
          <w:iCs/>
        </w:rPr>
        <w:t>. Neskatoties uz pieaugošajiem nebanku kreditēšanas apmēriem un daudzveidību, pašlaik nav pamata uzskatīt, ka tā rada riskus finanšu stabilitātei.</w:t>
      </w:r>
    </w:p>
    <w:p w:rsidR="00E75495" w:rsidRPr="00E96894" w:rsidRDefault="00E75495" w:rsidP="00E75495">
      <w:pPr>
        <w:shd w:val="clear" w:color="auto" w:fill="FFFFFF" w:themeFill="background1"/>
        <w:jc w:val="both"/>
        <w:rPr>
          <w:rFonts w:ascii="Times New Roman" w:hAnsi="Times New Roman" w:cs="Times New Roman"/>
          <w:bCs/>
          <w:iCs/>
        </w:rPr>
      </w:pPr>
      <w:r w:rsidRPr="00E96894">
        <w:rPr>
          <w:rFonts w:ascii="Times New Roman" w:hAnsi="Times New Roman" w:cs="Times New Roman"/>
          <w:bCs/>
          <w:iCs/>
        </w:rPr>
        <w:t xml:space="preserve">Ar nekustamā īpašuma tirgu saistīto risku novērtējums nav mainījies. 2019. gada laikā mājokļu cenu pieaugums ir normalizējies, jo augošais ekonomiskās klases mājokļu piedāvājums sāk mazināt spiedienu uz mājokļu cenām. Mājokļu pirkuma darījumu skaits Latvijā pēdējos gados ir stabils, lai arī kopumā aktivitāte tieši Rīgas nekustamo īpašumu tirgū ir </w:t>
      </w:r>
      <w:r w:rsidRPr="00FC5E65">
        <w:rPr>
          <w:rFonts w:ascii="Times New Roman" w:hAnsi="Times New Roman" w:cs="Times New Roman"/>
          <w:bCs/>
          <w:iCs/>
        </w:rPr>
        <w:t>pieaugusi (</w:t>
      </w:r>
      <w:r w:rsidR="0048333C" w:rsidRPr="00FC5E65">
        <w:rPr>
          <w:rFonts w:ascii="Times New Roman" w:hAnsi="Times New Roman" w:cs="Times New Roman"/>
          <w:bCs/>
          <w:iCs/>
        </w:rPr>
        <w:t>2019.</w:t>
      </w:r>
      <w:r w:rsidRPr="0048333C">
        <w:rPr>
          <w:rFonts w:ascii="Times New Roman" w:hAnsi="Times New Roman" w:cs="Times New Roman"/>
          <w:bCs/>
          <w:iCs/>
        </w:rPr>
        <w:t xml:space="preserve"> gada</w:t>
      </w:r>
      <w:r w:rsidRPr="00E96894">
        <w:rPr>
          <w:rFonts w:ascii="Times New Roman" w:hAnsi="Times New Roman" w:cs="Times New Roman"/>
          <w:bCs/>
          <w:iCs/>
        </w:rPr>
        <w:t xml:space="preserve"> deviņos mēnešos pieaugums ir par 8.1%, salīdzinot ar iepriekšējā gada atbilstošo periodu), ko veicina jauno mājokļu piedāvājums. 2019. gada 2. ceturksnī salīdzinājumā </w:t>
      </w:r>
      <w:r w:rsidR="0048333C">
        <w:rPr>
          <w:rFonts w:ascii="Times New Roman" w:hAnsi="Times New Roman" w:cs="Times New Roman"/>
          <w:bCs/>
          <w:iCs/>
        </w:rPr>
        <w:t>ar</w:t>
      </w:r>
      <w:r w:rsidR="0048333C" w:rsidRPr="00E96894">
        <w:rPr>
          <w:rFonts w:ascii="Times New Roman" w:hAnsi="Times New Roman" w:cs="Times New Roman"/>
          <w:bCs/>
          <w:iCs/>
        </w:rPr>
        <w:t xml:space="preserve"> </w:t>
      </w:r>
      <w:r w:rsidRPr="00E96894">
        <w:rPr>
          <w:rFonts w:ascii="Times New Roman" w:hAnsi="Times New Roman" w:cs="Times New Roman"/>
          <w:bCs/>
          <w:iCs/>
        </w:rPr>
        <w:t>iepriekšējā gada atbilstošo periodu Centrālās statistikas pārvaldes mājokļu cenu indekss</w:t>
      </w:r>
      <w:r>
        <w:rPr>
          <w:rFonts w:ascii="Times New Roman" w:hAnsi="Times New Roman" w:cs="Times New Roman"/>
          <w:bCs/>
          <w:iCs/>
        </w:rPr>
        <w:t xml:space="preserve"> (nekoriģēti dati)</w:t>
      </w:r>
      <w:r w:rsidRPr="00E96894">
        <w:rPr>
          <w:rFonts w:ascii="Times New Roman" w:hAnsi="Times New Roman" w:cs="Times New Roman"/>
          <w:bCs/>
          <w:iCs/>
        </w:rPr>
        <w:t xml:space="preserve"> palielinājās par 9.0% (salīdzinājumā ar 6.4% pieaugumu 2019. gada 1. ceturksnī), esošo mājokļu cenas – par 9.3% (par 8.1% – 2019. gada 1. ceturksnī), jauno mājokļu cenas pieauga par 6.8% (2.5% samazinājums 2019. gada 1. ceturksnī).</w:t>
      </w:r>
    </w:p>
    <w:p w:rsidR="00E75495" w:rsidRPr="00E96894" w:rsidRDefault="00E75495" w:rsidP="00E75495">
      <w:pPr>
        <w:shd w:val="clear" w:color="auto" w:fill="FFFFFF" w:themeFill="background1"/>
        <w:jc w:val="both"/>
        <w:rPr>
          <w:rFonts w:ascii="Times New Roman" w:hAnsi="Times New Roman" w:cs="Times New Roman"/>
          <w:bCs/>
          <w:iCs/>
        </w:rPr>
      </w:pPr>
      <w:r w:rsidRPr="00E96894">
        <w:rPr>
          <w:rFonts w:ascii="Times New Roman" w:hAnsi="Times New Roman" w:cs="Times New Roman"/>
          <w:bCs/>
          <w:iCs/>
        </w:rPr>
        <w:t xml:space="preserve">Kopumā ciklisko risku novērtējums un arī nostāja attiecībā uz </w:t>
      </w:r>
      <w:r w:rsidR="003146BA">
        <w:rPr>
          <w:rFonts w:ascii="Times New Roman" w:hAnsi="Times New Roman" w:cs="Times New Roman"/>
          <w:bCs/>
          <w:iCs/>
        </w:rPr>
        <w:t>šo</w:t>
      </w:r>
      <w:r w:rsidRPr="0034616D">
        <w:rPr>
          <w:rFonts w:ascii="Times New Roman" w:hAnsi="Times New Roman" w:cs="Times New Roman"/>
          <w:bCs/>
          <w:iCs/>
        </w:rPr>
        <w:t xml:space="preserve"> risk</w:t>
      </w:r>
      <w:r>
        <w:rPr>
          <w:rFonts w:ascii="Times New Roman" w:hAnsi="Times New Roman" w:cs="Times New Roman"/>
          <w:bCs/>
          <w:iCs/>
        </w:rPr>
        <w:t>u pārvaldīšanu</w:t>
      </w:r>
      <w:r w:rsidRPr="0034616D">
        <w:rPr>
          <w:rFonts w:ascii="Times New Roman" w:hAnsi="Times New Roman" w:cs="Times New Roman"/>
          <w:bCs/>
          <w:iCs/>
        </w:rPr>
        <w:t xml:space="preserve"> </w:t>
      </w:r>
      <w:r w:rsidRPr="00E96894">
        <w:rPr>
          <w:rFonts w:ascii="Times New Roman" w:hAnsi="Times New Roman" w:cs="Times New Roman"/>
          <w:bCs/>
          <w:iCs/>
        </w:rPr>
        <w:t xml:space="preserve">paliek iepriekšējā. Ar kreditēšanu un nekustamā īpašuma tirgu saistīto risku līmenis vērtējams kā zems. Mājsaimniecību parāda līmenis ir zems, hipotekārās kreditēšanas dinamika joprojām ir </w:t>
      </w:r>
      <w:r w:rsidR="00FC5E65">
        <w:rPr>
          <w:rFonts w:ascii="Times New Roman" w:hAnsi="Times New Roman" w:cs="Times New Roman"/>
          <w:bCs/>
          <w:iCs/>
        </w:rPr>
        <w:t>neliela</w:t>
      </w:r>
      <w:r w:rsidRPr="00E96894">
        <w:rPr>
          <w:rFonts w:ascii="Times New Roman" w:hAnsi="Times New Roman" w:cs="Times New Roman"/>
          <w:bCs/>
          <w:iCs/>
        </w:rPr>
        <w:t xml:space="preserve">. Mājsaimniecību ienākumi aug līdzīgā tempā kā mājokļu cenas, tādējādi mājokļu pieejamība kopumā būtiski nemainās un mājokļu cenu indeksa attiecība pret vidējās neto darba samaksas indeksu ir tuvu ilgtermiņa vidējam rādītājam. </w:t>
      </w:r>
    </w:p>
    <w:p w:rsidR="00E75495" w:rsidRPr="00E96894" w:rsidRDefault="00E75495" w:rsidP="00E75495">
      <w:pPr>
        <w:shd w:val="clear" w:color="auto" w:fill="FFFFFF" w:themeFill="background1"/>
        <w:jc w:val="both"/>
        <w:rPr>
          <w:rFonts w:ascii="Times New Roman" w:hAnsi="Times New Roman" w:cs="Times New Roman"/>
          <w:bCs/>
          <w:iCs/>
        </w:rPr>
      </w:pPr>
      <w:r w:rsidRPr="00E96894">
        <w:rPr>
          <w:rFonts w:ascii="Times New Roman" w:hAnsi="Times New Roman" w:cs="Times New Roman"/>
          <w:bCs/>
          <w:iCs/>
        </w:rPr>
        <w:t>Galvenie Latvijas finanšu sektora stabilitātes riski salīdzinājumā ar vērtējumu pirms ceturkšņa saglabājas nemainīgi. Tie ir saistīti ar Latvijas ekonomikas atvērtību, pasaules, t.sk. Eiropas Savienības, makroekonomiskās vides pasliktināšanos, nestabilu ģeopolitisko fonu un vāj</w:t>
      </w:r>
      <w:r>
        <w:rPr>
          <w:rFonts w:ascii="Times New Roman" w:hAnsi="Times New Roman" w:cs="Times New Roman"/>
          <w:bCs/>
          <w:iCs/>
        </w:rPr>
        <w:t>a</w:t>
      </w:r>
      <w:r w:rsidRPr="00E96894">
        <w:rPr>
          <w:rFonts w:ascii="Times New Roman" w:hAnsi="Times New Roman" w:cs="Times New Roman"/>
          <w:bCs/>
          <w:iCs/>
        </w:rPr>
        <w:t xml:space="preserve"> ārējā pieprasījuma turpināšanos, kā arī ar saglabājošos reputācijas risku. Latvijai aktuāli saglabājas arī riski, kas saistāmi ar nesabalansētu nekustamā īpašuma tirgus strukturālo attīstību un relatīvi augstu mājsaimniecību parādu līmeni Ziemeļvalstīs, kas var negatīvi ietekmēt vietējo finanšu ciklu</w:t>
      </w:r>
      <w:r w:rsidR="0048333C">
        <w:rPr>
          <w:rFonts w:ascii="Times New Roman" w:hAnsi="Times New Roman" w:cs="Times New Roman"/>
          <w:bCs/>
          <w:iCs/>
        </w:rPr>
        <w:t>, ņemot vērā</w:t>
      </w:r>
      <w:r w:rsidRPr="00E96894">
        <w:rPr>
          <w:rFonts w:ascii="Times New Roman" w:hAnsi="Times New Roman" w:cs="Times New Roman"/>
          <w:bCs/>
          <w:iCs/>
        </w:rPr>
        <w:t xml:space="preserve"> tirdzniecības kanālu</w:t>
      </w:r>
      <w:r w:rsidR="00FC5E65">
        <w:rPr>
          <w:rFonts w:ascii="Times New Roman" w:hAnsi="Times New Roman" w:cs="Times New Roman"/>
          <w:bCs/>
          <w:iCs/>
        </w:rPr>
        <w:t>s</w:t>
      </w:r>
      <w:r w:rsidRPr="00E96894">
        <w:rPr>
          <w:rFonts w:ascii="Times New Roman" w:hAnsi="Times New Roman" w:cs="Times New Roman"/>
          <w:bCs/>
          <w:iCs/>
        </w:rPr>
        <w:t xml:space="preserve"> un banku, kuru mātes bankas grupas līmenī </w:t>
      </w:r>
      <w:r w:rsidRPr="00E96894">
        <w:rPr>
          <w:rFonts w:ascii="Times New Roman" w:hAnsi="Times New Roman" w:cs="Times New Roman"/>
          <w:bCs/>
          <w:i/>
          <w:iCs/>
        </w:rPr>
        <w:t>(home-host</w:t>
      </w:r>
      <w:r w:rsidRPr="00E96894">
        <w:rPr>
          <w:rFonts w:ascii="Times New Roman" w:hAnsi="Times New Roman" w:cs="Times New Roman"/>
          <w:bCs/>
          <w:iCs/>
        </w:rPr>
        <w:t>) bāzējas Ziemeļvalstu reģionā, finansējuma piesaistes kanāl</w:t>
      </w:r>
      <w:r w:rsidR="0048333C">
        <w:rPr>
          <w:rFonts w:ascii="Times New Roman" w:hAnsi="Times New Roman" w:cs="Times New Roman"/>
          <w:bCs/>
          <w:iCs/>
        </w:rPr>
        <w:t>us</w:t>
      </w:r>
      <w:r w:rsidRPr="00E96894">
        <w:rPr>
          <w:rFonts w:ascii="Times New Roman" w:hAnsi="Times New Roman" w:cs="Times New Roman"/>
          <w:bCs/>
          <w:iCs/>
        </w:rPr>
        <w:t xml:space="preserve"> un grupas kopējā</w:t>
      </w:r>
      <w:r w:rsidR="0048333C">
        <w:rPr>
          <w:rFonts w:ascii="Times New Roman" w:hAnsi="Times New Roman" w:cs="Times New Roman"/>
          <w:bCs/>
          <w:iCs/>
        </w:rPr>
        <w:t>s</w:t>
      </w:r>
      <w:r w:rsidRPr="00E96894">
        <w:rPr>
          <w:rFonts w:ascii="Times New Roman" w:hAnsi="Times New Roman" w:cs="Times New Roman"/>
          <w:bCs/>
          <w:iCs/>
        </w:rPr>
        <w:t xml:space="preserve"> kredītpolitik</w:t>
      </w:r>
      <w:r w:rsidR="0048333C">
        <w:rPr>
          <w:rFonts w:ascii="Times New Roman" w:hAnsi="Times New Roman" w:cs="Times New Roman"/>
          <w:bCs/>
          <w:iCs/>
        </w:rPr>
        <w:t>as</w:t>
      </w:r>
      <w:bookmarkStart w:id="1" w:name="_GoBack"/>
      <w:bookmarkEnd w:id="1"/>
      <w:r w:rsidRPr="00E96894">
        <w:rPr>
          <w:rFonts w:ascii="Times New Roman" w:hAnsi="Times New Roman" w:cs="Times New Roman"/>
          <w:bCs/>
          <w:iCs/>
        </w:rPr>
        <w:t>.</w:t>
      </w:r>
    </w:p>
    <w:p w:rsidR="002E7702" w:rsidRPr="0010763F" w:rsidRDefault="002E7702" w:rsidP="002E7702">
      <w:pPr>
        <w:jc w:val="both"/>
        <w:rPr>
          <w:rFonts w:ascii="Times New Roman" w:hAnsi="Times New Roman" w:cs="Times New Roman"/>
        </w:rPr>
      </w:pPr>
      <w:r w:rsidRPr="007A6496">
        <w:rPr>
          <w:rFonts w:ascii="Times New Roman" w:hAnsi="Times New Roman" w:cs="Times New Roman"/>
          <w:bCs/>
          <w:iCs/>
        </w:rPr>
        <w:lastRenderedPageBreak/>
        <w:t>FKTK sadarbībā ar Latvijas Banku turpinās analizēt attiecīgos rādītājus un tendences, vērtējot nepieciešamību noteikt pozitīvu PKR normu nākamajos ceturkšņos.</w:t>
      </w:r>
      <w:r w:rsidRPr="005715A7">
        <w:rPr>
          <w:rFonts w:ascii="Times New Roman" w:hAnsi="Times New Roman" w:cs="Times New Roman"/>
          <w:bCs/>
          <w:iCs/>
        </w:rPr>
        <w:t xml:space="preserve"> </w:t>
      </w:r>
    </w:p>
    <w:p w:rsidR="00A3730D" w:rsidRPr="00A7579A" w:rsidRDefault="00A3730D" w:rsidP="00477791">
      <w:pPr>
        <w:keepNext/>
        <w:keepLines/>
        <w:spacing w:after="120" w:line="240" w:lineRule="auto"/>
        <w:jc w:val="both"/>
        <w:outlineLvl w:val="0"/>
        <w:rPr>
          <w:rFonts w:ascii="Times New Roman" w:hAnsi="Times New Roman" w:cs="Times New Roman"/>
        </w:rPr>
      </w:pPr>
    </w:p>
    <w:sectPr w:rsidR="00A3730D" w:rsidRPr="00A7579A" w:rsidSect="00FB659C">
      <w:pgSz w:w="11906" w:h="16838"/>
      <w:pgMar w:top="1440" w:right="1800" w:bottom="851"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66C" w:rsidRDefault="00DB366C" w:rsidP="0032368D">
      <w:pPr>
        <w:spacing w:after="0" w:line="240" w:lineRule="auto"/>
      </w:pPr>
      <w:r>
        <w:separator/>
      </w:r>
    </w:p>
  </w:endnote>
  <w:endnote w:type="continuationSeparator" w:id="0">
    <w:p w:rsidR="00DB366C" w:rsidRDefault="00DB366C" w:rsidP="0032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altName w:val="Times New Roman PSMT"/>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66C" w:rsidRDefault="00DB366C" w:rsidP="0032368D">
      <w:pPr>
        <w:spacing w:after="0" w:line="240" w:lineRule="auto"/>
      </w:pPr>
      <w:r>
        <w:separator/>
      </w:r>
    </w:p>
  </w:footnote>
  <w:footnote w:type="continuationSeparator" w:id="0">
    <w:p w:rsidR="00DB366C" w:rsidRDefault="00DB366C" w:rsidP="003236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68D"/>
    <w:rsid w:val="0000345E"/>
    <w:rsid w:val="00006294"/>
    <w:rsid w:val="000219CE"/>
    <w:rsid w:val="00033609"/>
    <w:rsid w:val="000416B6"/>
    <w:rsid w:val="0004770A"/>
    <w:rsid w:val="0005216E"/>
    <w:rsid w:val="00056361"/>
    <w:rsid w:val="000732CA"/>
    <w:rsid w:val="00073CF2"/>
    <w:rsid w:val="00074564"/>
    <w:rsid w:val="000760CC"/>
    <w:rsid w:val="0007732A"/>
    <w:rsid w:val="0008428A"/>
    <w:rsid w:val="00092FAB"/>
    <w:rsid w:val="000A78A0"/>
    <w:rsid w:val="000B500D"/>
    <w:rsid w:val="000C4CF1"/>
    <w:rsid w:val="000C5528"/>
    <w:rsid w:val="000D0CFE"/>
    <w:rsid w:val="000D3F5D"/>
    <w:rsid w:val="000E7C19"/>
    <w:rsid w:val="001107C9"/>
    <w:rsid w:val="001200D0"/>
    <w:rsid w:val="00133C4A"/>
    <w:rsid w:val="001462F3"/>
    <w:rsid w:val="00151AC3"/>
    <w:rsid w:val="0015490A"/>
    <w:rsid w:val="00157AFD"/>
    <w:rsid w:val="00160E17"/>
    <w:rsid w:val="0017114E"/>
    <w:rsid w:val="00173659"/>
    <w:rsid w:val="00174F2D"/>
    <w:rsid w:val="0019182F"/>
    <w:rsid w:val="00196BE7"/>
    <w:rsid w:val="001A066A"/>
    <w:rsid w:val="001A3D76"/>
    <w:rsid w:val="001B1DB2"/>
    <w:rsid w:val="001B255A"/>
    <w:rsid w:val="001B2BC2"/>
    <w:rsid w:val="001B386C"/>
    <w:rsid w:val="001B3A24"/>
    <w:rsid w:val="001B4A29"/>
    <w:rsid w:val="001C4A4B"/>
    <w:rsid w:val="001D1AD1"/>
    <w:rsid w:val="001D7A88"/>
    <w:rsid w:val="001D7E5E"/>
    <w:rsid w:val="001E4DEF"/>
    <w:rsid w:val="001E54D3"/>
    <w:rsid w:val="001E5B20"/>
    <w:rsid w:val="001E631C"/>
    <w:rsid w:val="001F0D5B"/>
    <w:rsid w:val="001F36C7"/>
    <w:rsid w:val="001F3CBB"/>
    <w:rsid w:val="001F574A"/>
    <w:rsid w:val="001F7184"/>
    <w:rsid w:val="00200585"/>
    <w:rsid w:val="00201F2A"/>
    <w:rsid w:val="00202693"/>
    <w:rsid w:val="00211C78"/>
    <w:rsid w:val="00212C82"/>
    <w:rsid w:val="00214ED9"/>
    <w:rsid w:val="002204A7"/>
    <w:rsid w:val="00222721"/>
    <w:rsid w:val="002343BD"/>
    <w:rsid w:val="0024248F"/>
    <w:rsid w:val="002427C4"/>
    <w:rsid w:val="00250A7A"/>
    <w:rsid w:val="0025420C"/>
    <w:rsid w:val="0025718E"/>
    <w:rsid w:val="00257798"/>
    <w:rsid w:val="002578B4"/>
    <w:rsid w:val="00264AD0"/>
    <w:rsid w:val="00275056"/>
    <w:rsid w:val="002774E0"/>
    <w:rsid w:val="0028285A"/>
    <w:rsid w:val="00282D6E"/>
    <w:rsid w:val="00283EDB"/>
    <w:rsid w:val="00286B91"/>
    <w:rsid w:val="00297A9A"/>
    <w:rsid w:val="002A0A04"/>
    <w:rsid w:val="002A3173"/>
    <w:rsid w:val="002A37B2"/>
    <w:rsid w:val="002A623C"/>
    <w:rsid w:val="002A6B0A"/>
    <w:rsid w:val="002B0DEE"/>
    <w:rsid w:val="002C0998"/>
    <w:rsid w:val="002C17C8"/>
    <w:rsid w:val="002C4B94"/>
    <w:rsid w:val="002D0028"/>
    <w:rsid w:val="002D1280"/>
    <w:rsid w:val="002D66B5"/>
    <w:rsid w:val="002D763E"/>
    <w:rsid w:val="002E2D88"/>
    <w:rsid w:val="002E458C"/>
    <w:rsid w:val="002E5CD2"/>
    <w:rsid w:val="002E5D00"/>
    <w:rsid w:val="002E7702"/>
    <w:rsid w:val="002F0E6B"/>
    <w:rsid w:val="002F2C6A"/>
    <w:rsid w:val="0030576F"/>
    <w:rsid w:val="00307DBC"/>
    <w:rsid w:val="003146BA"/>
    <w:rsid w:val="0031554E"/>
    <w:rsid w:val="00317341"/>
    <w:rsid w:val="0032368D"/>
    <w:rsid w:val="00327AF2"/>
    <w:rsid w:val="00332E8E"/>
    <w:rsid w:val="00336DFF"/>
    <w:rsid w:val="003408BC"/>
    <w:rsid w:val="00342E7E"/>
    <w:rsid w:val="00347BD8"/>
    <w:rsid w:val="003522C3"/>
    <w:rsid w:val="0036153F"/>
    <w:rsid w:val="003676B7"/>
    <w:rsid w:val="00373687"/>
    <w:rsid w:val="003811B7"/>
    <w:rsid w:val="003833D9"/>
    <w:rsid w:val="003869BE"/>
    <w:rsid w:val="003950AB"/>
    <w:rsid w:val="003A1C21"/>
    <w:rsid w:val="003A4F4B"/>
    <w:rsid w:val="003A71F7"/>
    <w:rsid w:val="003A788B"/>
    <w:rsid w:val="003C0C57"/>
    <w:rsid w:val="003C4CFB"/>
    <w:rsid w:val="003C5456"/>
    <w:rsid w:val="003C6059"/>
    <w:rsid w:val="003C7C63"/>
    <w:rsid w:val="003D03F5"/>
    <w:rsid w:val="003D464B"/>
    <w:rsid w:val="003D54E7"/>
    <w:rsid w:val="003F243B"/>
    <w:rsid w:val="004058BC"/>
    <w:rsid w:val="00407879"/>
    <w:rsid w:val="00410BF9"/>
    <w:rsid w:val="00413C37"/>
    <w:rsid w:val="00421D1C"/>
    <w:rsid w:val="00427AFE"/>
    <w:rsid w:val="0044271E"/>
    <w:rsid w:val="004458CB"/>
    <w:rsid w:val="0046415C"/>
    <w:rsid w:val="00471FDD"/>
    <w:rsid w:val="00477791"/>
    <w:rsid w:val="004802E1"/>
    <w:rsid w:val="00483023"/>
    <w:rsid w:val="0048333C"/>
    <w:rsid w:val="00483487"/>
    <w:rsid w:val="00485DED"/>
    <w:rsid w:val="00490B38"/>
    <w:rsid w:val="004950F6"/>
    <w:rsid w:val="004A27C0"/>
    <w:rsid w:val="004A6195"/>
    <w:rsid w:val="004A6271"/>
    <w:rsid w:val="004D2A61"/>
    <w:rsid w:val="004D5F26"/>
    <w:rsid w:val="004E4EFF"/>
    <w:rsid w:val="004E598C"/>
    <w:rsid w:val="004F1E9D"/>
    <w:rsid w:val="004F22BD"/>
    <w:rsid w:val="004F57E6"/>
    <w:rsid w:val="004F663E"/>
    <w:rsid w:val="005002AE"/>
    <w:rsid w:val="0050101D"/>
    <w:rsid w:val="00501F69"/>
    <w:rsid w:val="005039A2"/>
    <w:rsid w:val="00505E20"/>
    <w:rsid w:val="00512D34"/>
    <w:rsid w:val="0051567D"/>
    <w:rsid w:val="00541087"/>
    <w:rsid w:val="00545D33"/>
    <w:rsid w:val="00551EDB"/>
    <w:rsid w:val="005530EC"/>
    <w:rsid w:val="005557E7"/>
    <w:rsid w:val="00556281"/>
    <w:rsid w:val="00563458"/>
    <w:rsid w:val="00575728"/>
    <w:rsid w:val="005809B2"/>
    <w:rsid w:val="0058464F"/>
    <w:rsid w:val="00584828"/>
    <w:rsid w:val="00594104"/>
    <w:rsid w:val="00595758"/>
    <w:rsid w:val="00597727"/>
    <w:rsid w:val="005B43FD"/>
    <w:rsid w:val="005B5A65"/>
    <w:rsid w:val="005B6F2D"/>
    <w:rsid w:val="005C192C"/>
    <w:rsid w:val="005C5BE4"/>
    <w:rsid w:val="005C6193"/>
    <w:rsid w:val="005C6820"/>
    <w:rsid w:val="005D0F48"/>
    <w:rsid w:val="005E27EE"/>
    <w:rsid w:val="005F22B5"/>
    <w:rsid w:val="005F5E68"/>
    <w:rsid w:val="005F6B02"/>
    <w:rsid w:val="005F6B51"/>
    <w:rsid w:val="0060248D"/>
    <w:rsid w:val="00603E26"/>
    <w:rsid w:val="00611E90"/>
    <w:rsid w:val="00626D69"/>
    <w:rsid w:val="00630A3C"/>
    <w:rsid w:val="00637145"/>
    <w:rsid w:val="006419D4"/>
    <w:rsid w:val="00647385"/>
    <w:rsid w:val="006506BC"/>
    <w:rsid w:val="00650A3F"/>
    <w:rsid w:val="00652B58"/>
    <w:rsid w:val="00665696"/>
    <w:rsid w:val="00676D29"/>
    <w:rsid w:val="006852AB"/>
    <w:rsid w:val="0068695B"/>
    <w:rsid w:val="00694A1E"/>
    <w:rsid w:val="006A0A25"/>
    <w:rsid w:val="006A2EA8"/>
    <w:rsid w:val="006A5D61"/>
    <w:rsid w:val="006D53F7"/>
    <w:rsid w:val="006F3C5A"/>
    <w:rsid w:val="007054B6"/>
    <w:rsid w:val="007101E0"/>
    <w:rsid w:val="007135B6"/>
    <w:rsid w:val="00722FBC"/>
    <w:rsid w:val="007240F6"/>
    <w:rsid w:val="00730C2D"/>
    <w:rsid w:val="00732145"/>
    <w:rsid w:val="00734FF6"/>
    <w:rsid w:val="0075295B"/>
    <w:rsid w:val="00752964"/>
    <w:rsid w:val="00755306"/>
    <w:rsid w:val="0076445A"/>
    <w:rsid w:val="007711FA"/>
    <w:rsid w:val="0077191E"/>
    <w:rsid w:val="00781E70"/>
    <w:rsid w:val="00786278"/>
    <w:rsid w:val="00795CBC"/>
    <w:rsid w:val="00797CA5"/>
    <w:rsid w:val="007A06E9"/>
    <w:rsid w:val="007A2552"/>
    <w:rsid w:val="007A3364"/>
    <w:rsid w:val="007A6003"/>
    <w:rsid w:val="007B0186"/>
    <w:rsid w:val="007B18EE"/>
    <w:rsid w:val="007B5C91"/>
    <w:rsid w:val="007B6DE4"/>
    <w:rsid w:val="007B70B4"/>
    <w:rsid w:val="007C062F"/>
    <w:rsid w:val="007C5CB7"/>
    <w:rsid w:val="007D02BE"/>
    <w:rsid w:val="007D0F9E"/>
    <w:rsid w:val="007D4B90"/>
    <w:rsid w:val="007F0B1F"/>
    <w:rsid w:val="007F27EB"/>
    <w:rsid w:val="007F43A8"/>
    <w:rsid w:val="008018ED"/>
    <w:rsid w:val="00803B31"/>
    <w:rsid w:val="008045C6"/>
    <w:rsid w:val="00804704"/>
    <w:rsid w:val="0080796D"/>
    <w:rsid w:val="008126F3"/>
    <w:rsid w:val="00812F55"/>
    <w:rsid w:val="008153A2"/>
    <w:rsid w:val="00823AC7"/>
    <w:rsid w:val="00827011"/>
    <w:rsid w:val="008321C2"/>
    <w:rsid w:val="0083262F"/>
    <w:rsid w:val="00833DD1"/>
    <w:rsid w:val="00834BCF"/>
    <w:rsid w:val="0086001F"/>
    <w:rsid w:val="00883B9E"/>
    <w:rsid w:val="008971A7"/>
    <w:rsid w:val="008A2AD7"/>
    <w:rsid w:val="008B0CC4"/>
    <w:rsid w:val="008B0FED"/>
    <w:rsid w:val="008B2C91"/>
    <w:rsid w:val="008B365D"/>
    <w:rsid w:val="008B7997"/>
    <w:rsid w:val="008C19F9"/>
    <w:rsid w:val="008C4114"/>
    <w:rsid w:val="008E4105"/>
    <w:rsid w:val="008F031D"/>
    <w:rsid w:val="00900A60"/>
    <w:rsid w:val="009036F8"/>
    <w:rsid w:val="009044ED"/>
    <w:rsid w:val="00906956"/>
    <w:rsid w:val="009107FF"/>
    <w:rsid w:val="0091202B"/>
    <w:rsid w:val="0091533F"/>
    <w:rsid w:val="0092200A"/>
    <w:rsid w:val="00932616"/>
    <w:rsid w:val="00936D45"/>
    <w:rsid w:val="009654B7"/>
    <w:rsid w:val="00970803"/>
    <w:rsid w:val="00970B53"/>
    <w:rsid w:val="00973A4B"/>
    <w:rsid w:val="00973D6F"/>
    <w:rsid w:val="009751FA"/>
    <w:rsid w:val="009803DF"/>
    <w:rsid w:val="00990449"/>
    <w:rsid w:val="00997CAD"/>
    <w:rsid w:val="009A09F2"/>
    <w:rsid w:val="009A5CAC"/>
    <w:rsid w:val="009B053B"/>
    <w:rsid w:val="009C47C6"/>
    <w:rsid w:val="009D133E"/>
    <w:rsid w:val="009D5592"/>
    <w:rsid w:val="009D5C3F"/>
    <w:rsid w:val="009E69AE"/>
    <w:rsid w:val="009F4A34"/>
    <w:rsid w:val="009F4B08"/>
    <w:rsid w:val="009F6D73"/>
    <w:rsid w:val="00A066A5"/>
    <w:rsid w:val="00A06DCF"/>
    <w:rsid w:val="00A10CCE"/>
    <w:rsid w:val="00A111D3"/>
    <w:rsid w:val="00A17E24"/>
    <w:rsid w:val="00A2498A"/>
    <w:rsid w:val="00A31E93"/>
    <w:rsid w:val="00A343F8"/>
    <w:rsid w:val="00A37284"/>
    <w:rsid w:val="00A3730D"/>
    <w:rsid w:val="00A460F4"/>
    <w:rsid w:val="00A46727"/>
    <w:rsid w:val="00A51512"/>
    <w:rsid w:val="00A60AD7"/>
    <w:rsid w:val="00A61771"/>
    <w:rsid w:val="00A63FA3"/>
    <w:rsid w:val="00A73D5F"/>
    <w:rsid w:val="00A740A3"/>
    <w:rsid w:val="00A749AD"/>
    <w:rsid w:val="00A7579A"/>
    <w:rsid w:val="00A81C4E"/>
    <w:rsid w:val="00A90DD9"/>
    <w:rsid w:val="00A96FD2"/>
    <w:rsid w:val="00AA54E2"/>
    <w:rsid w:val="00AB0804"/>
    <w:rsid w:val="00AB7D3C"/>
    <w:rsid w:val="00AC017B"/>
    <w:rsid w:val="00AC3B42"/>
    <w:rsid w:val="00AC5314"/>
    <w:rsid w:val="00AD0F9A"/>
    <w:rsid w:val="00AD0FED"/>
    <w:rsid w:val="00AD3EE0"/>
    <w:rsid w:val="00AD4BAB"/>
    <w:rsid w:val="00AE237D"/>
    <w:rsid w:val="00AF1886"/>
    <w:rsid w:val="00AF5A22"/>
    <w:rsid w:val="00AF66DD"/>
    <w:rsid w:val="00B131EB"/>
    <w:rsid w:val="00B14758"/>
    <w:rsid w:val="00B2174C"/>
    <w:rsid w:val="00B228F2"/>
    <w:rsid w:val="00B340E6"/>
    <w:rsid w:val="00B35AC6"/>
    <w:rsid w:val="00B35E52"/>
    <w:rsid w:val="00B36036"/>
    <w:rsid w:val="00B45EF2"/>
    <w:rsid w:val="00B57DE1"/>
    <w:rsid w:val="00B7762B"/>
    <w:rsid w:val="00B77A3A"/>
    <w:rsid w:val="00B933DE"/>
    <w:rsid w:val="00B94A70"/>
    <w:rsid w:val="00B94FA0"/>
    <w:rsid w:val="00BA7A20"/>
    <w:rsid w:val="00BC2EF8"/>
    <w:rsid w:val="00BC61BA"/>
    <w:rsid w:val="00BD4B42"/>
    <w:rsid w:val="00BD6400"/>
    <w:rsid w:val="00BE4CD6"/>
    <w:rsid w:val="00BE6527"/>
    <w:rsid w:val="00BF0EA9"/>
    <w:rsid w:val="00BF1FBC"/>
    <w:rsid w:val="00BF4770"/>
    <w:rsid w:val="00C01699"/>
    <w:rsid w:val="00C02112"/>
    <w:rsid w:val="00C04813"/>
    <w:rsid w:val="00C05C51"/>
    <w:rsid w:val="00C40D79"/>
    <w:rsid w:val="00C51304"/>
    <w:rsid w:val="00C617C6"/>
    <w:rsid w:val="00C63EB1"/>
    <w:rsid w:val="00C7742A"/>
    <w:rsid w:val="00C84AAE"/>
    <w:rsid w:val="00CA2374"/>
    <w:rsid w:val="00CB0996"/>
    <w:rsid w:val="00CB0997"/>
    <w:rsid w:val="00CB1528"/>
    <w:rsid w:val="00CB6ADE"/>
    <w:rsid w:val="00CC708A"/>
    <w:rsid w:val="00CC7720"/>
    <w:rsid w:val="00CD6726"/>
    <w:rsid w:val="00CD77B4"/>
    <w:rsid w:val="00CE0BC6"/>
    <w:rsid w:val="00D03E0C"/>
    <w:rsid w:val="00D07221"/>
    <w:rsid w:val="00D121EA"/>
    <w:rsid w:val="00D203B7"/>
    <w:rsid w:val="00D20E6D"/>
    <w:rsid w:val="00D225CA"/>
    <w:rsid w:val="00D32F4B"/>
    <w:rsid w:val="00D336FE"/>
    <w:rsid w:val="00D43F90"/>
    <w:rsid w:val="00D478E9"/>
    <w:rsid w:val="00D47D17"/>
    <w:rsid w:val="00D5033E"/>
    <w:rsid w:val="00D5186E"/>
    <w:rsid w:val="00D5282A"/>
    <w:rsid w:val="00D52888"/>
    <w:rsid w:val="00D804C6"/>
    <w:rsid w:val="00D901EC"/>
    <w:rsid w:val="00D92758"/>
    <w:rsid w:val="00D95035"/>
    <w:rsid w:val="00DA22B5"/>
    <w:rsid w:val="00DA566A"/>
    <w:rsid w:val="00DB2930"/>
    <w:rsid w:val="00DB366C"/>
    <w:rsid w:val="00DB4787"/>
    <w:rsid w:val="00DB689E"/>
    <w:rsid w:val="00DC02D1"/>
    <w:rsid w:val="00DC088E"/>
    <w:rsid w:val="00DC2C50"/>
    <w:rsid w:val="00DC3C4B"/>
    <w:rsid w:val="00DC5BC8"/>
    <w:rsid w:val="00DD1268"/>
    <w:rsid w:val="00DD45B1"/>
    <w:rsid w:val="00DD7B69"/>
    <w:rsid w:val="00DE2350"/>
    <w:rsid w:val="00DE4BD5"/>
    <w:rsid w:val="00DF3E48"/>
    <w:rsid w:val="00DF45EE"/>
    <w:rsid w:val="00E11FC9"/>
    <w:rsid w:val="00E20ACF"/>
    <w:rsid w:val="00E20F38"/>
    <w:rsid w:val="00E22DC2"/>
    <w:rsid w:val="00E234D1"/>
    <w:rsid w:val="00E25E99"/>
    <w:rsid w:val="00E32D20"/>
    <w:rsid w:val="00E360C4"/>
    <w:rsid w:val="00E361A8"/>
    <w:rsid w:val="00E479DE"/>
    <w:rsid w:val="00E60665"/>
    <w:rsid w:val="00E60F59"/>
    <w:rsid w:val="00E61ADB"/>
    <w:rsid w:val="00E6384B"/>
    <w:rsid w:val="00E6583E"/>
    <w:rsid w:val="00E72ACD"/>
    <w:rsid w:val="00E72E46"/>
    <w:rsid w:val="00E74D2B"/>
    <w:rsid w:val="00E75495"/>
    <w:rsid w:val="00E76600"/>
    <w:rsid w:val="00E84344"/>
    <w:rsid w:val="00E9170F"/>
    <w:rsid w:val="00E9329D"/>
    <w:rsid w:val="00EA38B7"/>
    <w:rsid w:val="00EA39EE"/>
    <w:rsid w:val="00EA5186"/>
    <w:rsid w:val="00EB59C4"/>
    <w:rsid w:val="00EC0C38"/>
    <w:rsid w:val="00ED2B36"/>
    <w:rsid w:val="00ED4E21"/>
    <w:rsid w:val="00EE1537"/>
    <w:rsid w:val="00EE1EEE"/>
    <w:rsid w:val="00EE74AB"/>
    <w:rsid w:val="00EE74B5"/>
    <w:rsid w:val="00EF6ACF"/>
    <w:rsid w:val="00F06CDC"/>
    <w:rsid w:val="00F13520"/>
    <w:rsid w:val="00F15844"/>
    <w:rsid w:val="00F40422"/>
    <w:rsid w:val="00F42D02"/>
    <w:rsid w:val="00F43086"/>
    <w:rsid w:val="00F4649E"/>
    <w:rsid w:val="00F511BD"/>
    <w:rsid w:val="00F511EA"/>
    <w:rsid w:val="00F514F0"/>
    <w:rsid w:val="00F62F5E"/>
    <w:rsid w:val="00F70483"/>
    <w:rsid w:val="00F75EF8"/>
    <w:rsid w:val="00F83F56"/>
    <w:rsid w:val="00F83F5F"/>
    <w:rsid w:val="00F85351"/>
    <w:rsid w:val="00F93372"/>
    <w:rsid w:val="00FA19CE"/>
    <w:rsid w:val="00FA2263"/>
    <w:rsid w:val="00FB659C"/>
    <w:rsid w:val="00FC0DF5"/>
    <w:rsid w:val="00FC3E17"/>
    <w:rsid w:val="00FC5E65"/>
    <w:rsid w:val="00FC6C58"/>
    <w:rsid w:val="00FD2440"/>
    <w:rsid w:val="00FE0283"/>
    <w:rsid w:val="00FF0A26"/>
    <w:rsid w:val="00FF78F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C9DB6A-C965-446E-AE2E-145A18348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 w:type="character" w:styleId="CommentReference">
    <w:name w:val="annotation reference"/>
    <w:basedOn w:val="DefaultParagraphFont"/>
    <w:uiPriority w:val="99"/>
    <w:semiHidden/>
    <w:unhideWhenUsed/>
    <w:rsid w:val="0030576F"/>
    <w:rPr>
      <w:sz w:val="16"/>
      <w:szCs w:val="16"/>
    </w:rPr>
  </w:style>
  <w:style w:type="paragraph" w:styleId="CommentText">
    <w:name w:val="annotation text"/>
    <w:basedOn w:val="Normal"/>
    <w:link w:val="CommentTextChar"/>
    <w:uiPriority w:val="99"/>
    <w:semiHidden/>
    <w:unhideWhenUsed/>
    <w:rsid w:val="0030576F"/>
    <w:pPr>
      <w:spacing w:line="240" w:lineRule="auto"/>
    </w:pPr>
    <w:rPr>
      <w:sz w:val="20"/>
      <w:szCs w:val="20"/>
    </w:rPr>
  </w:style>
  <w:style w:type="character" w:customStyle="1" w:styleId="CommentTextChar">
    <w:name w:val="Comment Text Char"/>
    <w:basedOn w:val="DefaultParagraphFont"/>
    <w:link w:val="CommentText"/>
    <w:uiPriority w:val="99"/>
    <w:semiHidden/>
    <w:rsid w:val="0030576F"/>
    <w:rPr>
      <w:sz w:val="20"/>
      <w:szCs w:val="20"/>
    </w:rPr>
  </w:style>
  <w:style w:type="paragraph" w:styleId="CommentSubject">
    <w:name w:val="annotation subject"/>
    <w:basedOn w:val="CommentText"/>
    <w:next w:val="CommentText"/>
    <w:link w:val="CommentSubjectChar"/>
    <w:uiPriority w:val="99"/>
    <w:semiHidden/>
    <w:unhideWhenUsed/>
    <w:rsid w:val="0030576F"/>
    <w:rPr>
      <w:b/>
      <w:bCs/>
    </w:rPr>
  </w:style>
  <w:style w:type="character" w:customStyle="1" w:styleId="CommentSubjectChar">
    <w:name w:val="Comment Subject Char"/>
    <w:basedOn w:val="CommentTextChar"/>
    <w:link w:val="CommentSubject"/>
    <w:uiPriority w:val="99"/>
    <w:semiHidden/>
    <w:rsid w:val="0030576F"/>
    <w:rPr>
      <w:b/>
      <w:bCs/>
      <w:sz w:val="20"/>
      <w:szCs w:val="20"/>
    </w:rPr>
  </w:style>
  <w:style w:type="paragraph" w:styleId="Revision">
    <w:name w:val="Revision"/>
    <w:hidden/>
    <w:uiPriority w:val="99"/>
    <w:semiHidden/>
    <w:rsid w:val="002204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51261">
      <w:bodyDiv w:val="1"/>
      <w:marLeft w:val="0"/>
      <w:marRight w:val="0"/>
      <w:marTop w:val="0"/>
      <w:marBottom w:val="0"/>
      <w:divBdr>
        <w:top w:val="none" w:sz="0" w:space="0" w:color="auto"/>
        <w:left w:val="none" w:sz="0" w:space="0" w:color="auto"/>
        <w:bottom w:val="none" w:sz="0" w:space="0" w:color="auto"/>
        <w:right w:val="none" w:sz="0" w:space="0" w:color="auto"/>
      </w:divBdr>
    </w:div>
    <w:div w:id="102258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74C07-8EE0-49D1-8517-2C45F612E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1231</Words>
  <Characters>7021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Kristina Bojare</cp:lastModifiedBy>
  <cp:revision>5</cp:revision>
  <cp:lastPrinted>2016-01-27T08:05:00Z</cp:lastPrinted>
  <dcterms:created xsi:type="dcterms:W3CDTF">2020-01-24T12:28:00Z</dcterms:created>
  <dcterms:modified xsi:type="dcterms:W3CDTF">2020-01-24T14:12:00Z</dcterms:modified>
</cp:coreProperties>
</file>