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51" w:rsidRPr="00BC2EF8" w:rsidRDefault="00C05C51" w:rsidP="00C05C51">
      <w:pPr>
        <w:keepNext/>
        <w:keepLines/>
        <w:spacing w:before="120" w:after="0" w:line="240" w:lineRule="auto"/>
        <w:jc w:val="both"/>
        <w:outlineLvl w:val="0"/>
        <w:rPr>
          <w:rFonts w:ascii="Times New Roman" w:eastAsia="Times New Roman" w:hAnsi="Times New Roman" w:cs="Times New Roman"/>
          <w:b/>
          <w:bCs/>
          <w:kern w:val="28"/>
          <w:sz w:val="24"/>
          <w:szCs w:val="24"/>
        </w:rPr>
      </w:pPr>
      <w:bookmarkStart w:id="0" w:name="_Toc403946511"/>
      <w:r w:rsidRPr="00BC2EF8">
        <w:rPr>
          <w:rFonts w:ascii="Times New Roman" w:eastAsia="Times New Roman" w:hAnsi="Times New Roman" w:cs="Times New Roman"/>
          <w:b/>
          <w:bCs/>
          <w:i/>
          <w:kern w:val="28"/>
          <w:sz w:val="24"/>
          <w:szCs w:val="24"/>
        </w:rPr>
        <w:t>2</w:t>
      </w:r>
      <w:r w:rsidR="003F243B" w:rsidRPr="00BC2EF8">
        <w:rPr>
          <w:rFonts w:ascii="Times New Roman" w:eastAsia="Times New Roman" w:hAnsi="Times New Roman" w:cs="Times New Roman"/>
          <w:b/>
          <w:bCs/>
          <w:i/>
          <w:kern w:val="28"/>
          <w:sz w:val="24"/>
          <w:szCs w:val="24"/>
        </w:rPr>
        <w:t>5</w:t>
      </w:r>
      <w:r w:rsidRPr="00BC2EF8">
        <w:rPr>
          <w:rFonts w:ascii="Times New Roman" w:eastAsia="Times New Roman" w:hAnsi="Times New Roman" w:cs="Times New Roman"/>
          <w:b/>
          <w:bCs/>
          <w:i/>
          <w:kern w:val="28"/>
          <w:sz w:val="24"/>
          <w:szCs w:val="24"/>
        </w:rPr>
        <w:t>.0</w:t>
      </w:r>
      <w:r w:rsidR="003F243B" w:rsidRPr="00BC2EF8">
        <w:rPr>
          <w:rFonts w:ascii="Times New Roman" w:eastAsia="Times New Roman" w:hAnsi="Times New Roman" w:cs="Times New Roman"/>
          <w:b/>
          <w:bCs/>
          <w:i/>
          <w:kern w:val="28"/>
          <w:sz w:val="24"/>
          <w:szCs w:val="24"/>
        </w:rPr>
        <w:t>7</w:t>
      </w:r>
      <w:r w:rsidRPr="00BC2EF8">
        <w:rPr>
          <w:rFonts w:ascii="Times New Roman" w:eastAsia="Times New Roman" w:hAnsi="Times New Roman" w:cs="Times New Roman"/>
          <w:b/>
          <w:bCs/>
          <w:i/>
          <w:kern w:val="28"/>
          <w:sz w:val="24"/>
          <w:szCs w:val="24"/>
        </w:rPr>
        <w:t>.2017</w:t>
      </w:r>
      <w:r w:rsidRPr="00BC2EF8">
        <w:rPr>
          <w:rFonts w:ascii="Times New Roman" w:eastAsia="Times New Roman" w:hAnsi="Times New Roman" w:cs="Times New Roman"/>
          <w:b/>
          <w:bCs/>
          <w:kern w:val="28"/>
          <w:sz w:val="24"/>
          <w:szCs w:val="24"/>
        </w:rPr>
        <w:t xml:space="preserve">. lēmums par </w:t>
      </w:r>
      <w:proofErr w:type="spellStart"/>
      <w:r w:rsidRPr="00BC2EF8">
        <w:rPr>
          <w:rFonts w:ascii="Times New Roman" w:eastAsia="Times New Roman" w:hAnsi="Times New Roman" w:cs="Times New Roman"/>
          <w:b/>
          <w:bCs/>
          <w:kern w:val="28"/>
          <w:sz w:val="24"/>
          <w:szCs w:val="24"/>
        </w:rPr>
        <w:t>Pretcikliskās</w:t>
      </w:r>
      <w:proofErr w:type="spellEnd"/>
      <w:r w:rsidRPr="00BC2EF8">
        <w:rPr>
          <w:rFonts w:ascii="Times New Roman" w:eastAsia="Times New Roman" w:hAnsi="Times New Roman" w:cs="Times New Roman"/>
          <w:b/>
          <w:bCs/>
          <w:kern w:val="28"/>
          <w:sz w:val="24"/>
          <w:szCs w:val="24"/>
        </w:rPr>
        <w:t xml:space="preserve"> kapitāla rezerves normas noteikšanu</w:t>
      </w:r>
    </w:p>
    <w:p w:rsidR="00C05C51" w:rsidRPr="00413C37" w:rsidRDefault="00C05C51" w:rsidP="00C05C51">
      <w:pPr>
        <w:keepNext/>
        <w:keepLines/>
        <w:spacing w:before="120" w:after="0" w:line="240" w:lineRule="auto"/>
        <w:jc w:val="both"/>
        <w:outlineLvl w:val="0"/>
        <w:rPr>
          <w:rFonts w:ascii="Times New Roman" w:eastAsia="Times New Roman" w:hAnsi="Times New Roman" w:cs="Times New Roman"/>
          <w:b/>
          <w:bCs/>
          <w:kern w:val="28"/>
          <w:sz w:val="24"/>
          <w:szCs w:val="24"/>
        </w:rPr>
      </w:pPr>
      <w:proofErr w:type="spellStart"/>
      <w:r w:rsidRPr="00413C37">
        <w:rPr>
          <w:rFonts w:ascii="Times New Roman" w:eastAsia="Times New Roman" w:hAnsi="Times New Roman" w:cs="Times New Roman"/>
          <w:b/>
          <w:bCs/>
          <w:kern w:val="28"/>
          <w:sz w:val="24"/>
          <w:szCs w:val="24"/>
        </w:rPr>
        <w:t>Pretcikliskās</w:t>
      </w:r>
      <w:proofErr w:type="spellEnd"/>
      <w:r w:rsidRPr="00413C37">
        <w:rPr>
          <w:rFonts w:ascii="Times New Roman" w:eastAsia="Times New Roman" w:hAnsi="Times New Roman" w:cs="Times New Roman"/>
          <w:b/>
          <w:bCs/>
          <w:kern w:val="28"/>
          <w:sz w:val="24"/>
          <w:szCs w:val="24"/>
        </w:rPr>
        <w:t xml:space="preserve"> kapitāla rezerves (PKR) norma tiek noteikta 0% apmērā. Noteikto PKR normu kredītiestādes specifiskās </w:t>
      </w:r>
      <w:proofErr w:type="spellStart"/>
      <w:r w:rsidRPr="00413C37">
        <w:rPr>
          <w:rFonts w:ascii="Times New Roman" w:eastAsia="Times New Roman" w:hAnsi="Times New Roman" w:cs="Times New Roman"/>
          <w:b/>
          <w:bCs/>
          <w:kern w:val="28"/>
          <w:sz w:val="24"/>
          <w:szCs w:val="24"/>
        </w:rPr>
        <w:t>pretcikliskās</w:t>
      </w:r>
      <w:proofErr w:type="spellEnd"/>
      <w:r w:rsidRPr="00413C37">
        <w:rPr>
          <w:rFonts w:ascii="Times New Roman" w:eastAsia="Times New Roman" w:hAnsi="Times New Roman" w:cs="Times New Roman"/>
          <w:b/>
          <w:bCs/>
          <w:kern w:val="28"/>
          <w:sz w:val="24"/>
          <w:szCs w:val="24"/>
        </w:rPr>
        <w:t xml:space="preserve"> kapitāla rezerves aprēķinā izmanto no </w:t>
      </w:r>
      <w:r w:rsidRPr="00413C37">
        <w:rPr>
          <w:rFonts w:ascii="Times New Roman" w:eastAsia="Times New Roman" w:hAnsi="Times New Roman" w:cs="Times New Roman"/>
          <w:b/>
          <w:bCs/>
          <w:i/>
          <w:kern w:val="28"/>
          <w:sz w:val="24"/>
          <w:szCs w:val="24"/>
        </w:rPr>
        <w:t>2018. gada 1.</w:t>
      </w:r>
      <w:r w:rsidR="003F243B" w:rsidRPr="00413C37">
        <w:rPr>
          <w:rFonts w:ascii="Times New Roman" w:eastAsia="Times New Roman" w:hAnsi="Times New Roman" w:cs="Times New Roman"/>
          <w:b/>
          <w:bCs/>
          <w:i/>
          <w:kern w:val="28"/>
          <w:sz w:val="24"/>
          <w:szCs w:val="24"/>
        </w:rPr>
        <w:t>augusta</w:t>
      </w:r>
      <w:r w:rsidRPr="00413C37">
        <w:rPr>
          <w:rFonts w:ascii="Times New Roman" w:eastAsia="Times New Roman" w:hAnsi="Times New Roman" w:cs="Times New Roman"/>
          <w:b/>
          <w:bCs/>
          <w:kern w:val="28"/>
          <w:sz w:val="24"/>
          <w:szCs w:val="24"/>
        </w:rPr>
        <w:t xml:space="preserve">. </w:t>
      </w:r>
      <w:r w:rsidR="007D02BE">
        <w:rPr>
          <w:rFonts w:ascii="Times New Roman" w:eastAsia="Times New Roman" w:hAnsi="Times New Roman" w:cs="Times New Roman"/>
          <w:b/>
          <w:bCs/>
          <w:kern w:val="28"/>
          <w:sz w:val="24"/>
          <w:szCs w:val="24"/>
        </w:rPr>
        <w:t>Finanšu un kapitāla tirgus komisija (</w:t>
      </w:r>
      <w:r w:rsidR="00936D45" w:rsidRPr="00413C37">
        <w:rPr>
          <w:rFonts w:ascii="Times New Roman" w:eastAsia="Times New Roman" w:hAnsi="Times New Roman" w:cs="Times New Roman"/>
          <w:b/>
          <w:bCs/>
          <w:kern w:val="28"/>
          <w:sz w:val="24"/>
          <w:szCs w:val="24"/>
        </w:rPr>
        <w:t>FKTK</w:t>
      </w:r>
      <w:r w:rsidR="007D02BE">
        <w:rPr>
          <w:rFonts w:ascii="Times New Roman" w:eastAsia="Times New Roman" w:hAnsi="Times New Roman" w:cs="Times New Roman"/>
          <w:b/>
          <w:bCs/>
          <w:kern w:val="28"/>
          <w:sz w:val="24"/>
          <w:szCs w:val="24"/>
        </w:rPr>
        <w:t>)</w:t>
      </w:r>
      <w:r w:rsidR="00936D45" w:rsidRPr="00413C37">
        <w:rPr>
          <w:rFonts w:ascii="Times New Roman" w:eastAsia="Times New Roman" w:hAnsi="Times New Roman" w:cs="Times New Roman"/>
          <w:b/>
          <w:bCs/>
          <w:kern w:val="28"/>
          <w:sz w:val="24"/>
          <w:szCs w:val="24"/>
        </w:rPr>
        <w:t xml:space="preserve"> lems par nepieciešamību noteikt PKR</w:t>
      </w:r>
      <w:proofErr w:type="gramStart"/>
      <w:r w:rsidR="00936D45" w:rsidRPr="00413C37">
        <w:rPr>
          <w:rFonts w:ascii="Times New Roman" w:eastAsia="Times New Roman" w:hAnsi="Times New Roman" w:cs="Times New Roman"/>
          <w:b/>
          <w:bCs/>
          <w:kern w:val="28"/>
          <w:sz w:val="24"/>
          <w:szCs w:val="24"/>
        </w:rPr>
        <w:t xml:space="preserve"> normu apmērā virs</w:t>
      </w:r>
      <w:proofErr w:type="gramEnd"/>
      <w:r w:rsidR="00936D45" w:rsidRPr="00413C37">
        <w:rPr>
          <w:rFonts w:ascii="Times New Roman" w:eastAsia="Times New Roman" w:hAnsi="Times New Roman" w:cs="Times New Roman"/>
          <w:b/>
          <w:bCs/>
          <w:kern w:val="28"/>
          <w:sz w:val="24"/>
          <w:szCs w:val="24"/>
        </w:rPr>
        <w:t xml:space="preserve"> 0%, ja Latvijas finanšu sektorā tiks novērots būtisks ciklisko sistēmisko risku pieaugums.</w:t>
      </w:r>
    </w:p>
    <w:bookmarkEnd w:id="0"/>
    <w:p w:rsidR="00A81C4E" w:rsidRPr="00BC2EF8" w:rsidRDefault="00A81C4E" w:rsidP="00CA2374">
      <w:pPr>
        <w:keepNext/>
        <w:keepLines/>
        <w:spacing w:before="120" w:after="0" w:line="240" w:lineRule="auto"/>
        <w:jc w:val="both"/>
        <w:outlineLvl w:val="0"/>
        <w:rPr>
          <w:rFonts w:ascii="Times New Roman" w:eastAsia="Times New Roman" w:hAnsi="Times New Roman" w:cs="Times New Roman"/>
          <w:b/>
          <w:kern w:val="28"/>
          <w:sz w:val="24"/>
          <w:szCs w:val="24"/>
        </w:rPr>
      </w:pPr>
    </w:p>
    <w:p w:rsidR="00E361A8" w:rsidRDefault="00F62F5E" w:rsidP="005B6F2D">
      <w:pPr>
        <w:jc w:val="both"/>
        <w:rPr>
          <w:rFonts w:ascii="Times New Roman" w:hAnsi="Times New Roman" w:cs="Times New Roman"/>
          <w:sz w:val="24"/>
          <w:szCs w:val="24"/>
        </w:rPr>
      </w:pPr>
      <w:r>
        <w:rPr>
          <w:rFonts w:ascii="Times New Roman" w:hAnsi="Times New Roman" w:cs="Times New Roman"/>
          <w:sz w:val="24"/>
          <w:szCs w:val="24"/>
        </w:rPr>
        <w:t>FKTK</w:t>
      </w:r>
      <w:r w:rsidR="002F0E6B">
        <w:rPr>
          <w:rFonts w:ascii="Times New Roman" w:hAnsi="Times New Roman" w:cs="Times New Roman"/>
          <w:sz w:val="24"/>
          <w:szCs w:val="24"/>
        </w:rPr>
        <w:t>,</w:t>
      </w:r>
      <w:r>
        <w:rPr>
          <w:rFonts w:ascii="Times New Roman" w:hAnsi="Times New Roman" w:cs="Times New Roman"/>
          <w:sz w:val="24"/>
          <w:szCs w:val="24"/>
        </w:rPr>
        <w:t xml:space="preserve"> kā par </w:t>
      </w:r>
      <w:r w:rsidR="002F0E6B">
        <w:rPr>
          <w:rFonts w:ascii="Times New Roman" w:hAnsi="Times New Roman" w:cs="Times New Roman"/>
          <w:sz w:val="24"/>
          <w:szCs w:val="24"/>
        </w:rPr>
        <w:t xml:space="preserve">PKR </w:t>
      </w:r>
      <w:r>
        <w:rPr>
          <w:rFonts w:ascii="Times New Roman" w:hAnsi="Times New Roman" w:cs="Times New Roman"/>
          <w:sz w:val="24"/>
          <w:szCs w:val="24"/>
        </w:rPr>
        <w:t>normas noteikšanu atbildīgā iestāde</w:t>
      </w:r>
      <w:r w:rsidR="002F0E6B">
        <w:rPr>
          <w:rFonts w:ascii="Times New Roman" w:hAnsi="Times New Roman" w:cs="Times New Roman"/>
          <w:sz w:val="24"/>
          <w:szCs w:val="24"/>
        </w:rPr>
        <w:t>,</w:t>
      </w:r>
      <w:r>
        <w:rPr>
          <w:rFonts w:ascii="Times New Roman" w:hAnsi="Times New Roman" w:cs="Times New Roman"/>
          <w:sz w:val="24"/>
          <w:szCs w:val="24"/>
        </w:rPr>
        <w:t xml:space="preserve"> saskaņā ar KIL 35</w:t>
      </w:r>
      <w:r w:rsidR="0092200A">
        <w:rPr>
          <w:rFonts w:ascii="Times New Roman" w:hAnsi="Times New Roman" w:cs="Times New Roman"/>
          <w:sz w:val="24"/>
          <w:szCs w:val="24"/>
        </w:rPr>
        <w:t>.</w:t>
      </w:r>
      <w:r w:rsidR="0092200A">
        <w:rPr>
          <w:rFonts w:ascii="Times New Roman" w:hAnsi="Times New Roman" w:cs="Times New Roman"/>
          <w:sz w:val="24"/>
          <w:szCs w:val="24"/>
          <w:vertAlign w:val="superscript"/>
        </w:rPr>
        <w:t>5</w:t>
      </w:r>
      <w:r>
        <w:rPr>
          <w:rFonts w:ascii="Times New Roman" w:hAnsi="Times New Roman" w:cs="Times New Roman"/>
          <w:sz w:val="24"/>
          <w:szCs w:val="24"/>
        </w:rPr>
        <w:t xml:space="preserve"> pantu reizi ceturksnī </w:t>
      </w:r>
      <w:r w:rsidR="00E361A8">
        <w:rPr>
          <w:rFonts w:ascii="Times New Roman" w:hAnsi="Times New Roman" w:cs="Times New Roman"/>
          <w:sz w:val="24"/>
          <w:szCs w:val="24"/>
        </w:rPr>
        <w:t>anal</w:t>
      </w:r>
      <w:r>
        <w:rPr>
          <w:rFonts w:ascii="Times New Roman" w:hAnsi="Times New Roman" w:cs="Times New Roman"/>
          <w:sz w:val="24"/>
          <w:szCs w:val="24"/>
        </w:rPr>
        <w:t>izē k</w:t>
      </w:r>
      <w:r w:rsidRPr="00307FB1">
        <w:rPr>
          <w:rFonts w:ascii="Times New Roman" w:hAnsi="Times New Roman" w:cs="Times New Roman"/>
          <w:sz w:val="24"/>
          <w:szCs w:val="24"/>
        </w:rPr>
        <w:t>redīta atlikuma un IKP attiecīb</w:t>
      </w:r>
      <w:r>
        <w:rPr>
          <w:rFonts w:ascii="Times New Roman" w:hAnsi="Times New Roman" w:cs="Times New Roman"/>
          <w:sz w:val="24"/>
          <w:szCs w:val="24"/>
        </w:rPr>
        <w:t>u</w:t>
      </w:r>
      <w:r w:rsidR="00E361A8">
        <w:rPr>
          <w:rFonts w:ascii="Times New Roman" w:hAnsi="Times New Roman" w:cs="Times New Roman"/>
          <w:sz w:val="24"/>
          <w:szCs w:val="24"/>
        </w:rPr>
        <w:t>,</w:t>
      </w:r>
      <w:r>
        <w:rPr>
          <w:rFonts w:ascii="Times New Roman" w:hAnsi="Times New Roman" w:cs="Times New Roman"/>
          <w:sz w:val="24"/>
          <w:szCs w:val="24"/>
        </w:rPr>
        <w:t xml:space="preserve"> š</w:t>
      </w:r>
      <w:r w:rsidRPr="00307FB1">
        <w:rPr>
          <w:rFonts w:ascii="Times New Roman" w:hAnsi="Times New Roman" w:cs="Times New Roman"/>
          <w:sz w:val="24"/>
          <w:szCs w:val="24"/>
        </w:rPr>
        <w:t>ī rādītāja novirz</w:t>
      </w:r>
      <w:r>
        <w:rPr>
          <w:rFonts w:ascii="Times New Roman" w:hAnsi="Times New Roman" w:cs="Times New Roman"/>
          <w:sz w:val="24"/>
          <w:szCs w:val="24"/>
        </w:rPr>
        <w:t>i</w:t>
      </w:r>
      <w:r w:rsidRPr="00307FB1">
        <w:rPr>
          <w:rFonts w:ascii="Times New Roman" w:hAnsi="Times New Roman" w:cs="Times New Roman"/>
          <w:sz w:val="24"/>
          <w:szCs w:val="24"/>
        </w:rPr>
        <w:t xml:space="preserve"> no ilgtermiņa tendences</w:t>
      </w:r>
      <w:r w:rsidR="00E361A8">
        <w:rPr>
          <w:rFonts w:ascii="Times New Roman" w:hAnsi="Times New Roman" w:cs="Times New Roman"/>
          <w:sz w:val="24"/>
          <w:szCs w:val="24"/>
        </w:rPr>
        <w:t xml:space="preserve">, kā arī izvērtē papildus rādītājus, lai pamatotu kārtējo lēmumu par </w:t>
      </w:r>
      <w:r w:rsidR="001B1DB2">
        <w:rPr>
          <w:rFonts w:ascii="Times New Roman" w:hAnsi="Times New Roman" w:cs="Times New Roman"/>
          <w:sz w:val="24"/>
          <w:szCs w:val="24"/>
        </w:rPr>
        <w:t xml:space="preserve">PKR </w:t>
      </w:r>
      <w:r w:rsidR="00E361A8">
        <w:rPr>
          <w:rFonts w:ascii="Times New Roman" w:hAnsi="Times New Roman" w:cs="Times New Roman"/>
          <w:sz w:val="24"/>
          <w:szCs w:val="24"/>
        </w:rPr>
        <w:t>normas noteikšanu.</w:t>
      </w:r>
    </w:p>
    <w:p w:rsidR="00A73D5F" w:rsidRDefault="00E361A8" w:rsidP="00E361A8">
      <w:pPr>
        <w:jc w:val="both"/>
        <w:rPr>
          <w:rFonts w:ascii="Times New Roman" w:hAnsi="Times New Roman" w:cs="Times New Roman"/>
          <w:sz w:val="24"/>
          <w:szCs w:val="24"/>
        </w:rPr>
      </w:pPr>
      <w:r w:rsidRPr="001D7A88">
        <w:rPr>
          <w:rFonts w:ascii="Times New Roman" w:hAnsi="Times New Roman" w:cs="Times New Roman"/>
          <w:sz w:val="24"/>
          <w:szCs w:val="24"/>
        </w:rPr>
        <w:t>Izmantojot "plašo" kredītu definīciju, kredīta atlikuma un IKP attiecība 2016. gada beigās bija 97%, bet tās novirze no ilgtermiņa tendences bija -38%</w:t>
      </w:r>
      <w:r w:rsidRPr="001D7A88">
        <w:rPr>
          <w:rFonts w:ascii="Times New Roman" w:hAnsi="Times New Roman" w:cs="Times New Roman"/>
          <w:sz w:val="24"/>
          <w:szCs w:val="24"/>
          <w:vertAlign w:val="superscript"/>
        </w:rPr>
        <w:footnoteReference w:id="1"/>
      </w:r>
      <w:r w:rsidRPr="001D7A88">
        <w:rPr>
          <w:rFonts w:ascii="Times New Roman" w:hAnsi="Times New Roman" w:cs="Times New Roman"/>
          <w:sz w:val="24"/>
          <w:szCs w:val="24"/>
        </w:rPr>
        <w:t xml:space="preserve">, kā rezultātā PKR </w:t>
      </w:r>
      <w:proofErr w:type="spellStart"/>
      <w:r w:rsidRPr="001D7A88">
        <w:rPr>
          <w:rFonts w:ascii="Times New Roman" w:hAnsi="Times New Roman" w:cs="Times New Roman"/>
          <w:sz w:val="24"/>
          <w:szCs w:val="24"/>
        </w:rPr>
        <w:t>etalonnorma</w:t>
      </w:r>
      <w:proofErr w:type="spellEnd"/>
      <w:r w:rsidRPr="001D7A88">
        <w:rPr>
          <w:rFonts w:ascii="Times New Roman" w:hAnsi="Times New Roman" w:cs="Times New Roman"/>
          <w:sz w:val="24"/>
          <w:szCs w:val="24"/>
        </w:rPr>
        <w:t xml:space="preserve"> ir 0%</w:t>
      </w:r>
      <w:r w:rsidR="00F42D02">
        <w:rPr>
          <w:rFonts w:ascii="Times New Roman" w:hAnsi="Times New Roman" w:cs="Times New Roman"/>
          <w:sz w:val="24"/>
          <w:szCs w:val="24"/>
        </w:rPr>
        <w:t xml:space="preserve">. </w:t>
      </w:r>
      <w:r w:rsidRPr="001D7A88">
        <w:rPr>
          <w:rFonts w:ascii="Times New Roman" w:hAnsi="Times New Roman" w:cs="Times New Roman"/>
          <w:sz w:val="24"/>
          <w:szCs w:val="24"/>
        </w:rPr>
        <w:t>Izmantojot "šauro" kredītu definīciju, kredīta atlikuma un IKP attiecība 2017. gada</w:t>
      </w:r>
      <w:proofErr w:type="gramStart"/>
      <w:r w:rsidRPr="001D7A88">
        <w:rPr>
          <w:rFonts w:ascii="Times New Roman" w:hAnsi="Times New Roman" w:cs="Times New Roman"/>
          <w:sz w:val="24"/>
          <w:szCs w:val="24"/>
        </w:rPr>
        <w:t xml:space="preserve">  </w:t>
      </w:r>
      <w:proofErr w:type="gramEnd"/>
      <w:r w:rsidRPr="001D7A88">
        <w:rPr>
          <w:rFonts w:ascii="Times New Roman" w:hAnsi="Times New Roman" w:cs="Times New Roman"/>
          <w:sz w:val="24"/>
          <w:szCs w:val="24"/>
        </w:rPr>
        <w:t>1. ceturkšņa beigās bija 44%, bet tās novirze no ilgtermiņa tendences bija -27%</w:t>
      </w:r>
      <w:r w:rsidRPr="001D7A88">
        <w:rPr>
          <w:rFonts w:ascii="Times New Roman" w:hAnsi="Times New Roman" w:cs="Times New Roman"/>
          <w:sz w:val="24"/>
          <w:szCs w:val="24"/>
          <w:vertAlign w:val="superscript"/>
        </w:rPr>
        <w:footnoteReference w:id="2"/>
      </w:r>
      <w:r w:rsidRPr="001D7A88">
        <w:rPr>
          <w:rFonts w:ascii="Times New Roman" w:hAnsi="Times New Roman" w:cs="Times New Roman"/>
          <w:sz w:val="24"/>
          <w:szCs w:val="24"/>
        </w:rPr>
        <w:t>, kā rezultātā arī uz "šaur</w:t>
      </w:r>
      <w:r w:rsidR="002F0E6B">
        <w:rPr>
          <w:rFonts w:ascii="Times New Roman" w:hAnsi="Times New Roman" w:cs="Times New Roman"/>
          <w:sz w:val="24"/>
          <w:szCs w:val="24"/>
        </w:rPr>
        <w:t>ās</w:t>
      </w:r>
      <w:r w:rsidRPr="001D7A88">
        <w:rPr>
          <w:rFonts w:ascii="Times New Roman" w:hAnsi="Times New Roman" w:cs="Times New Roman"/>
          <w:sz w:val="24"/>
          <w:szCs w:val="24"/>
        </w:rPr>
        <w:t>" kredīt</w:t>
      </w:r>
      <w:r w:rsidR="002F0E6B">
        <w:rPr>
          <w:rFonts w:ascii="Times New Roman" w:hAnsi="Times New Roman" w:cs="Times New Roman"/>
          <w:sz w:val="24"/>
          <w:szCs w:val="24"/>
        </w:rPr>
        <w:t>u</w:t>
      </w:r>
      <w:r w:rsidRPr="001D7A88">
        <w:rPr>
          <w:rFonts w:ascii="Times New Roman" w:hAnsi="Times New Roman" w:cs="Times New Roman"/>
          <w:sz w:val="24"/>
          <w:szCs w:val="24"/>
        </w:rPr>
        <w:t xml:space="preserve"> definīcijas balstītā PKR </w:t>
      </w:r>
      <w:proofErr w:type="spellStart"/>
      <w:r w:rsidRPr="001D7A88">
        <w:rPr>
          <w:rFonts w:ascii="Times New Roman" w:hAnsi="Times New Roman" w:cs="Times New Roman"/>
          <w:sz w:val="24"/>
          <w:szCs w:val="24"/>
        </w:rPr>
        <w:t>etalonnorma</w:t>
      </w:r>
      <w:proofErr w:type="spellEnd"/>
      <w:r w:rsidRPr="001D7A88">
        <w:rPr>
          <w:rFonts w:ascii="Times New Roman" w:hAnsi="Times New Roman" w:cs="Times New Roman"/>
          <w:sz w:val="24"/>
          <w:szCs w:val="24"/>
        </w:rPr>
        <w:t xml:space="preserve"> bija 0%</w:t>
      </w:r>
      <w:r w:rsidR="004D5F26">
        <w:rPr>
          <w:rFonts w:ascii="Times New Roman" w:hAnsi="Times New Roman" w:cs="Times New Roman"/>
          <w:sz w:val="24"/>
          <w:szCs w:val="24"/>
        </w:rPr>
        <w:t xml:space="preserve"> (skat. attēlu)</w:t>
      </w:r>
      <w:r w:rsidRPr="001D7A88">
        <w:rPr>
          <w:rFonts w:ascii="Times New Roman" w:hAnsi="Times New Roman" w:cs="Times New Roman"/>
          <w:sz w:val="24"/>
          <w:szCs w:val="24"/>
        </w:rPr>
        <w:t>.</w:t>
      </w:r>
    </w:p>
    <w:p w:rsidR="004D5F26" w:rsidRPr="004D5F26" w:rsidRDefault="004D5F26" w:rsidP="004D5F26">
      <w:pPr>
        <w:jc w:val="both"/>
        <w:rPr>
          <w:rFonts w:ascii="Times New Roman" w:hAnsi="Times New Roman" w:cs="Times New Roman"/>
          <w:i/>
          <w:sz w:val="24"/>
          <w:szCs w:val="24"/>
        </w:rPr>
      </w:pPr>
      <w:r w:rsidRPr="004D5F26">
        <w:rPr>
          <w:rFonts w:ascii="Times New Roman" w:hAnsi="Times New Roman" w:cs="Times New Roman"/>
          <w:i/>
          <w:sz w:val="24"/>
          <w:szCs w:val="24"/>
        </w:rPr>
        <w:t xml:space="preserve">Kredīta atlikuma un IKP attiecība, tās novirze no ilgtermiņa tendences un PKR </w:t>
      </w:r>
      <w:proofErr w:type="spellStart"/>
      <w:r w:rsidRPr="004D5F26">
        <w:rPr>
          <w:rFonts w:ascii="Times New Roman" w:hAnsi="Times New Roman" w:cs="Times New Roman"/>
          <w:i/>
          <w:sz w:val="24"/>
          <w:szCs w:val="24"/>
        </w:rPr>
        <w:t>etalonnorma</w:t>
      </w:r>
      <w:proofErr w:type="spellEnd"/>
      <w:r w:rsidRPr="004D5F26">
        <w:rPr>
          <w:rFonts w:ascii="Times New Roman" w:hAnsi="Times New Roman" w:cs="Times New Roman"/>
          <w:i/>
          <w:sz w:val="24"/>
          <w:szCs w:val="24"/>
        </w:rPr>
        <w:t xml:space="preserve">, izmantojot "šauro" kredītu definīciju. </w:t>
      </w:r>
    </w:p>
    <w:p w:rsidR="004D5F26" w:rsidRDefault="00D804C6" w:rsidP="00E361A8">
      <w:pPr>
        <w:jc w:val="both"/>
        <w:rPr>
          <w:rFonts w:ascii="Times New Roman" w:hAnsi="Times New Roman" w:cs="Times New Roman"/>
          <w:sz w:val="24"/>
          <w:szCs w:val="24"/>
        </w:rPr>
      </w:pPr>
      <w:r>
        <w:rPr>
          <w:noProof/>
          <w:lang w:eastAsia="lv-LV"/>
        </w:rPr>
        <w:drawing>
          <wp:inline distT="0" distB="0" distL="0" distR="0" wp14:anchorId="464944EF" wp14:editId="03E66736">
            <wp:extent cx="5279366" cy="3278038"/>
            <wp:effectExtent l="0" t="0" r="0" b="0"/>
            <wp:docPr id="1" name="Chart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73D5F" w:rsidRPr="00307FB1" w:rsidRDefault="00A73D5F" w:rsidP="00A73D5F">
      <w:pPr>
        <w:jc w:val="both"/>
        <w:rPr>
          <w:rFonts w:ascii="Times New Roman" w:hAnsi="Times New Roman" w:cs="Times New Roman"/>
          <w:sz w:val="24"/>
          <w:szCs w:val="24"/>
        </w:rPr>
      </w:pPr>
      <w:r>
        <w:rPr>
          <w:rFonts w:ascii="Times New Roman" w:hAnsi="Times New Roman" w:cs="Times New Roman"/>
          <w:sz w:val="24"/>
          <w:szCs w:val="24"/>
        </w:rPr>
        <w:t xml:space="preserve">2017. gadā turpinās aktivizēšanās nekustamā īpašuma tirgū. </w:t>
      </w:r>
      <w:r w:rsidRPr="00307FB1">
        <w:rPr>
          <w:rFonts w:ascii="Times New Roman" w:hAnsi="Times New Roman" w:cs="Times New Roman"/>
          <w:sz w:val="24"/>
          <w:szCs w:val="24"/>
        </w:rPr>
        <w:t xml:space="preserve">Nekustamā īpašuma tirgus atdzīvošanās ir visnotaļ pozitīva tendence, taču ņemot vērā salīdzinoši </w:t>
      </w:r>
      <w:r w:rsidRPr="00307FB1">
        <w:rPr>
          <w:rFonts w:ascii="Times New Roman" w:hAnsi="Times New Roman" w:cs="Times New Roman"/>
          <w:sz w:val="24"/>
          <w:szCs w:val="24"/>
        </w:rPr>
        <w:lastRenderedPageBreak/>
        <w:t xml:space="preserve">augstākus mājokļu cenu pieauguma tempus pēdējos ceturkšņos, šis tirgus segments ir cieši jāvēro. </w:t>
      </w:r>
    </w:p>
    <w:p w:rsidR="00E361A8" w:rsidRDefault="00A73D5F" w:rsidP="005B6F2D">
      <w:pPr>
        <w:jc w:val="both"/>
        <w:rPr>
          <w:rFonts w:ascii="Times New Roman" w:hAnsi="Times New Roman" w:cs="Times New Roman"/>
          <w:sz w:val="24"/>
          <w:szCs w:val="24"/>
        </w:rPr>
      </w:pPr>
      <w:r w:rsidRPr="00307FB1">
        <w:rPr>
          <w:rFonts w:ascii="Times New Roman" w:hAnsi="Times New Roman" w:cs="Times New Roman"/>
          <w:sz w:val="24"/>
          <w:szCs w:val="24"/>
        </w:rPr>
        <w:t xml:space="preserve">Mājokļu cenu dinamiku ietekmē mājsaimniecību finansiālās situācijas uzlabojums, samazinoties to parāda slogam un pieaugot darba samaksai, kā arī kredītu pieejamības uzlabojums saistībā ar </w:t>
      </w:r>
      <w:r w:rsidR="005C5BE4" w:rsidRPr="005C5BE4">
        <w:rPr>
          <w:rFonts w:ascii="Times New Roman" w:hAnsi="Times New Roman" w:cs="Times New Roman"/>
          <w:bCs/>
          <w:sz w:val="24"/>
          <w:szCs w:val="24"/>
        </w:rPr>
        <w:t>valsts palīdzību dzīvojamās telpas iegādei vai būvniecībai</w:t>
      </w:r>
      <w:r w:rsidR="005C5BE4">
        <w:rPr>
          <w:rFonts w:ascii="Times New Roman" w:hAnsi="Times New Roman" w:cs="Times New Roman"/>
          <w:b/>
          <w:bCs/>
          <w:sz w:val="24"/>
          <w:szCs w:val="24"/>
        </w:rPr>
        <w:t xml:space="preserve"> </w:t>
      </w:r>
      <w:r w:rsidRPr="00307FB1">
        <w:rPr>
          <w:rFonts w:ascii="Times New Roman" w:hAnsi="Times New Roman" w:cs="Times New Roman"/>
          <w:sz w:val="24"/>
          <w:szCs w:val="24"/>
        </w:rPr>
        <w:t>ģimenēm ar bērniem. Šīs programmas ietvaros izsniegto hipotekāro aizdevumu apjoms veido aptuveni trešdaļu no visiem mājokļa iegādei no jauna izsniegtajiem kredītiem.</w:t>
      </w:r>
      <w:proofErr w:type="gramStart"/>
      <w:r w:rsidRPr="00307FB1">
        <w:rPr>
          <w:rFonts w:ascii="Times New Roman" w:hAnsi="Times New Roman" w:cs="Times New Roman"/>
          <w:sz w:val="24"/>
          <w:szCs w:val="24"/>
        </w:rPr>
        <w:t xml:space="preserve"> </w:t>
      </w:r>
      <w:r w:rsidR="005C5BE4">
        <w:rPr>
          <w:rFonts w:ascii="Times New Roman" w:hAnsi="Times New Roman" w:cs="Times New Roman"/>
          <w:sz w:val="24"/>
          <w:szCs w:val="24"/>
        </w:rPr>
        <w:t xml:space="preserve"> </w:t>
      </w:r>
      <w:proofErr w:type="gramEnd"/>
      <w:r w:rsidR="005C5BE4">
        <w:rPr>
          <w:rFonts w:ascii="Times New Roman" w:hAnsi="Times New Roman" w:cs="Times New Roman"/>
          <w:sz w:val="24"/>
          <w:szCs w:val="24"/>
        </w:rPr>
        <w:t>Savukārt</w:t>
      </w:r>
      <w:r w:rsidRPr="00307FB1">
        <w:rPr>
          <w:rFonts w:ascii="Times New Roman" w:hAnsi="Times New Roman" w:cs="Times New Roman"/>
          <w:sz w:val="24"/>
          <w:szCs w:val="24"/>
        </w:rPr>
        <w:t xml:space="preserve">, nefinanšu sabiedrību un mājsaimniecību parāda apkalpošanas izdevumi kopš 2015. gada beigām ir nostabilizējušies vēsturiski zemākajā līmenī – 1.5% no IKP. </w:t>
      </w:r>
    </w:p>
    <w:p w:rsidR="005B6F2D" w:rsidRPr="00307FB1" w:rsidRDefault="005B6F2D" w:rsidP="005B6F2D">
      <w:pPr>
        <w:jc w:val="both"/>
        <w:rPr>
          <w:rFonts w:ascii="Times New Roman" w:hAnsi="Times New Roman" w:cs="Times New Roman"/>
          <w:sz w:val="24"/>
          <w:szCs w:val="24"/>
        </w:rPr>
      </w:pPr>
      <w:r>
        <w:rPr>
          <w:rFonts w:ascii="Times New Roman" w:hAnsi="Times New Roman" w:cs="Times New Roman"/>
          <w:sz w:val="24"/>
          <w:szCs w:val="24"/>
        </w:rPr>
        <w:t xml:space="preserve">2017. gada pirmajos mēnešos turpinās </w:t>
      </w:r>
      <w:r w:rsidRPr="00307FB1">
        <w:rPr>
          <w:rFonts w:ascii="Times New Roman" w:hAnsi="Times New Roman" w:cs="Times New Roman"/>
          <w:sz w:val="24"/>
          <w:szCs w:val="24"/>
        </w:rPr>
        <w:t>2016. gad</w:t>
      </w:r>
      <w:r>
        <w:rPr>
          <w:rFonts w:ascii="Times New Roman" w:hAnsi="Times New Roman" w:cs="Times New Roman"/>
          <w:sz w:val="24"/>
          <w:szCs w:val="24"/>
        </w:rPr>
        <w:t>ā</w:t>
      </w:r>
      <w:r w:rsidRPr="00307FB1">
        <w:rPr>
          <w:rFonts w:ascii="Times New Roman" w:hAnsi="Times New Roman" w:cs="Times New Roman"/>
          <w:sz w:val="24"/>
          <w:szCs w:val="24"/>
        </w:rPr>
        <w:t xml:space="preserve"> atsākusies kreditēšanas attīstība. Lai gan mājsaimniecībām izsniegto kredītu atlikums vēl samazinās, taču tā sarukuma temps ir ievērojami palēninājies. </w:t>
      </w:r>
      <w:proofErr w:type="gramStart"/>
      <w:r w:rsidRPr="00307FB1">
        <w:rPr>
          <w:rFonts w:ascii="Times New Roman" w:hAnsi="Times New Roman" w:cs="Times New Roman"/>
          <w:sz w:val="24"/>
          <w:szCs w:val="24"/>
        </w:rPr>
        <w:t>Savukārt</w:t>
      </w:r>
      <w:r w:rsidR="002F0E6B">
        <w:rPr>
          <w:rFonts w:ascii="Times New Roman" w:hAnsi="Times New Roman" w:cs="Times New Roman"/>
          <w:sz w:val="24"/>
          <w:szCs w:val="24"/>
        </w:rPr>
        <w:t>,</w:t>
      </w:r>
      <w:proofErr w:type="gramEnd"/>
      <w:r w:rsidRPr="00307FB1">
        <w:rPr>
          <w:rFonts w:ascii="Times New Roman" w:hAnsi="Times New Roman" w:cs="Times New Roman"/>
          <w:sz w:val="24"/>
          <w:szCs w:val="24"/>
        </w:rPr>
        <w:t xml:space="preserve"> nefinanšu sabiedrībām izsniegto kredītu atlikums ir pieaudzis</w:t>
      </w:r>
      <w:r>
        <w:rPr>
          <w:rFonts w:ascii="Times New Roman" w:hAnsi="Times New Roman" w:cs="Times New Roman"/>
          <w:sz w:val="24"/>
          <w:szCs w:val="24"/>
        </w:rPr>
        <w:t xml:space="preserve"> par 5.5%</w:t>
      </w:r>
      <w:r w:rsidRPr="00307FB1">
        <w:rPr>
          <w:rFonts w:ascii="Times New Roman" w:hAnsi="Times New Roman" w:cs="Times New Roman"/>
          <w:sz w:val="24"/>
          <w:szCs w:val="24"/>
        </w:rPr>
        <w:t xml:space="preserve">, salīdzinot ar tā līmeni pirms gada. Kopumā, </w:t>
      </w:r>
      <w:r w:rsidR="00AF1886">
        <w:rPr>
          <w:rFonts w:ascii="Times New Roman" w:hAnsi="Times New Roman" w:cs="Times New Roman"/>
          <w:sz w:val="24"/>
          <w:szCs w:val="24"/>
        </w:rPr>
        <w:t>kredītiestāžu</w:t>
      </w:r>
      <w:proofErr w:type="gramStart"/>
      <w:r w:rsidR="00AF1886">
        <w:rPr>
          <w:rFonts w:ascii="Times New Roman" w:hAnsi="Times New Roman" w:cs="Times New Roman"/>
          <w:sz w:val="24"/>
          <w:szCs w:val="24"/>
        </w:rPr>
        <w:t xml:space="preserve"> </w:t>
      </w:r>
      <w:r w:rsidR="00AF1886" w:rsidRPr="00307FB1">
        <w:rPr>
          <w:rFonts w:ascii="Times New Roman" w:hAnsi="Times New Roman" w:cs="Times New Roman"/>
          <w:sz w:val="24"/>
          <w:szCs w:val="24"/>
        </w:rPr>
        <w:t xml:space="preserve"> </w:t>
      </w:r>
      <w:proofErr w:type="gramEnd"/>
      <w:r w:rsidRPr="00307FB1">
        <w:rPr>
          <w:rFonts w:ascii="Times New Roman" w:hAnsi="Times New Roman" w:cs="Times New Roman"/>
          <w:sz w:val="24"/>
          <w:szCs w:val="24"/>
        </w:rPr>
        <w:t xml:space="preserve">sektora izsniegto kredītu privātajam nefinanšu sektoram atlikums </w:t>
      </w:r>
      <w:r w:rsidR="002F0E6B">
        <w:rPr>
          <w:rFonts w:ascii="Times New Roman" w:hAnsi="Times New Roman" w:cs="Times New Roman"/>
          <w:sz w:val="24"/>
          <w:szCs w:val="24"/>
        </w:rPr>
        <w:t xml:space="preserve">   </w:t>
      </w:r>
      <w:r w:rsidRPr="00307FB1">
        <w:rPr>
          <w:rFonts w:ascii="Times New Roman" w:hAnsi="Times New Roman" w:cs="Times New Roman"/>
          <w:sz w:val="24"/>
          <w:szCs w:val="24"/>
        </w:rPr>
        <w:t>201</w:t>
      </w:r>
      <w:r>
        <w:rPr>
          <w:rFonts w:ascii="Times New Roman" w:hAnsi="Times New Roman" w:cs="Times New Roman"/>
          <w:sz w:val="24"/>
          <w:szCs w:val="24"/>
        </w:rPr>
        <w:t>7</w:t>
      </w:r>
      <w:r w:rsidRPr="00307FB1">
        <w:rPr>
          <w:rFonts w:ascii="Times New Roman" w:hAnsi="Times New Roman" w:cs="Times New Roman"/>
          <w:sz w:val="24"/>
          <w:szCs w:val="24"/>
        </w:rPr>
        <w:t xml:space="preserve">. gada </w:t>
      </w:r>
      <w:r>
        <w:rPr>
          <w:rFonts w:ascii="Times New Roman" w:hAnsi="Times New Roman" w:cs="Times New Roman"/>
          <w:sz w:val="24"/>
          <w:szCs w:val="24"/>
        </w:rPr>
        <w:t>1.ceturkšņa beigās</w:t>
      </w:r>
      <w:r w:rsidRPr="00307FB1">
        <w:rPr>
          <w:rFonts w:ascii="Times New Roman" w:hAnsi="Times New Roman" w:cs="Times New Roman"/>
          <w:sz w:val="24"/>
          <w:szCs w:val="24"/>
        </w:rPr>
        <w:t xml:space="preserve"> uzrāda </w:t>
      </w:r>
      <w:r>
        <w:rPr>
          <w:rFonts w:ascii="Times New Roman" w:hAnsi="Times New Roman" w:cs="Times New Roman"/>
          <w:sz w:val="24"/>
          <w:szCs w:val="24"/>
        </w:rPr>
        <w:t xml:space="preserve">2.3% </w:t>
      </w:r>
      <w:r w:rsidRPr="00307FB1">
        <w:rPr>
          <w:rFonts w:ascii="Times New Roman" w:hAnsi="Times New Roman" w:cs="Times New Roman"/>
          <w:sz w:val="24"/>
          <w:szCs w:val="24"/>
        </w:rPr>
        <w:t>pieaugumu</w:t>
      </w:r>
      <w:r>
        <w:rPr>
          <w:rFonts w:ascii="Times New Roman" w:hAnsi="Times New Roman" w:cs="Times New Roman"/>
          <w:sz w:val="24"/>
          <w:szCs w:val="24"/>
        </w:rPr>
        <w:t>,</w:t>
      </w:r>
      <w:r w:rsidRPr="00307FB1">
        <w:rPr>
          <w:rFonts w:ascii="Times New Roman" w:hAnsi="Times New Roman" w:cs="Times New Roman"/>
          <w:sz w:val="24"/>
          <w:szCs w:val="24"/>
        </w:rPr>
        <w:t xml:space="preserve"> </w:t>
      </w:r>
      <w:r>
        <w:rPr>
          <w:rFonts w:ascii="Times New Roman" w:hAnsi="Times New Roman" w:cs="Times New Roman"/>
          <w:sz w:val="24"/>
          <w:szCs w:val="24"/>
        </w:rPr>
        <w:t>salīdzinot ar tā līmeni pirms gada</w:t>
      </w:r>
      <w:r w:rsidRPr="00307FB1">
        <w:rPr>
          <w:rFonts w:ascii="Times New Roman" w:hAnsi="Times New Roman" w:cs="Times New Roman"/>
          <w:sz w:val="24"/>
          <w:szCs w:val="24"/>
        </w:rPr>
        <w:t xml:space="preserve">. Vairāki faktori, t.sk. nekustamā īpašuma cenu izaugsme, </w:t>
      </w:r>
      <w:r w:rsidR="00DC3C4B">
        <w:rPr>
          <w:rFonts w:ascii="Times New Roman" w:hAnsi="Times New Roman" w:cs="Times New Roman"/>
          <w:bCs/>
          <w:sz w:val="24"/>
          <w:szCs w:val="24"/>
        </w:rPr>
        <w:t>valsts palīdzība</w:t>
      </w:r>
      <w:r w:rsidR="00DC3C4B" w:rsidRPr="00DC3C4B">
        <w:rPr>
          <w:rFonts w:ascii="Times New Roman" w:hAnsi="Times New Roman" w:cs="Times New Roman"/>
          <w:bCs/>
          <w:sz w:val="24"/>
          <w:szCs w:val="24"/>
        </w:rPr>
        <w:t xml:space="preserve"> dzīvojamās telpas iegādei vai būvniecībai</w:t>
      </w:r>
      <w:r w:rsidR="00DC3C4B" w:rsidRPr="00DC3C4B">
        <w:rPr>
          <w:rFonts w:ascii="Times New Roman" w:hAnsi="Times New Roman" w:cs="Times New Roman"/>
          <w:b/>
          <w:bCs/>
          <w:sz w:val="24"/>
          <w:szCs w:val="24"/>
        </w:rPr>
        <w:t xml:space="preserve"> </w:t>
      </w:r>
      <w:r w:rsidR="00DC3C4B" w:rsidRPr="00DC3C4B">
        <w:rPr>
          <w:rFonts w:ascii="Times New Roman" w:hAnsi="Times New Roman" w:cs="Times New Roman"/>
          <w:sz w:val="24"/>
          <w:szCs w:val="24"/>
        </w:rPr>
        <w:t>ģimenēm ar bērniem</w:t>
      </w:r>
      <w:r w:rsidRPr="00307FB1">
        <w:rPr>
          <w:rFonts w:ascii="Times New Roman" w:hAnsi="Times New Roman" w:cs="Times New Roman"/>
          <w:sz w:val="24"/>
          <w:szCs w:val="24"/>
        </w:rPr>
        <w:t xml:space="preserve">, zems procentu likmju līmenis, aktīvāka ES fondu līdzekļu ieplūde, pozitīvi ietekmē kreditēšanas attīstību 2017. gadā. Arī pašas </w:t>
      </w:r>
      <w:r w:rsidR="00AF1886">
        <w:rPr>
          <w:rFonts w:ascii="Times New Roman" w:hAnsi="Times New Roman" w:cs="Times New Roman"/>
          <w:sz w:val="24"/>
          <w:szCs w:val="24"/>
        </w:rPr>
        <w:t>kredītiestādes</w:t>
      </w:r>
      <w:r w:rsidR="00AF1886" w:rsidRPr="00307FB1">
        <w:rPr>
          <w:rFonts w:ascii="Times New Roman" w:hAnsi="Times New Roman" w:cs="Times New Roman"/>
          <w:sz w:val="24"/>
          <w:szCs w:val="24"/>
        </w:rPr>
        <w:t xml:space="preserve"> </w:t>
      </w:r>
      <w:r w:rsidRPr="00307FB1">
        <w:rPr>
          <w:rFonts w:ascii="Times New Roman" w:hAnsi="Times New Roman" w:cs="Times New Roman"/>
          <w:sz w:val="24"/>
          <w:szCs w:val="24"/>
        </w:rPr>
        <w:t>optimistiski noskaņotas rezidentu kreditēšanas paplašināšanā.</w:t>
      </w:r>
      <w:r w:rsidRPr="00307FB1">
        <w:rPr>
          <w:rFonts w:ascii="Times New Roman" w:hAnsi="Times New Roman" w:cs="Times New Roman"/>
          <w:sz w:val="24"/>
          <w:szCs w:val="24"/>
          <w:vertAlign w:val="superscript"/>
        </w:rPr>
        <w:footnoteReference w:id="3"/>
      </w:r>
      <w:r w:rsidRPr="00307FB1">
        <w:rPr>
          <w:rFonts w:ascii="Times New Roman" w:hAnsi="Times New Roman" w:cs="Times New Roman"/>
          <w:sz w:val="24"/>
          <w:szCs w:val="24"/>
        </w:rPr>
        <w:t xml:space="preserve"> </w:t>
      </w:r>
    </w:p>
    <w:p w:rsidR="0025718E" w:rsidRPr="00307FB1" w:rsidRDefault="00F42D02" w:rsidP="005B6F2D">
      <w:pPr>
        <w:jc w:val="both"/>
        <w:rPr>
          <w:rFonts w:ascii="Times New Roman" w:hAnsi="Times New Roman" w:cs="Times New Roman"/>
          <w:sz w:val="24"/>
          <w:szCs w:val="24"/>
        </w:rPr>
      </w:pPr>
      <w:r>
        <w:rPr>
          <w:rFonts w:ascii="Times New Roman" w:hAnsi="Times New Roman" w:cs="Times New Roman"/>
          <w:sz w:val="24"/>
          <w:szCs w:val="24"/>
        </w:rPr>
        <w:t xml:space="preserve">Kopumā, </w:t>
      </w:r>
      <w:r w:rsidRPr="00F42D02">
        <w:rPr>
          <w:rFonts w:ascii="Times New Roman" w:hAnsi="Times New Roman" w:cs="Times New Roman"/>
          <w:sz w:val="24"/>
          <w:szCs w:val="24"/>
        </w:rPr>
        <w:t>2017. g. pirmajā pusgadā ne pamatrādītājs, ne papildus rādītāji</w:t>
      </w:r>
      <w:r w:rsidR="007B18EE" w:rsidRPr="00F42D02">
        <w:rPr>
          <w:rFonts w:ascii="Times New Roman" w:hAnsi="Times New Roman" w:cs="Times New Roman"/>
          <w:sz w:val="24"/>
          <w:szCs w:val="24"/>
        </w:rPr>
        <w:t xml:space="preserve"> </w:t>
      </w:r>
      <w:r w:rsidRPr="00F42D02">
        <w:rPr>
          <w:rFonts w:ascii="Times New Roman" w:hAnsi="Times New Roman" w:cs="Times New Roman"/>
          <w:sz w:val="24"/>
          <w:szCs w:val="24"/>
        </w:rPr>
        <w:t xml:space="preserve">neliecina par nepieciešamību noteikt </w:t>
      </w:r>
      <w:r w:rsidR="002F0E6B">
        <w:rPr>
          <w:rFonts w:ascii="Times New Roman" w:hAnsi="Times New Roman" w:cs="Times New Roman"/>
          <w:sz w:val="24"/>
          <w:szCs w:val="24"/>
        </w:rPr>
        <w:t>PKR</w:t>
      </w:r>
      <w:r w:rsidR="002F0E6B" w:rsidRPr="00F42D02">
        <w:rPr>
          <w:rFonts w:ascii="Times New Roman" w:hAnsi="Times New Roman" w:cs="Times New Roman"/>
          <w:sz w:val="24"/>
          <w:szCs w:val="24"/>
        </w:rPr>
        <w:t xml:space="preserve"> </w:t>
      </w:r>
      <w:r w:rsidRPr="00F42D02">
        <w:rPr>
          <w:rFonts w:ascii="Times New Roman" w:hAnsi="Times New Roman" w:cs="Times New Roman"/>
          <w:sz w:val="24"/>
          <w:szCs w:val="24"/>
        </w:rPr>
        <w:t>normu virs 0%. Vienlaikus tiek novērotas jaunas tendences kreditēšanas, nekustamā īpašuma tirgus, mājsaimniecību finanšu stāvokļa un nefinanšu privātā sektora attīstībā.</w:t>
      </w:r>
      <w:r>
        <w:rPr>
          <w:rFonts w:ascii="Times New Roman" w:hAnsi="Times New Roman" w:cs="Times New Roman"/>
          <w:sz w:val="24"/>
          <w:szCs w:val="24"/>
        </w:rPr>
        <w:t xml:space="preserve"> </w:t>
      </w:r>
      <w:r w:rsidR="00DD45B1">
        <w:rPr>
          <w:rFonts w:ascii="Times New Roman" w:hAnsi="Times New Roman" w:cs="Times New Roman"/>
          <w:sz w:val="24"/>
          <w:szCs w:val="24"/>
        </w:rPr>
        <w:t xml:space="preserve">FKTK turpinās analizēt attiecīgos rādītājus un tendences, lemjot par </w:t>
      </w:r>
      <w:r w:rsidR="002F0E6B">
        <w:rPr>
          <w:rFonts w:ascii="Times New Roman" w:hAnsi="Times New Roman" w:cs="Times New Roman"/>
          <w:sz w:val="24"/>
          <w:szCs w:val="24"/>
        </w:rPr>
        <w:t xml:space="preserve">PKR </w:t>
      </w:r>
      <w:r w:rsidR="00DD45B1">
        <w:rPr>
          <w:rFonts w:ascii="Times New Roman" w:hAnsi="Times New Roman" w:cs="Times New Roman"/>
          <w:sz w:val="24"/>
          <w:szCs w:val="24"/>
        </w:rPr>
        <w:t xml:space="preserve">normas noteikšanu turpmākajos ceturkšņos. </w:t>
      </w:r>
    </w:p>
    <w:p w:rsidR="005B6F2D" w:rsidRPr="000E67F2" w:rsidRDefault="005B6F2D" w:rsidP="00A73D5F">
      <w:pPr>
        <w:jc w:val="both"/>
        <w:rPr>
          <w:rFonts w:ascii="Times New Roman" w:hAnsi="Times New Roman" w:cs="Times New Roman"/>
          <w:sz w:val="24"/>
          <w:szCs w:val="24"/>
        </w:rPr>
      </w:pPr>
      <w:r w:rsidRPr="00307FB1">
        <w:rPr>
          <w:rFonts w:ascii="Times New Roman" w:hAnsi="Times New Roman" w:cs="Times New Roman"/>
          <w:sz w:val="24"/>
          <w:szCs w:val="24"/>
        </w:rPr>
        <w:t xml:space="preserve"> </w:t>
      </w:r>
    </w:p>
    <w:p w:rsidR="003C0C57" w:rsidRDefault="003C0C57" w:rsidP="00CA2374">
      <w:pPr>
        <w:keepNext/>
        <w:keepLines/>
        <w:spacing w:before="120" w:after="0" w:line="240" w:lineRule="auto"/>
        <w:jc w:val="both"/>
        <w:outlineLvl w:val="0"/>
        <w:rPr>
          <w:rFonts w:ascii="Times New Roman" w:eastAsia="Times New Roman" w:hAnsi="Times New Roman" w:cs="Times New Roman"/>
          <w:kern w:val="28"/>
          <w:szCs w:val="20"/>
        </w:rPr>
      </w:pPr>
    </w:p>
    <w:p w:rsidR="00A3730D" w:rsidRPr="00FC6C58" w:rsidRDefault="00FC6C58" w:rsidP="005809B2">
      <w:pPr>
        <w:keepNext/>
        <w:keepLines/>
        <w:spacing w:before="120" w:after="0" w:line="240" w:lineRule="auto"/>
        <w:jc w:val="both"/>
        <w:outlineLvl w:val="0"/>
        <w:rPr>
          <w:rFonts w:ascii="Times New Roman" w:hAnsi="Times New Roman" w:cs="Times New Roman"/>
          <w:b/>
        </w:rPr>
      </w:pPr>
      <w:r w:rsidRPr="00FC6C58">
        <w:rPr>
          <w:rFonts w:ascii="Times New Roman" w:hAnsi="Times New Roman" w:cs="Times New Roman"/>
          <w:b/>
        </w:rPr>
        <w:t xml:space="preserve">Vispārīgā skaidrojošā daļa par </w:t>
      </w:r>
      <w:proofErr w:type="spellStart"/>
      <w:r w:rsidRPr="00FC6C58">
        <w:rPr>
          <w:rFonts w:ascii="Times New Roman" w:hAnsi="Times New Roman" w:cs="Times New Roman"/>
          <w:b/>
        </w:rPr>
        <w:t>pretciklisko</w:t>
      </w:r>
      <w:proofErr w:type="spellEnd"/>
      <w:r w:rsidRPr="00FC6C58">
        <w:rPr>
          <w:rFonts w:ascii="Times New Roman" w:hAnsi="Times New Roman" w:cs="Times New Roman"/>
          <w:b/>
        </w:rPr>
        <w:t xml:space="preserve"> rezervi</w:t>
      </w:r>
    </w:p>
    <w:p w:rsidR="00FC6C58" w:rsidRDefault="00FC6C58" w:rsidP="005809B2">
      <w:pPr>
        <w:keepNext/>
        <w:keepLines/>
        <w:spacing w:before="120" w:after="0" w:line="240" w:lineRule="auto"/>
        <w:jc w:val="both"/>
        <w:outlineLvl w:val="0"/>
      </w:pPr>
    </w:p>
    <w:p w:rsidR="008E4105" w:rsidRPr="008E4105" w:rsidRDefault="008E4105" w:rsidP="008E4105">
      <w:pPr>
        <w:keepNext/>
        <w:keepLines/>
        <w:spacing w:before="120" w:after="0" w:line="240" w:lineRule="auto"/>
        <w:jc w:val="both"/>
        <w:outlineLvl w:val="0"/>
        <w:rPr>
          <w:bCs/>
          <w:i/>
        </w:rPr>
      </w:pPr>
      <w:r w:rsidRPr="008E4105">
        <w:rPr>
          <w:bCs/>
          <w:i/>
        </w:rPr>
        <w:t xml:space="preserve">Sākums Mediju telpa Citas publikācijas </w:t>
      </w:r>
      <w:proofErr w:type="spellStart"/>
      <w:r w:rsidRPr="008E4105">
        <w:rPr>
          <w:bCs/>
          <w:i/>
        </w:rPr>
        <w:t>Makroprudenciālā</w:t>
      </w:r>
      <w:proofErr w:type="spellEnd"/>
      <w:r w:rsidRPr="008E4105">
        <w:rPr>
          <w:bCs/>
          <w:i/>
        </w:rPr>
        <w:t xml:space="preserve"> uzraudzība </w:t>
      </w:r>
      <w:proofErr w:type="spellStart"/>
      <w:r w:rsidRPr="008E4105">
        <w:rPr>
          <w:bCs/>
          <w:i/>
        </w:rPr>
        <w:t>Pretcikliskā</w:t>
      </w:r>
      <w:proofErr w:type="spellEnd"/>
      <w:r w:rsidRPr="008E4105">
        <w:rPr>
          <w:bCs/>
          <w:i/>
        </w:rPr>
        <w:t xml:space="preserve"> kapitāla rezerve</w:t>
      </w:r>
    </w:p>
    <w:p w:rsidR="008E4105" w:rsidRPr="00DB4787" w:rsidRDefault="008E4105" w:rsidP="008E4105">
      <w:pPr>
        <w:keepNext/>
        <w:keepLines/>
        <w:spacing w:before="120" w:after="0" w:line="240" w:lineRule="auto"/>
        <w:jc w:val="both"/>
        <w:outlineLvl w:val="0"/>
        <w:rPr>
          <w:rFonts w:ascii="Times New Roman" w:hAnsi="Times New Roman" w:cs="Times New Roman"/>
          <w:bCs/>
        </w:rPr>
      </w:pPr>
      <w:proofErr w:type="spellStart"/>
      <w:r w:rsidRPr="00DB4787">
        <w:rPr>
          <w:rFonts w:ascii="Times New Roman" w:hAnsi="Times New Roman" w:cs="Times New Roman"/>
          <w:bCs/>
        </w:rPr>
        <w:t>Pretcikliskā</w:t>
      </w:r>
      <w:proofErr w:type="spellEnd"/>
      <w:r w:rsidRPr="00DB4787">
        <w:rPr>
          <w:rFonts w:ascii="Times New Roman" w:hAnsi="Times New Roman" w:cs="Times New Roman"/>
          <w:bCs/>
        </w:rPr>
        <w:t xml:space="preserve"> kapitāla rezerve</w:t>
      </w:r>
    </w:p>
    <w:p w:rsidR="008E4105" w:rsidRPr="00DB4787" w:rsidRDefault="008E4105" w:rsidP="008E4105">
      <w:pPr>
        <w:keepNext/>
        <w:keepLines/>
        <w:spacing w:before="120" w:after="0" w:line="240" w:lineRule="auto"/>
        <w:jc w:val="both"/>
        <w:outlineLvl w:val="0"/>
        <w:rPr>
          <w:rFonts w:ascii="Times New Roman" w:hAnsi="Times New Roman" w:cs="Times New Roman"/>
        </w:rPr>
      </w:pPr>
      <w:proofErr w:type="spellStart"/>
      <w:r w:rsidRPr="00DB4787">
        <w:rPr>
          <w:rFonts w:ascii="Times New Roman" w:hAnsi="Times New Roman" w:cs="Times New Roman"/>
          <w:bCs/>
        </w:rPr>
        <w:t>Pretcikliskā</w:t>
      </w:r>
      <w:proofErr w:type="spellEnd"/>
      <w:r w:rsidRPr="00DB4787">
        <w:rPr>
          <w:rFonts w:ascii="Times New Roman" w:hAnsi="Times New Roman" w:cs="Times New Roman"/>
          <w:bCs/>
        </w:rPr>
        <w:t xml:space="preserve"> kapitāla rezerve</w:t>
      </w:r>
      <w:r w:rsidRPr="00DB4787">
        <w:rPr>
          <w:rFonts w:ascii="Times New Roman" w:hAnsi="Times New Roman" w:cs="Times New Roman"/>
        </w:rPr>
        <w:t> (PKR) ir paredzēta, lai nodrošinātu, ka kredītiestādes ekonomiskās izaugsmes laikā uzkrāj pietiekamu kapitāla bāzi, lai varētu absorbēt zaudējumus lejupslīdes laikā – tā kalpos kā sava veida “drošības spilvens” kredītiestādēm, lai tās būtu spējīgas turpināt kreditēšanu arī ekonomikas lejupslīdes laikā.</w:t>
      </w:r>
    </w:p>
    <w:p w:rsidR="00505E20" w:rsidRPr="00505E20" w:rsidRDefault="008E4105" w:rsidP="00505E20">
      <w:pPr>
        <w:keepNext/>
        <w:keepLines/>
        <w:spacing w:before="120" w:after="0" w:line="240" w:lineRule="auto"/>
        <w:jc w:val="both"/>
        <w:outlineLvl w:val="0"/>
        <w:rPr>
          <w:rFonts w:ascii="Times New Roman" w:hAnsi="Times New Roman" w:cs="Times New Roman"/>
        </w:rPr>
      </w:pPr>
      <w:r w:rsidRPr="00DB4787">
        <w:rPr>
          <w:rFonts w:ascii="Times New Roman" w:hAnsi="Times New Roman" w:cs="Times New Roman"/>
        </w:rPr>
        <w:t xml:space="preserve">PKR tiek noteikta katru ceturksni, balstoties uz metodoloģiju, kas noteikta spēkā esošajās Eiropas Sistēmisko Risku Kolēģijas rekomendācijās. </w:t>
      </w:r>
      <w:r w:rsidR="000760CC" w:rsidRPr="00413C37">
        <w:rPr>
          <w:rFonts w:ascii="Times New Roman" w:hAnsi="Times New Roman" w:cs="Times New Roman"/>
        </w:rPr>
        <w:t>Kredīta atlikuma un IKP attiecības novirze no ilgtermiņa tendences</w:t>
      </w:r>
      <w:r w:rsidR="000760CC">
        <w:rPr>
          <w:rFonts w:ascii="Times New Roman" w:hAnsi="Times New Roman" w:cs="Times New Roman"/>
        </w:rPr>
        <w:t xml:space="preserve"> </w:t>
      </w:r>
      <w:r w:rsidR="000760CC" w:rsidRPr="00413C37">
        <w:rPr>
          <w:rFonts w:ascii="Times New Roman" w:hAnsi="Times New Roman" w:cs="Times New Roman"/>
        </w:rPr>
        <w:t>kalpo par s</w:t>
      </w:r>
      <w:r w:rsidR="000760CC" w:rsidRPr="000760CC">
        <w:rPr>
          <w:rFonts w:ascii="Times New Roman" w:hAnsi="Times New Roman" w:cs="Times New Roman"/>
        </w:rPr>
        <w:t>ākumpu</w:t>
      </w:r>
      <w:r w:rsidR="000760CC">
        <w:rPr>
          <w:rFonts w:ascii="Times New Roman" w:hAnsi="Times New Roman" w:cs="Times New Roman"/>
        </w:rPr>
        <w:t xml:space="preserve">nktu lēmuma par </w:t>
      </w:r>
      <w:r w:rsidR="00F70483">
        <w:rPr>
          <w:rFonts w:ascii="Times New Roman" w:hAnsi="Times New Roman" w:cs="Times New Roman"/>
        </w:rPr>
        <w:t>PKR</w:t>
      </w:r>
      <w:r w:rsidR="000760CC">
        <w:rPr>
          <w:rFonts w:ascii="Times New Roman" w:hAnsi="Times New Roman" w:cs="Times New Roman"/>
        </w:rPr>
        <w:t xml:space="preserve"> normu izvērtēšanā. Šīs attiecības novirzi </w:t>
      </w:r>
      <w:r w:rsidR="00C63EB1" w:rsidRPr="00C63EB1">
        <w:rPr>
          <w:rFonts w:ascii="Times New Roman" w:hAnsi="Times New Roman" w:cs="Times New Roman"/>
        </w:rPr>
        <w:t xml:space="preserve">no ilgtermiņa tendences </w:t>
      </w:r>
      <w:r w:rsidR="000760CC">
        <w:rPr>
          <w:rFonts w:ascii="Times New Roman" w:hAnsi="Times New Roman" w:cs="Times New Roman"/>
        </w:rPr>
        <w:t xml:space="preserve">Latvijas gadījumā aprēķina balstoties uz "plašo" </w:t>
      </w:r>
      <w:r w:rsidR="000760CC" w:rsidRPr="002D66B5">
        <w:rPr>
          <w:rFonts w:ascii="Times New Roman" w:hAnsi="Times New Roman" w:cs="Times New Roman"/>
        </w:rPr>
        <w:t>un "šauro"</w:t>
      </w:r>
      <w:r w:rsidR="005039A2" w:rsidRPr="002D66B5">
        <w:rPr>
          <w:rFonts w:ascii="Times New Roman" w:hAnsi="Times New Roman" w:cs="Times New Roman"/>
        </w:rPr>
        <w:t xml:space="preserve"> (kas izslēdz nebanku izsniegtos kredītus)</w:t>
      </w:r>
      <w:r w:rsidR="000760CC" w:rsidRPr="002D66B5">
        <w:rPr>
          <w:rFonts w:ascii="Times New Roman" w:hAnsi="Times New Roman" w:cs="Times New Roman"/>
        </w:rPr>
        <w:t xml:space="preserve"> kred</w:t>
      </w:r>
      <w:r w:rsidR="00C63EB1" w:rsidRPr="002D66B5">
        <w:rPr>
          <w:rFonts w:ascii="Times New Roman" w:hAnsi="Times New Roman" w:cs="Times New Roman"/>
        </w:rPr>
        <w:t xml:space="preserve">ītu definīciju, </w:t>
      </w:r>
      <w:r w:rsidR="00FC6C58" w:rsidRPr="002D66B5">
        <w:rPr>
          <w:rFonts w:ascii="Times New Roman" w:hAnsi="Times New Roman" w:cs="Times New Roman"/>
        </w:rPr>
        <w:t xml:space="preserve">uz kā pamata </w:t>
      </w:r>
      <w:r w:rsidR="00C63EB1" w:rsidRPr="002D66B5">
        <w:rPr>
          <w:rFonts w:ascii="Times New Roman" w:hAnsi="Times New Roman" w:cs="Times New Roman"/>
        </w:rPr>
        <w:t>iegūst</w:t>
      </w:r>
      <w:r w:rsidR="00FC6C58" w:rsidRPr="002D66B5">
        <w:rPr>
          <w:rFonts w:ascii="Times New Roman" w:hAnsi="Times New Roman" w:cs="Times New Roman"/>
        </w:rPr>
        <w:t>ot</w:t>
      </w:r>
      <w:r w:rsidR="00C63EB1" w:rsidRPr="002D66B5">
        <w:rPr>
          <w:rFonts w:ascii="Times New Roman" w:hAnsi="Times New Roman" w:cs="Times New Roman"/>
        </w:rPr>
        <w:t xml:space="preserve"> tā saucamās PKR </w:t>
      </w:r>
      <w:proofErr w:type="spellStart"/>
      <w:r w:rsidR="00C63EB1" w:rsidRPr="002D66B5">
        <w:rPr>
          <w:rFonts w:ascii="Times New Roman" w:hAnsi="Times New Roman" w:cs="Times New Roman"/>
        </w:rPr>
        <w:t>etalonnormas</w:t>
      </w:r>
      <w:proofErr w:type="spellEnd"/>
      <w:r w:rsidR="005039A2" w:rsidRPr="002D66B5">
        <w:rPr>
          <w:rStyle w:val="FootnoteReference"/>
          <w:rFonts w:ascii="Times New Roman" w:hAnsi="Times New Roman"/>
        </w:rPr>
        <w:footnoteReference w:id="4"/>
      </w:r>
      <w:r w:rsidR="00C63EB1" w:rsidRPr="002D66B5">
        <w:rPr>
          <w:rFonts w:ascii="Times New Roman" w:hAnsi="Times New Roman" w:cs="Times New Roman"/>
        </w:rPr>
        <w:t xml:space="preserve">. </w:t>
      </w:r>
      <w:r w:rsidR="00F70483" w:rsidRPr="002D66B5">
        <w:rPr>
          <w:rFonts w:ascii="Times New Roman" w:hAnsi="Times New Roman" w:cs="Times New Roman"/>
        </w:rPr>
        <w:t xml:space="preserve">PKR </w:t>
      </w:r>
      <w:proofErr w:type="spellStart"/>
      <w:r w:rsidR="00F70483" w:rsidRPr="002D66B5">
        <w:rPr>
          <w:rFonts w:ascii="Times New Roman" w:hAnsi="Times New Roman" w:cs="Times New Roman"/>
        </w:rPr>
        <w:t>etalonnorma</w:t>
      </w:r>
      <w:proofErr w:type="spellEnd"/>
      <w:r w:rsidR="00F70483" w:rsidRPr="002D66B5">
        <w:rPr>
          <w:rFonts w:ascii="Times New Roman" w:hAnsi="Times New Roman" w:cs="Times New Roman"/>
        </w:rPr>
        <w:t xml:space="preserve"> (kā procentuālā daļa no riska svērtajiem aktīviem) ir vienāda ar nulli, ja kreditēšanas un IKP novirze no ilgtermiņa tendences ir vienāda ar vai mazāka par 2 procentu punktiem. Kreditēšanas un IKP novirzei palielinoties virs 2 procentu punktiem, PKR </w:t>
      </w:r>
      <w:proofErr w:type="spellStart"/>
      <w:r w:rsidR="00F70483" w:rsidRPr="002D66B5">
        <w:rPr>
          <w:rFonts w:ascii="Times New Roman" w:hAnsi="Times New Roman" w:cs="Times New Roman"/>
        </w:rPr>
        <w:t>eatlonnorma</w:t>
      </w:r>
      <w:proofErr w:type="spellEnd"/>
      <w:r w:rsidR="00F70483" w:rsidRPr="002D66B5">
        <w:rPr>
          <w:rFonts w:ascii="Times New Roman" w:hAnsi="Times New Roman" w:cs="Times New Roman"/>
        </w:rPr>
        <w:t xml:space="preserve"> lineāri pieaug </w:t>
      </w:r>
      <w:r w:rsidR="00505E20" w:rsidRPr="002D66B5">
        <w:rPr>
          <w:rFonts w:ascii="Times New Roman" w:hAnsi="Times New Roman" w:cs="Times New Roman"/>
        </w:rPr>
        <w:t xml:space="preserve">no nulles līdz 2.5% apmērā no riska svērto aktīvu apjoma. Par PKR orientieri tiek izvēlēta tā PKR </w:t>
      </w:r>
      <w:proofErr w:type="spellStart"/>
      <w:r w:rsidR="00505E20" w:rsidRPr="002D66B5">
        <w:rPr>
          <w:rFonts w:ascii="Times New Roman" w:hAnsi="Times New Roman" w:cs="Times New Roman"/>
        </w:rPr>
        <w:t>etalonnorma</w:t>
      </w:r>
      <w:proofErr w:type="spellEnd"/>
      <w:r w:rsidR="00505E20" w:rsidRPr="00505E20">
        <w:rPr>
          <w:rFonts w:ascii="Times New Roman" w:hAnsi="Times New Roman" w:cs="Times New Roman"/>
        </w:rPr>
        <w:t xml:space="preserve">, kas vislabāk atspoguļo nacionālās ekonomikas īpatnības. Latvijas gadījumā PKR </w:t>
      </w:r>
      <w:proofErr w:type="spellStart"/>
      <w:r w:rsidR="00505E20" w:rsidRPr="00505E20">
        <w:rPr>
          <w:rFonts w:ascii="Times New Roman" w:hAnsi="Times New Roman" w:cs="Times New Roman"/>
        </w:rPr>
        <w:t>etalonnorma</w:t>
      </w:r>
      <w:proofErr w:type="spellEnd"/>
      <w:r w:rsidR="00505E20" w:rsidRPr="00505E20">
        <w:rPr>
          <w:rFonts w:ascii="Times New Roman" w:hAnsi="Times New Roman" w:cs="Times New Roman"/>
        </w:rPr>
        <w:t>, kas aprēķināta balstoties uz "šauro" kredīt</w:t>
      </w:r>
      <w:r w:rsidR="007B6DE4">
        <w:rPr>
          <w:rFonts w:ascii="Times New Roman" w:hAnsi="Times New Roman" w:cs="Times New Roman"/>
        </w:rPr>
        <w:t>u</w:t>
      </w:r>
      <w:r w:rsidR="00505E20" w:rsidRPr="00505E20">
        <w:rPr>
          <w:rFonts w:ascii="Times New Roman" w:hAnsi="Times New Roman" w:cs="Times New Roman"/>
        </w:rPr>
        <w:t xml:space="preserve"> definīciju sniedz pamatotākus rezultātus nekā izmantojot "plašo" kredītu definīciju. "Šaurās" definīcijas kredītu laikrindas dati ir stabilāki (tie netiek retrospektīvi koriģēti) un ir operatīvāk pieejami. Līdz ar to, Latvijas gadījumā, par PKR orientieri tiek pieņemta PKR </w:t>
      </w:r>
      <w:proofErr w:type="spellStart"/>
      <w:r w:rsidR="00505E20" w:rsidRPr="00505E20">
        <w:rPr>
          <w:rFonts w:ascii="Times New Roman" w:hAnsi="Times New Roman" w:cs="Times New Roman"/>
        </w:rPr>
        <w:t>etalonnorma</w:t>
      </w:r>
      <w:proofErr w:type="spellEnd"/>
      <w:r w:rsidR="00505E20" w:rsidRPr="00505E20">
        <w:rPr>
          <w:rFonts w:ascii="Times New Roman" w:hAnsi="Times New Roman" w:cs="Times New Roman"/>
        </w:rPr>
        <w:t>, kas aprēķināta</w:t>
      </w:r>
      <w:r w:rsidR="00936D45">
        <w:rPr>
          <w:rFonts w:ascii="Times New Roman" w:hAnsi="Times New Roman" w:cs="Times New Roman"/>
        </w:rPr>
        <w:t>, balstoties uz "šauro"</w:t>
      </w:r>
      <w:r w:rsidR="00505E20" w:rsidRPr="00505E20">
        <w:rPr>
          <w:rFonts w:ascii="Times New Roman" w:hAnsi="Times New Roman" w:cs="Times New Roman"/>
        </w:rPr>
        <w:t xml:space="preserve"> </w:t>
      </w:r>
      <w:r w:rsidR="00936D45">
        <w:rPr>
          <w:rFonts w:ascii="Times New Roman" w:hAnsi="Times New Roman" w:cs="Times New Roman"/>
        </w:rPr>
        <w:t>kredītu definīciju.</w:t>
      </w:r>
    </w:p>
    <w:p w:rsidR="00413C37" w:rsidRPr="00413C37" w:rsidRDefault="00413C37" w:rsidP="00413C37">
      <w:pPr>
        <w:keepNext/>
        <w:keepLines/>
        <w:spacing w:before="120" w:after="0" w:line="240" w:lineRule="auto"/>
        <w:jc w:val="both"/>
        <w:outlineLvl w:val="0"/>
        <w:rPr>
          <w:rFonts w:ascii="Times New Roman" w:hAnsi="Times New Roman" w:cs="Times New Roman"/>
        </w:rPr>
      </w:pPr>
      <w:r w:rsidRPr="00413C37">
        <w:rPr>
          <w:rFonts w:ascii="Times New Roman" w:hAnsi="Times New Roman" w:cs="Times New Roman"/>
        </w:rPr>
        <w:t xml:space="preserve">Jāatzīmē, ka citu valstu pieredze liecina, ka ne vienmēr kā uz labu signālu var paļauties uz kreditēšanas un IKP attiecības novirzi no ilgtermiņa tendences. Lai novērtētu ciklisko sistēmisko risku pieaugumu un noteiktu PKR normu, jāņem vērā arī citi kvantitatīvie indikatori un ekspertu vērtējums, uzsvaru liekot uz kvalitatīvo vērtējumu. Nepieciešamības gadījumā FKTK var noteikt arī PKR normu, kas ir augstāka par 2.5% no riska svērto aktīvu apjoma. Metodoloģija paredz finanšu sektora un tautsaimniecības tendenču izvērtējumu, t.sk. nekustamā īpašuma nozarē, izmantojot vairākus rādītājus, </w:t>
      </w:r>
      <w:proofErr w:type="gramStart"/>
      <w:r w:rsidRPr="00413C37">
        <w:rPr>
          <w:rFonts w:ascii="Times New Roman" w:hAnsi="Times New Roman" w:cs="Times New Roman"/>
        </w:rPr>
        <w:t>piemēram</w:t>
      </w:r>
      <w:proofErr w:type="gramEnd"/>
      <w:r w:rsidRPr="00413C37">
        <w:rPr>
          <w:rFonts w:ascii="Times New Roman" w:hAnsi="Times New Roman" w:cs="Times New Roman"/>
        </w:rPr>
        <w:t xml:space="preserve"> kreditēšanas tempus, mājokļu cenu dinamiku un citus, kurus uzskata par būtiskiem cikliskā sistēmiskā riska novērtēšanai.</w:t>
      </w:r>
      <w:r w:rsidRPr="00413C37" w:rsidDel="00F94B38">
        <w:rPr>
          <w:rFonts w:ascii="Times New Roman" w:hAnsi="Times New Roman" w:cs="Times New Roman"/>
        </w:rPr>
        <w:t xml:space="preserve"> </w:t>
      </w:r>
    </w:p>
    <w:p w:rsidR="008E4105" w:rsidRPr="00DB4787" w:rsidRDefault="008E4105" w:rsidP="008E4105">
      <w:pPr>
        <w:keepNext/>
        <w:keepLines/>
        <w:spacing w:before="120" w:after="0" w:line="240" w:lineRule="auto"/>
        <w:jc w:val="both"/>
        <w:outlineLvl w:val="0"/>
        <w:rPr>
          <w:rFonts w:ascii="Times New Roman" w:hAnsi="Times New Roman" w:cs="Times New Roman"/>
        </w:rPr>
      </w:pPr>
      <w:r w:rsidRPr="00DB4787">
        <w:rPr>
          <w:rFonts w:ascii="Times New Roman" w:hAnsi="Times New Roman" w:cs="Times New Roman"/>
        </w:rPr>
        <w:t>Saskaņā ar Kredītiestāžu likumu</w:t>
      </w:r>
      <w:r w:rsidR="00AF66DD">
        <w:rPr>
          <w:rFonts w:ascii="Times New Roman" w:hAnsi="Times New Roman" w:cs="Times New Roman"/>
        </w:rPr>
        <w:t>,</w:t>
      </w:r>
      <w:r w:rsidRPr="00DB4787">
        <w:rPr>
          <w:rFonts w:ascii="Times New Roman" w:hAnsi="Times New Roman" w:cs="Times New Roman"/>
        </w:rPr>
        <w:t xml:space="preserve"> FKTK ir iestāde, kas ir atbildīga par </w:t>
      </w:r>
      <w:proofErr w:type="spellStart"/>
      <w:r w:rsidRPr="00DB4787">
        <w:rPr>
          <w:rFonts w:ascii="Times New Roman" w:hAnsi="Times New Roman" w:cs="Times New Roman"/>
        </w:rPr>
        <w:t>pretcikliskās</w:t>
      </w:r>
      <w:proofErr w:type="spellEnd"/>
      <w:r w:rsidRPr="00DB4787">
        <w:rPr>
          <w:rFonts w:ascii="Times New Roman" w:hAnsi="Times New Roman" w:cs="Times New Roman"/>
        </w:rPr>
        <w:t xml:space="preserve"> kapitāla rezerves noteikšanu Latvijā. Sākot ar 2015. gadu, FKTK reizi ceturksnī nosaka un publisko PKR normu darījumiem ar Latvijas rezidentiem. Lēmums tiek pieņemts, konsultējoties ar Latvijas Banku un Finanšu ministriju. FKTK</w:t>
      </w:r>
      <w:r w:rsidRPr="008E4105">
        <w:rPr>
          <w:rFonts w:ascii="Times New Roman" w:hAnsi="Times New Roman" w:cs="Times New Roman"/>
        </w:rPr>
        <w:t xml:space="preserve">, </w:t>
      </w:r>
      <w:r w:rsidRPr="00DB4787">
        <w:rPr>
          <w:rFonts w:ascii="Times New Roman" w:hAnsi="Times New Roman" w:cs="Times New Roman"/>
        </w:rPr>
        <w:t xml:space="preserve">pirmo reizi nosakot tādu </w:t>
      </w:r>
      <w:proofErr w:type="spellStart"/>
      <w:r w:rsidRPr="00DB4787">
        <w:rPr>
          <w:rFonts w:ascii="Times New Roman" w:hAnsi="Times New Roman" w:cs="Times New Roman"/>
        </w:rPr>
        <w:t>pretcikliskās</w:t>
      </w:r>
      <w:proofErr w:type="spellEnd"/>
      <w:r w:rsidRPr="00DB4787">
        <w:rPr>
          <w:rFonts w:ascii="Times New Roman" w:hAnsi="Times New Roman" w:cs="Times New Roman"/>
        </w:rPr>
        <w:t xml:space="preserve"> kapitāla rezerves normu, kas ir lielāka par nulli, nosaka datumu, no kura kredītiestāde šo </w:t>
      </w:r>
      <w:proofErr w:type="spellStart"/>
      <w:r w:rsidRPr="00DB4787">
        <w:rPr>
          <w:rFonts w:ascii="Times New Roman" w:hAnsi="Times New Roman" w:cs="Times New Roman"/>
        </w:rPr>
        <w:t>pretcikliskās</w:t>
      </w:r>
      <w:proofErr w:type="spellEnd"/>
      <w:r w:rsidRPr="00DB4787">
        <w:rPr>
          <w:rFonts w:ascii="Times New Roman" w:hAnsi="Times New Roman" w:cs="Times New Roman"/>
        </w:rPr>
        <w:t xml:space="preserve"> kapitāla rezerves normu piemēro. Šis datums (izņemot ārkārtas gadījumos) ir 12 mēneši no dienas, kad publicēts attiecīgais lēmums.</w:t>
      </w:r>
      <w:r w:rsidRPr="008E4105">
        <w:rPr>
          <w:rFonts w:ascii="Times New Roman" w:hAnsi="Times New Roman" w:cs="Times New Roman"/>
        </w:rPr>
        <w:t xml:space="preserve">  </w:t>
      </w:r>
    </w:p>
    <w:p w:rsidR="008E4105" w:rsidRPr="00DB4787" w:rsidRDefault="008E4105" w:rsidP="008E4105">
      <w:pPr>
        <w:keepNext/>
        <w:keepLines/>
        <w:spacing w:before="120" w:after="0" w:line="240" w:lineRule="auto"/>
        <w:jc w:val="both"/>
        <w:outlineLvl w:val="0"/>
        <w:rPr>
          <w:rFonts w:ascii="Times New Roman" w:hAnsi="Times New Roman" w:cs="Times New Roman"/>
        </w:rPr>
      </w:pPr>
      <w:r w:rsidRPr="00DB4787">
        <w:rPr>
          <w:rFonts w:ascii="Times New Roman" w:hAnsi="Times New Roman" w:cs="Times New Roman"/>
        </w:rPr>
        <w:t xml:space="preserve">Atbilstoši ESRK Rekomendācijai (ESRK/2014/1), pieņemot lēmumus par PKR normu, FKTK mērķis ir aizsargāt </w:t>
      </w:r>
      <w:r w:rsidR="00AF1886">
        <w:rPr>
          <w:rFonts w:ascii="Times New Roman" w:hAnsi="Times New Roman" w:cs="Times New Roman"/>
        </w:rPr>
        <w:t>kredītiestāžu</w:t>
      </w:r>
      <w:r w:rsidR="00AF1886" w:rsidRPr="00DB4787">
        <w:rPr>
          <w:rFonts w:ascii="Times New Roman" w:hAnsi="Times New Roman" w:cs="Times New Roman"/>
        </w:rPr>
        <w:t xml:space="preserve"> </w:t>
      </w:r>
      <w:r w:rsidRPr="00DB4787">
        <w:rPr>
          <w:rFonts w:ascii="Times New Roman" w:hAnsi="Times New Roman" w:cs="Times New Roman"/>
        </w:rPr>
        <w:t xml:space="preserve">sistēmu no iespējamiem zaudējumiem, kas saistīti ar cikliska sistēmiskā riska saasināšanos, tādējādi atbalstot ilgtspējīgu reālās ekonomikas kreditēšanu visa finanšu cikla laikā. FKTK lems par nepieciešamību noteikt PKR normu apmērā virs 0%, ja Latvijas finanšu sektorā tiks novērots būtisks ciklisko sistēmisko risku pieaugums. </w:t>
      </w:r>
    </w:p>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rPr>
        <w:lastRenderedPageBreak/>
        <w:t>Katra kredītiestāde aprēķina sev specifisko PKR normu, ņemot vērā tās riska darījumu ģeogrāfisko struktūru un attiecīgajās valstīs noteiktās PKR normas (</w:t>
      </w:r>
      <w:r w:rsidRPr="00DB4787">
        <w:rPr>
          <w:rFonts w:ascii="Times New Roman" w:hAnsi="Times New Roman" w:cs="Times New Roman"/>
          <w:i/>
        </w:rPr>
        <w:t>FKTK 2015. gada 12.augusta</w:t>
      </w:r>
      <w:r w:rsidRPr="00DB4787">
        <w:rPr>
          <w:rFonts w:ascii="Times New Roman" w:hAnsi="Times New Roman" w:cs="Times New Roman"/>
          <w:bCs/>
          <w:i/>
        </w:rPr>
        <w:t xml:space="preserve"> Normatīvie noteikumi Nr. 133 " Kredītiestādei specifiskās </w:t>
      </w:r>
      <w:proofErr w:type="spellStart"/>
      <w:r w:rsidRPr="00DB4787">
        <w:rPr>
          <w:rFonts w:ascii="Times New Roman" w:hAnsi="Times New Roman" w:cs="Times New Roman"/>
          <w:bCs/>
          <w:i/>
        </w:rPr>
        <w:t>pretcikliskās</w:t>
      </w:r>
      <w:proofErr w:type="spellEnd"/>
      <w:r w:rsidRPr="00DB4787">
        <w:rPr>
          <w:rFonts w:ascii="Times New Roman" w:hAnsi="Times New Roman" w:cs="Times New Roman"/>
          <w:bCs/>
          <w:i/>
        </w:rPr>
        <w:t xml:space="preserve"> kapitāla rezerves normas aprēķināšanas noteikumi"</w:t>
      </w:r>
      <w:r w:rsidRPr="00DB4787">
        <w:rPr>
          <w:rFonts w:ascii="Times New Roman" w:hAnsi="Times New Roman" w:cs="Times New Roman"/>
        </w:rPr>
        <w:t xml:space="preserve">). Šo sev specifisko PKR normu kredītiestāde attiecina uz tās kopējiem riska darījumiem aprēķinot </w:t>
      </w:r>
      <w:proofErr w:type="spellStart"/>
      <w:r w:rsidRPr="00DB4787">
        <w:rPr>
          <w:rFonts w:ascii="Times New Roman" w:hAnsi="Times New Roman" w:cs="Times New Roman"/>
        </w:rPr>
        <w:t>pretciklisko</w:t>
      </w:r>
      <w:proofErr w:type="spellEnd"/>
      <w:r w:rsidRPr="00DB4787">
        <w:rPr>
          <w:rFonts w:ascii="Times New Roman" w:hAnsi="Times New Roman" w:cs="Times New Roman"/>
        </w:rPr>
        <w:t xml:space="preserve"> kapitāla rezervi. </w:t>
      </w:r>
    </w:p>
    <w:p w:rsidR="008E4105" w:rsidRPr="00DB4787" w:rsidRDefault="008E4105" w:rsidP="008E4105">
      <w:pPr>
        <w:keepNext/>
        <w:keepLines/>
        <w:spacing w:before="120" w:after="0" w:line="240" w:lineRule="auto"/>
        <w:jc w:val="both"/>
        <w:outlineLvl w:v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2806"/>
        <w:gridCol w:w="2858"/>
      </w:tblGrid>
      <w:tr w:rsidR="008E4105" w:rsidRPr="00DB4787" w:rsidTr="00165CD7">
        <w:tc>
          <w:tcPr>
            <w:tcW w:w="8522" w:type="dxa"/>
            <w:gridSpan w:val="3"/>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Pēdējais lēmums par PKR normu darījumiem ar Latvijas rezidentiem:</w:t>
            </w:r>
          </w:p>
        </w:tc>
      </w:tr>
      <w:tr w:rsidR="008E4105" w:rsidRPr="00DB4787" w:rsidTr="00165CD7">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Datums</w:t>
            </w:r>
          </w:p>
        </w:tc>
        <w:tc>
          <w:tcPr>
            <w:tcW w:w="2806"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 xml:space="preserve">PKR norma </w:t>
            </w:r>
          </w:p>
        </w:tc>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 xml:space="preserve">Spēkā no </w:t>
            </w:r>
          </w:p>
        </w:tc>
      </w:tr>
      <w:tr w:rsidR="008E4105" w:rsidRPr="00DB4787" w:rsidTr="00165CD7">
        <w:tc>
          <w:tcPr>
            <w:tcW w:w="2858" w:type="dxa"/>
            <w:shd w:val="clear" w:color="auto" w:fill="auto"/>
          </w:tcPr>
          <w:p w:rsidR="008E4105" w:rsidRPr="00DB4787" w:rsidRDefault="00B45EF2" w:rsidP="00B45EF2">
            <w:pPr>
              <w:keepNext/>
              <w:keepLines/>
              <w:spacing w:before="120" w:after="0" w:line="240" w:lineRule="auto"/>
              <w:jc w:val="both"/>
              <w:outlineLvl w:val="0"/>
              <w:rPr>
                <w:rFonts w:ascii="Times New Roman" w:hAnsi="Times New Roman" w:cs="Times New Roman"/>
                <w:bCs/>
              </w:rPr>
            </w:pPr>
            <w:r>
              <w:rPr>
                <w:rFonts w:ascii="Times New Roman" w:hAnsi="Times New Roman" w:cs="Times New Roman"/>
                <w:bCs/>
              </w:rPr>
              <w:t>25</w:t>
            </w:r>
            <w:r w:rsidR="008E4105" w:rsidRPr="00DB4787">
              <w:rPr>
                <w:rFonts w:ascii="Times New Roman" w:hAnsi="Times New Roman" w:cs="Times New Roman"/>
                <w:bCs/>
              </w:rPr>
              <w:t>.0</w:t>
            </w:r>
            <w:r>
              <w:rPr>
                <w:rFonts w:ascii="Times New Roman" w:hAnsi="Times New Roman" w:cs="Times New Roman"/>
                <w:bCs/>
              </w:rPr>
              <w:t>7</w:t>
            </w:r>
            <w:r w:rsidR="008E4105" w:rsidRPr="00DB4787">
              <w:rPr>
                <w:rFonts w:ascii="Times New Roman" w:hAnsi="Times New Roman" w:cs="Times New Roman"/>
                <w:bCs/>
              </w:rPr>
              <w:t>.2017</w:t>
            </w:r>
          </w:p>
        </w:tc>
        <w:tc>
          <w:tcPr>
            <w:tcW w:w="2806"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0%</w:t>
            </w:r>
          </w:p>
        </w:tc>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01.0</w:t>
            </w:r>
            <w:r w:rsidR="00B45EF2">
              <w:rPr>
                <w:rFonts w:ascii="Times New Roman" w:hAnsi="Times New Roman" w:cs="Times New Roman"/>
                <w:bCs/>
              </w:rPr>
              <w:t>8</w:t>
            </w:r>
            <w:r w:rsidRPr="00DB4787">
              <w:rPr>
                <w:rFonts w:ascii="Times New Roman" w:hAnsi="Times New Roman" w:cs="Times New Roman"/>
                <w:bCs/>
              </w:rPr>
              <w:t xml:space="preserve">.2018 </w:t>
            </w:r>
          </w:p>
        </w:tc>
      </w:tr>
    </w:tbl>
    <w:p w:rsidR="008E4105" w:rsidRPr="00DB4787" w:rsidRDefault="008E4105" w:rsidP="008E4105">
      <w:pPr>
        <w:keepNext/>
        <w:keepLines/>
        <w:spacing w:before="120" w:after="0" w:line="240" w:lineRule="auto"/>
        <w:jc w:val="both"/>
        <w:outlineLvl w:val="0"/>
        <w:rPr>
          <w:rFonts w:ascii="Times New Roman" w:hAnsi="Times New Roman" w:cs="Times New Roman"/>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2806"/>
        <w:gridCol w:w="2858"/>
      </w:tblGrid>
      <w:tr w:rsidR="008E4105" w:rsidRPr="00DB4787" w:rsidTr="00165CD7">
        <w:tc>
          <w:tcPr>
            <w:tcW w:w="8522" w:type="dxa"/>
            <w:gridSpan w:val="3"/>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Spēkā esošā PKR norma darījumiem ar Latvijas rezidentiem:</w:t>
            </w:r>
          </w:p>
        </w:tc>
      </w:tr>
      <w:tr w:rsidR="008E4105" w:rsidRPr="00DB4787" w:rsidTr="00165CD7">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Lēmuma datums</w:t>
            </w:r>
          </w:p>
        </w:tc>
        <w:tc>
          <w:tcPr>
            <w:tcW w:w="2806"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 xml:space="preserve">PKR norma </w:t>
            </w:r>
          </w:p>
        </w:tc>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 xml:space="preserve">Spēkā no </w:t>
            </w:r>
          </w:p>
        </w:tc>
      </w:tr>
      <w:tr w:rsidR="008E4105" w:rsidRPr="00DB4787" w:rsidTr="00165CD7">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26.04.2016</w:t>
            </w:r>
          </w:p>
        </w:tc>
        <w:tc>
          <w:tcPr>
            <w:tcW w:w="2806"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0%</w:t>
            </w:r>
          </w:p>
        </w:tc>
        <w:tc>
          <w:tcPr>
            <w:tcW w:w="2858"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bCs/>
              </w:rPr>
            </w:pPr>
            <w:r w:rsidRPr="00DB4787">
              <w:rPr>
                <w:rFonts w:ascii="Times New Roman" w:hAnsi="Times New Roman" w:cs="Times New Roman"/>
                <w:bCs/>
              </w:rPr>
              <w:t xml:space="preserve">01.05.2017 </w:t>
            </w:r>
          </w:p>
        </w:tc>
      </w:tr>
    </w:tbl>
    <w:p w:rsidR="008E4105" w:rsidRPr="00DB4787" w:rsidRDefault="008E4105" w:rsidP="008E4105">
      <w:pPr>
        <w:keepNext/>
        <w:keepLines/>
        <w:spacing w:before="120" w:after="0" w:line="240" w:lineRule="auto"/>
        <w:jc w:val="both"/>
        <w:outlineLvl w:v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E4105" w:rsidRPr="00DB4787" w:rsidTr="00165CD7">
        <w:trPr>
          <w:trHeight w:val="615"/>
        </w:trPr>
        <w:tc>
          <w:tcPr>
            <w:tcW w:w="8522" w:type="dxa"/>
            <w:shd w:val="clear" w:color="auto" w:fill="auto"/>
          </w:tcPr>
          <w:p w:rsidR="008E4105" w:rsidRPr="00DB4787" w:rsidRDefault="008E4105" w:rsidP="008E4105">
            <w:pPr>
              <w:keepNext/>
              <w:keepLines/>
              <w:spacing w:before="120" w:after="0" w:line="240" w:lineRule="auto"/>
              <w:jc w:val="both"/>
              <w:outlineLvl w:val="0"/>
              <w:rPr>
                <w:rFonts w:ascii="Times New Roman" w:hAnsi="Times New Roman" w:cs="Times New Roman"/>
              </w:rPr>
            </w:pPr>
            <w:r w:rsidRPr="00DB4787">
              <w:rPr>
                <w:rFonts w:ascii="Times New Roman" w:hAnsi="Times New Roman" w:cs="Times New Roman"/>
              </w:rPr>
              <w:t xml:space="preserve">Nākamais lēmums par PKR normu darījumiem ar Latvijas rezidentiem: </w:t>
            </w:r>
          </w:p>
          <w:p w:rsidR="008E4105" w:rsidRPr="00DB4787" w:rsidRDefault="008E4105" w:rsidP="008E4105">
            <w:pPr>
              <w:keepNext/>
              <w:keepLines/>
              <w:spacing w:before="120" w:after="0" w:line="240" w:lineRule="auto"/>
              <w:jc w:val="both"/>
              <w:outlineLvl w:val="0"/>
              <w:rPr>
                <w:rFonts w:ascii="Times New Roman" w:hAnsi="Times New Roman" w:cs="Times New Roman"/>
              </w:rPr>
            </w:pPr>
            <w:r w:rsidRPr="00DB4787">
              <w:rPr>
                <w:rFonts w:ascii="Times New Roman" w:hAnsi="Times New Roman" w:cs="Times New Roman"/>
              </w:rPr>
              <w:t>10/2017</w:t>
            </w:r>
          </w:p>
        </w:tc>
      </w:tr>
    </w:tbl>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b/>
        </w:rPr>
      </w:pPr>
      <w:r w:rsidRPr="008E4105">
        <w:rPr>
          <w:rFonts w:ascii="Times New Roman" w:hAnsi="Times New Roman" w:cs="Times New Roman"/>
          <w:b/>
        </w:rPr>
        <w:t> </w:t>
      </w:r>
    </w:p>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b/>
        </w:rPr>
      </w:pPr>
    </w:p>
    <w:p w:rsidR="008E4105" w:rsidRPr="008E4105" w:rsidRDefault="008E4105" w:rsidP="008E4105">
      <w:pPr>
        <w:keepNext/>
        <w:keepLines/>
        <w:spacing w:before="120" w:after="0" w:line="240" w:lineRule="auto"/>
        <w:jc w:val="both"/>
        <w:outlineLvl w:val="0"/>
        <w:rPr>
          <w:rFonts w:ascii="Times New Roman" w:hAnsi="Times New Roman" w:cs="Times New Roman"/>
        </w:rPr>
      </w:pPr>
    </w:p>
    <w:p w:rsidR="00A3730D" w:rsidRPr="008E4105" w:rsidRDefault="00A3730D">
      <w:pPr>
        <w:keepNext/>
        <w:keepLines/>
        <w:spacing w:before="120" w:after="0" w:line="240" w:lineRule="auto"/>
        <w:jc w:val="both"/>
        <w:outlineLvl w:val="0"/>
        <w:rPr>
          <w:rFonts w:ascii="Times New Roman" w:hAnsi="Times New Roman" w:cs="Times New Roman"/>
        </w:rPr>
      </w:pPr>
    </w:p>
    <w:sectPr w:rsidR="00A3730D" w:rsidRPr="008E4105"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A60" w:rsidRDefault="00900A60" w:rsidP="0032368D">
      <w:pPr>
        <w:spacing w:after="0" w:line="240" w:lineRule="auto"/>
      </w:pPr>
      <w:r>
        <w:separator/>
      </w:r>
    </w:p>
  </w:endnote>
  <w:endnote w:type="continuationSeparator" w:id="0">
    <w:p w:rsidR="00900A60" w:rsidRDefault="00900A60"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A60" w:rsidRDefault="00900A60" w:rsidP="0032368D">
      <w:pPr>
        <w:spacing w:after="0" w:line="240" w:lineRule="auto"/>
      </w:pPr>
      <w:r>
        <w:separator/>
      </w:r>
    </w:p>
  </w:footnote>
  <w:footnote w:type="continuationSeparator" w:id="0">
    <w:p w:rsidR="00900A60" w:rsidRDefault="00900A60" w:rsidP="0032368D">
      <w:pPr>
        <w:spacing w:after="0" w:line="240" w:lineRule="auto"/>
      </w:pPr>
      <w:r>
        <w:continuationSeparator/>
      </w:r>
    </w:p>
  </w:footnote>
  <w:footnote w:id="1">
    <w:p w:rsidR="00E361A8" w:rsidRPr="0031554E" w:rsidRDefault="00E361A8" w:rsidP="00E361A8">
      <w:pPr>
        <w:pStyle w:val="FootnoteText"/>
      </w:pPr>
      <w:r w:rsidRPr="0031554E">
        <w:rPr>
          <w:rStyle w:val="FootnoteReference"/>
        </w:rPr>
        <w:footnoteRef/>
      </w:r>
      <w:r w:rsidRPr="0031554E">
        <w:t xml:space="preserve"> Kredīta laikrinda no 1995. gada 4. ceturkšņa līdz 2016. gada </w:t>
      </w:r>
      <w:r>
        <w:t>beigām</w:t>
      </w:r>
    </w:p>
  </w:footnote>
  <w:footnote w:id="2">
    <w:p w:rsidR="00E361A8" w:rsidRPr="004A6AA0" w:rsidRDefault="00E361A8" w:rsidP="00E361A8">
      <w:pPr>
        <w:pStyle w:val="FootnoteText"/>
      </w:pPr>
      <w:r w:rsidRPr="0031554E">
        <w:rPr>
          <w:rStyle w:val="FootnoteReference"/>
        </w:rPr>
        <w:footnoteRef/>
      </w:r>
      <w:r w:rsidRPr="0031554E">
        <w:t xml:space="preserve"> Kredīta laikrinda no 1999. gada 1. ceturkšņa līdz 201</w:t>
      </w:r>
      <w:r>
        <w:t>7</w:t>
      </w:r>
      <w:r w:rsidRPr="0031554E">
        <w:t xml:space="preserve">. gada </w:t>
      </w:r>
      <w:r>
        <w:t>1</w:t>
      </w:r>
      <w:r w:rsidRPr="0031554E">
        <w:t>. ceturksnim</w:t>
      </w:r>
    </w:p>
    <w:p w:rsidR="00E361A8" w:rsidRDefault="00E361A8" w:rsidP="00E361A8">
      <w:pPr>
        <w:pStyle w:val="FootnoteText"/>
      </w:pPr>
    </w:p>
  </w:footnote>
  <w:footnote w:id="3">
    <w:p w:rsidR="005B6F2D" w:rsidRDefault="005B6F2D" w:rsidP="005B6F2D">
      <w:pPr>
        <w:pStyle w:val="FootnoteText"/>
      </w:pPr>
      <w:r>
        <w:rPr>
          <w:rStyle w:val="FootnoteReference"/>
        </w:rPr>
        <w:footnoteRef/>
      </w:r>
      <w:r>
        <w:t xml:space="preserve"> FKTK</w:t>
      </w:r>
      <w:r w:rsidRPr="00F4649E">
        <w:t xml:space="preserve"> ikgad</w:t>
      </w:r>
      <w:r>
        <w:t>ējā</w:t>
      </w:r>
      <w:r w:rsidRPr="00F4649E">
        <w:t xml:space="preserve"> </w:t>
      </w:r>
      <w:r w:rsidR="007B5C91">
        <w:t>kredītiestāžu</w:t>
      </w:r>
      <w:r w:rsidR="007B5C91" w:rsidRPr="00F4649E">
        <w:t xml:space="preserve"> </w:t>
      </w:r>
      <w:r>
        <w:t>aptauja par finanšu rādītājiem</w:t>
      </w:r>
      <w:r w:rsidRPr="00F4649E">
        <w:t>, risk</w:t>
      </w:r>
      <w:r>
        <w:t>iem</w:t>
      </w:r>
      <w:r w:rsidRPr="00F4649E">
        <w:t xml:space="preserve"> un stratēģijas </w:t>
      </w:r>
      <w:r>
        <w:t>prognozēm</w:t>
      </w:r>
      <w:r w:rsidRPr="00F4649E">
        <w:t xml:space="preserve"> 2017. gadam.</w:t>
      </w:r>
    </w:p>
  </w:footnote>
  <w:footnote w:id="4">
    <w:p w:rsidR="005039A2" w:rsidRDefault="005039A2">
      <w:pPr>
        <w:pStyle w:val="FootnoteText"/>
      </w:pPr>
      <w:r>
        <w:rPr>
          <w:rStyle w:val="FootnoteReference"/>
        </w:rPr>
        <w:footnoteRef/>
      </w:r>
      <w:r>
        <w:t xml:space="preserve"> Pielietotā metodoloģija </w:t>
      </w:r>
      <w:r w:rsidR="00883B9E">
        <w:t>un dati detalizētāk tiek skaidroti</w:t>
      </w:r>
      <w:r>
        <w:t xml:space="preserve"> datu pielikumā "PKR orientieris</w:t>
      </w:r>
      <w:r w:rsidR="00A96FD2">
        <w:t xml:space="preserve"> FKTK</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33609"/>
    <w:rsid w:val="000416B6"/>
    <w:rsid w:val="00056361"/>
    <w:rsid w:val="00074564"/>
    <w:rsid w:val="000760CC"/>
    <w:rsid w:val="0007732A"/>
    <w:rsid w:val="0008428A"/>
    <w:rsid w:val="00092FAB"/>
    <w:rsid w:val="000B500D"/>
    <w:rsid w:val="000C4CF1"/>
    <w:rsid w:val="000C5528"/>
    <w:rsid w:val="000D0CFE"/>
    <w:rsid w:val="001107C9"/>
    <w:rsid w:val="00151AC3"/>
    <w:rsid w:val="0015490A"/>
    <w:rsid w:val="00174F2D"/>
    <w:rsid w:val="0019182F"/>
    <w:rsid w:val="00196BE7"/>
    <w:rsid w:val="001B1DB2"/>
    <w:rsid w:val="001B2BC2"/>
    <w:rsid w:val="001B3A24"/>
    <w:rsid w:val="001B4A29"/>
    <w:rsid w:val="001C4A4B"/>
    <w:rsid w:val="001D7A88"/>
    <w:rsid w:val="001D7E5E"/>
    <w:rsid w:val="001E4DEF"/>
    <w:rsid w:val="001E5B20"/>
    <w:rsid w:val="001F0D5B"/>
    <w:rsid w:val="001F3CBB"/>
    <w:rsid w:val="001F7184"/>
    <w:rsid w:val="00200585"/>
    <w:rsid w:val="00211C78"/>
    <w:rsid w:val="002204A7"/>
    <w:rsid w:val="0025420C"/>
    <w:rsid w:val="0025718E"/>
    <w:rsid w:val="00257798"/>
    <w:rsid w:val="002578B4"/>
    <w:rsid w:val="002774E0"/>
    <w:rsid w:val="00282D6E"/>
    <w:rsid w:val="002A37B2"/>
    <w:rsid w:val="002A6B0A"/>
    <w:rsid w:val="002B0DEE"/>
    <w:rsid w:val="002C0998"/>
    <w:rsid w:val="002C17C8"/>
    <w:rsid w:val="002D0028"/>
    <w:rsid w:val="002D66B5"/>
    <w:rsid w:val="002D763E"/>
    <w:rsid w:val="002E2D88"/>
    <w:rsid w:val="002E458C"/>
    <w:rsid w:val="002F0E6B"/>
    <w:rsid w:val="0030576F"/>
    <w:rsid w:val="0031554E"/>
    <w:rsid w:val="00317341"/>
    <w:rsid w:val="0032368D"/>
    <w:rsid w:val="00327AF2"/>
    <w:rsid w:val="00336DFF"/>
    <w:rsid w:val="00347BD8"/>
    <w:rsid w:val="00373687"/>
    <w:rsid w:val="003811B7"/>
    <w:rsid w:val="003833D9"/>
    <w:rsid w:val="003869BE"/>
    <w:rsid w:val="003950AB"/>
    <w:rsid w:val="003A1C21"/>
    <w:rsid w:val="003A71F7"/>
    <w:rsid w:val="003A788B"/>
    <w:rsid w:val="003C0C57"/>
    <w:rsid w:val="003C4CFB"/>
    <w:rsid w:val="003C6059"/>
    <w:rsid w:val="003C7C63"/>
    <w:rsid w:val="003D03F5"/>
    <w:rsid w:val="003D464B"/>
    <w:rsid w:val="003D54E7"/>
    <w:rsid w:val="003F243B"/>
    <w:rsid w:val="004058BC"/>
    <w:rsid w:val="00410BF9"/>
    <w:rsid w:val="00413C37"/>
    <w:rsid w:val="00427AFE"/>
    <w:rsid w:val="0044271E"/>
    <w:rsid w:val="004458CB"/>
    <w:rsid w:val="0046415C"/>
    <w:rsid w:val="00471FDD"/>
    <w:rsid w:val="004802E1"/>
    <w:rsid w:val="00483487"/>
    <w:rsid w:val="004A6195"/>
    <w:rsid w:val="004A6271"/>
    <w:rsid w:val="004D2A61"/>
    <w:rsid w:val="004D5F26"/>
    <w:rsid w:val="004E4EFF"/>
    <w:rsid w:val="004E598C"/>
    <w:rsid w:val="004F57E6"/>
    <w:rsid w:val="004F663E"/>
    <w:rsid w:val="0050101D"/>
    <w:rsid w:val="005039A2"/>
    <w:rsid w:val="00505E20"/>
    <w:rsid w:val="00512D34"/>
    <w:rsid w:val="0051567D"/>
    <w:rsid w:val="005530EC"/>
    <w:rsid w:val="005557E7"/>
    <w:rsid w:val="00575728"/>
    <w:rsid w:val="005809B2"/>
    <w:rsid w:val="00584828"/>
    <w:rsid w:val="00594104"/>
    <w:rsid w:val="00597727"/>
    <w:rsid w:val="005B43FD"/>
    <w:rsid w:val="005B6F2D"/>
    <w:rsid w:val="005C192C"/>
    <w:rsid w:val="005C5BE4"/>
    <w:rsid w:val="005E27EE"/>
    <w:rsid w:val="005F22B5"/>
    <w:rsid w:val="005F5E68"/>
    <w:rsid w:val="005F6B02"/>
    <w:rsid w:val="005F6B51"/>
    <w:rsid w:val="0060248D"/>
    <w:rsid w:val="00603E26"/>
    <w:rsid w:val="00611E90"/>
    <w:rsid w:val="00626D69"/>
    <w:rsid w:val="00647385"/>
    <w:rsid w:val="006506BC"/>
    <w:rsid w:val="006852AB"/>
    <w:rsid w:val="0068695B"/>
    <w:rsid w:val="00694A1E"/>
    <w:rsid w:val="006A2EA8"/>
    <w:rsid w:val="006A5D61"/>
    <w:rsid w:val="006F3C5A"/>
    <w:rsid w:val="007054B6"/>
    <w:rsid w:val="007101E0"/>
    <w:rsid w:val="007135B6"/>
    <w:rsid w:val="00722FBC"/>
    <w:rsid w:val="00732145"/>
    <w:rsid w:val="0075295B"/>
    <w:rsid w:val="00755306"/>
    <w:rsid w:val="007711FA"/>
    <w:rsid w:val="00786278"/>
    <w:rsid w:val="007A06E9"/>
    <w:rsid w:val="007A2552"/>
    <w:rsid w:val="007A3364"/>
    <w:rsid w:val="007A6003"/>
    <w:rsid w:val="007B18EE"/>
    <w:rsid w:val="007B5C91"/>
    <w:rsid w:val="007B6DE4"/>
    <w:rsid w:val="007B70B4"/>
    <w:rsid w:val="007C062F"/>
    <w:rsid w:val="007D02BE"/>
    <w:rsid w:val="007D0F9E"/>
    <w:rsid w:val="007F0B1F"/>
    <w:rsid w:val="007F27EB"/>
    <w:rsid w:val="007F43A8"/>
    <w:rsid w:val="008018ED"/>
    <w:rsid w:val="00803B31"/>
    <w:rsid w:val="008045C6"/>
    <w:rsid w:val="0080796D"/>
    <w:rsid w:val="00812F55"/>
    <w:rsid w:val="008153A2"/>
    <w:rsid w:val="00823AC7"/>
    <w:rsid w:val="00827011"/>
    <w:rsid w:val="0083262F"/>
    <w:rsid w:val="0086001F"/>
    <w:rsid w:val="00883B9E"/>
    <w:rsid w:val="008971A7"/>
    <w:rsid w:val="008A2AD7"/>
    <w:rsid w:val="008C4114"/>
    <w:rsid w:val="008E4105"/>
    <w:rsid w:val="008F031D"/>
    <w:rsid w:val="00900A60"/>
    <w:rsid w:val="009036F8"/>
    <w:rsid w:val="00906956"/>
    <w:rsid w:val="009107FF"/>
    <w:rsid w:val="0091533F"/>
    <w:rsid w:val="0092200A"/>
    <w:rsid w:val="00932616"/>
    <w:rsid w:val="00936D45"/>
    <w:rsid w:val="009654B7"/>
    <w:rsid w:val="00970803"/>
    <w:rsid w:val="00970B53"/>
    <w:rsid w:val="00973D6F"/>
    <w:rsid w:val="00990449"/>
    <w:rsid w:val="009A5CAC"/>
    <w:rsid w:val="009B053B"/>
    <w:rsid w:val="009D133E"/>
    <w:rsid w:val="009D5592"/>
    <w:rsid w:val="009D5C3F"/>
    <w:rsid w:val="009E69AE"/>
    <w:rsid w:val="009F4B08"/>
    <w:rsid w:val="009F6D73"/>
    <w:rsid w:val="00A066A5"/>
    <w:rsid w:val="00A06DCF"/>
    <w:rsid w:val="00A111D3"/>
    <w:rsid w:val="00A343F8"/>
    <w:rsid w:val="00A37284"/>
    <w:rsid w:val="00A3730D"/>
    <w:rsid w:val="00A460F4"/>
    <w:rsid w:val="00A60AD7"/>
    <w:rsid w:val="00A63FA3"/>
    <w:rsid w:val="00A73D5F"/>
    <w:rsid w:val="00A81C4E"/>
    <w:rsid w:val="00A96FD2"/>
    <w:rsid w:val="00AB0804"/>
    <w:rsid w:val="00AB7D3C"/>
    <w:rsid w:val="00AC3B42"/>
    <w:rsid w:val="00AC5314"/>
    <w:rsid w:val="00AD0F9A"/>
    <w:rsid w:val="00AD0FED"/>
    <w:rsid w:val="00AD4BAB"/>
    <w:rsid w:val="00AE237D"/>
    <w:rsid w:val="00AF1886"/>
    <w:rsid w:val="00AF5A22"/>
    <w:rsid w:val="00AF66DD"/>
    <w:rsid w:val="00B131EB"/>
    <w:rsid w:val="00B14758"/>
    <w:rsid w:val="00B228F2"/>
    <w:rsid w:val="00B340E6"/>
    <w:rsid w:val="00B35AC6"/>
    <w:rsid w:val="00B45EF2"/>
    <w:rsid w:val="00B57DE1"/>
    <w:rsid w:val="00B7762B"/>
    <w:rsid w:val="00B933DE"/>
    <w:rsid w:val="00B94FA0"/>
    <w:rsid w:val="00BC2EF8"/>
    <w:rsid w:val="00BC61BA"/>
    <w:rsid w:val="00BD4B42"/>
    <w:rsid w:val="00BD6400"/>
    <w:rsid w:val="00BE4CD6"/>
    <w:rsid w:val="00BE6527"/>
    <w:rsid w:val="00BF4770"/>
    <w:rsid w:val="00C05C51"/>
    <w:rsid w:val="00C51304"/>
    <w:rsid w:val="00C63EB1"/>
    <w:rsid w:val="00C7742A"/>
    <w:rsid w:val="00CA2374"/>
    <w:rsid w:val="00CB1528"/>
    <w:rsid w:val="00CB6ADE"/>
    <w:rsid w:val="00CC708A"/>
    <w:rsid w:val="00CC7720"/>
    <w:rsid w:val="00D03E0C"/>
    <w:rsid w:val="00D07221"/>
    <w:rsid w:val="00D121EA"/>
    <w:rsid w:val="00D225CA"/>
    <w:rsid w:val="00D32F4B"/>
    <w:rsid w:val="00D336FE"/>
    <w:rsid w:val="00D43F90"/>
    <w:rsid w:val="00D47D17"/>
    <w:rsid w:val="00D52888"/>
    <w:rsid w:val="00D804C6"/>
    <w:rsid w:val="00DA22B5"/>
    <w:rsid w:val="00DB4787"/>
    <w:rsid w:val="00DB689E"/>
    <w:rsid w:val="00DC2C50"/>
    <w:rsid w:val="00DC3C4B"/>
    <w:rsid w:val="00DC5BC8"/>
    <w:rsid w:val="00DD1268"/>
    <w:rsid w:val="00DD45B1"/>
    <w:rsid w:val="00DD7B69"/>
    <w:rsid w:val="00DE2350"/>
    <w:rsid w:val="00DF45EE"/>
    <w:rsid w:val="00E11FC9"/>
    <w:rsid w:val="00E20ACF"/>
    <w:rsid w:val="00E20F38"/>
    <w:rsid w:val="00E22DC2"/>
    <w:rsid w:val="00E361A8"/>
    <w:rsid w:val="00E479DE"/>
    <w:rsid w:val="00E6384B"/>
    <w:rsid w:val="00E6583E"/>
    <w:rsid w:val="00E72ACD"/>
    <w:rsid w:val="00E76600"/>
    <w:rsid w:val="00E9329D"/>
    <w:rsid w:val="00EA38B7"/>
    <w:rsid w:val="00EA39EE"/>
    <w:rsid w:val="00ED2B36"/>
    <w:rsid w:val="00ED4E21"/>
    <w:rsid w:val="00EE1537"/>
    <w:rsid w:val="00EE74AB"/>
    <w:rsid w:val="00F40422"/>
    <w:rsid w:val="00F42D02"/>
    <w:rsid w:val="00F4649E"/>
    <w:rsid w:val="00F511EA"/>
    <w:rsid w:val="00F62F5E"/>
    <w:rsid w:val="00F70483"/>
    <w:rsid w:val="00F75EF8"/>
    <w:rsid w:val="00F83F56"/>
    <w:rsid w:val="00F83F5F"/>
    <w:rsid w:val="00F85351"/>
    <w:rsid w:val="00FC3E17"/>
    <w:rsid w:val="00FC6C58"/>
    <w:rsid w:val="00FD2440"/>
    <w:rsid w:val="00FF0A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zubkova\Desktop\Pretcikliska_rezerve_julijs\Lemums\PKR%20orientieris%20FKT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912539591711729E-2"/>
          <c:y val="3.8141014711703683E-2"/>
          <c:w val="0.87769395104682446"/>
          <c:h val="0.65335916987028853"/>
        </c:manualLayout>
      </c:layout>
      <c:barChart>
        <c:barDir val="col"/>
        <c:grouping val="clustered"/>
        <c:varyColors val="0"/>
        <c:ser>
          <c:idx val="4"/>
          <c:order val="3"/>
          <c:tx>
            <c:v>PKR Orientieris, % no RSA (labā ass)</c:v>
          </c:tx>
          <c:spPr>
            <a:solidFill>
              <a:schemeClr val="accent2">
                <a:lumMod val="40000"/>
                <a:lumOff val="60000"/>
              </a:schemeClr>
            </a:solidFill>
            <a:ln>
              <a:noFill/>
            </a:ln>
          </c:spPr>
          <c:invertIfNegative val="0"/>
          <c:cat>
            <c:numRef>
              <c:f>'Papildu novirze'!$A$3:$A$83</c:f>
              <c:numCache>
                <c:formatCode>mm\ yyyy</c:formatCode>
                <c:ptCount val="81"/>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numCache>
            </c:numRef>
          </c:cat>
          <c:val>
            <c:numRef>
              <c:f>'Papildu novirze'!$F$3:$F$83</c:f>
              <c:numCache>
                <c:formatCode>General</c:formatCode>
                <c:ptCount val="81"/>
                <c:pt idx="12" formatCode="0.00">
                  <c:v>0</c:v>
                </c:pt>
                <c:pt idx="13" formatCode="0.00">
                  <c:v>0</c:v>
                </c:pt>
                <c:pt idx="14" formatCode="0.00">
                  <c:v>0</c:v>
                </c:pt>
                <c:pt idx="15" formatCode="0.00">
                  <c:v>0</c:v>
                </c:pt>
                <c:pt idx="16" formatCode="0.00">
                  <c:v>0</c:v>
                </c:pt>
                <c:pt idx="17" formatCode="0.00">
                  <c:v>0</c:v>
                </c:pt>
                <c:pt idx="18" formatCode="0.00">
                  <c:v>0</c:v>
                </c:pt>
                <c:pt idx="19" formatCode="0.00">
                  <c:v>0</c:v>
                </c:pt>
                <c:pt idx="20" formatCode="0.00">
                  <c:v>0</c:v>
                </c:pt>
                <c:pt idx="21" formatCode="0.00">
                  <c:v>0</c:v>
                </c:pt>
                <c:pt idx="22" formatCode="0.00">
                  <c:v>0</c:v>
                </c:pt>
                <c:pt idx="23" formatCode="0.00">
                  <c:v>0</c:v>
                </c:pt>
                <c:pt idx="24" formatCode="0.00">
                  <c:v>0</c:v>
                </c:pt>
                <c:pt idx="25" formatCode="0.00">
                  <c:v>0</c:v>
                </c:pt>
                <c:pt idx="26" formatCode="0.00">
                  <c:v>0</c:v>
                </c:pt>
                <c:pt idx="27" formatCode="0.00">
                  <c:v>0.21495825096275623</c:v>
                </c:pt>
                <c:pt idx="28" formatCode="0.00">
                  <c:v>0.4049886271317813</c:v>
                </c:pt>
                <c:pt idx="29" formatCode="0.00">
                  <c:v>0.6040249034662688</c:v>
                </c:pt>
                <c:pt idx="30" formatCode="0.00">
                  <c:v>0.83965585928592823</c:v>
                </c:pt>
                <c:pt idx="31" formatCode="0.00">
                  <c:v>0.85639370777899382</c:v>
                </c:pt>
                <c:pt idx="32" formatCode="0.00">
                  <c:v>0.96963538651604364</c:v>
                </c:pt>
                <c:pt idx="33" formatCode="0.00">
                  <c:v>1.3424436894957092</c:v>
                </c:pt>
                <c:pt idx="34" formatCode="0.00">
                  <c:v>1.6128858503368533</c:v>
                </c:pt>
                <c:pt idx="35" formatCode="0.00">
                  <c:v>2.0593837567059281</c:v>
                </c:pt>
                <c:pt idx="36" formatCode="0.00">
                  <c:v>2.0224956928033406</c:v>
                </c:pt>
                <c:pt idx="37" formatCode="0.00">
                  <c:v>2.4629667687000438</c:v>
                </c:pt>
                <c:pt idx="38" formatCode="0.00">
                  <c:v>2.5</c:v>
                </c:pt>
                <c:pt idx="39" formatCode="0.00">
                  <c:v>2.5</c:v>
                </c:pt>
                <c:pt idx="40" formatCode="0.00">
                  <c:v>2.5</c:v>
                </c:pt>
                <c:pt idx="41" formatCode="0.00">
                  <c:v>2.43025117483745</c:v>
                </c:pt>
                <c:pt idx="42" formatCode="0.00">
                  <c:v>1.547819938247128</c:v>
                </c:pt>
                <c:pt idx="43" formatCode="0.00">
                  <c:v>0.55139785330480939</c:v>
                </c:pt>
                <c:pt idx="44" formatCode="0.00">
                  <c:v>0</c:v>
                </c:pt>
                <c:pt idx="45" formatCode="0.00">
                  <c:v>0</c:v>
                </c:pt>
                <c:pt idx="46" formatCode="0.00">
                  <c:v>0</c:v>
                </c:pt>
                <c:pt idx="47" formatCode="0.00">
                  <c:v>0</c:v>
                </c:pt>
                <c:pt idx="48" formatCode="0.00">
                  <c:v>0</c:v>
                </c:pt>
                <c:pt idx="49" formatCode="0.00">
                  <c:v>0</c:v>
                </c:pt>
                <c:pt idx="50" formatCode="0.00">
                  <c:v>0.62502833836171856</c:v>
                </c:pt>
                <c:pt idx="51" formatCode="0.00">
                  <c:v>1.2198303849296313</c:v>
                </c:pt>
                <c:pt idx="52" formatCode="0.00">
                  <c:v>1.0698163284774218</c:v>
                </c:pt>
                <c:pt idx="53" formatCode="0.00">
                  <c:v>0.56000870115297174</c:v>
                </c:pt>
                <c:pt idx="54" formatCode="0.00">
                  <c:v>0</c:v>
                </c:pt>
                <c:pt idx="55" formatCode="0.00">
                  <c:v>0</c:v>
                </c:pt>
                <c:pt idx="56" formatCode="0.00">
                  <c:v>0</c:v>
                </c:pt>
                <c:pt idx="57" formatCode="0.00">
                  <c:v>0</c:v>
                </c:pt>
                <c:pt idx="58" formatCode="0.00">
                  <c:v>0</c:v>
                </c:pt>
                <c:pt idx="59" formatCode="0.00">
                  <c:v>0</c:v>
                </c:pt>
                <c:pt idx="60" formatCode="0.00">
                  <c:v>0</c:v>
                </c:pt>
                <c:pt idx="61" formatCode="0.00">
                  <c:v>0</c:v>
                </c:pt>
                <c:pt idx="62" formatCode="0.00">
                  <c:v>0</c:v>
                </c:pt>
                <c:pt idx="63" formatCode="0.00">
                  <c:v>0</c:v>
                </c:pt>
                <c:pt idx="64" formatCode="0.00">
                  <c:v>0</c:v>
                </c:pt>
                <c:pt idx="65" formatCode="0.00">
                  <c:v>0</c:v>
                </c:pt>
                <c:pt idx="66" formatCode="0.00">
                  <c:v>0</c:v>
                </c:pt>
                <c:pt idx="67" formatCode="0.00">
                  <c:v>0</c:v>
                </c:pt>
                <c:pt idx="68" formatCode="0.00">
                  <c:v>0</c:v>
                </c:pt>
                <c:pt idx="69" formatCode="0.00">
                  <c:v>0</c:v>
                </c:pt>
                <c:pt idx="70" formatCode="0.00">
                  <c:v>0</c:v>
                </c:pt>
                <c:pt idx="71" formatCode="0.00">
                  <c:v>0</c:v>
                </c:pt>
                <c:pt idx="72" formatCode="0.00">
                  <c:v>0</c:v>
                </c:pt>
                <c:pt idx="73" formatCode="0.00">
                  <c:v>0</c:v>
                </c:pt>
                <c:pt idx="74" formatCode="0.00">
                  <c:v>0</c:v>
                </c:pt>
                <c:pt idx="75" formatCode="0.00">
                  <c:v>0</c:v>
                </c:pt>
                <c:pt idx="76" formatCode="0.00">
                  <c:v>0</c:v>
                </c:pt>
                <c:pt idx="77" formatCode="0.00">
                  <c:v>0</c:v>
                </c:pt>
                <c:pt idx="78" formatCode="0.00">
                  <c:v>0</c:v>
                </c:pt>
                <c:pt idx="79" formatCode="0.00">
                  <c:v>0</c:v>
                </c:pt>
                <c:pt idx="80" formatCode="0.00">
                  <c:v>0</c:v>
                </c:pt>
              </c:numCache>
            </c:numRef>
          </c:val>
          <c:extLst xmlns:c16r2="http://schemas.microsoft.com/office/drawing/2015/06/chart">
            <c:ext xmlns:c16="http://schemas.microsoft.com/office/drawing/2014/chart" uri="{C3380CC4-5D6E-409C-BE32-E72D297353CC}">
              <c16:uniqueId val="{00000000-A514-41F4-99A7-4BB0EAB3BE85}"/>
            </c:ext>
          </c:extLst>
        </c:ser>
        <c:dLbls>
          <c:showLegendKey val="0"/>
          <c:showVal val="0"/>
          <c:showCatName val="0"/>
          <c:showSerName val="0"/>
          <c:showPercent val="0"/>
          <c:showBubbleSize val="0"/>
        </c:dLbls>
        <c:gapWidth val="0"/>
        <c:axId val="39328000"/>
        <c:axId val="39326464"/>
      </c:barChart>
      <c:lineChart>
        <c:grouping val="standard"/>
        <c:varyColors val="0"/>
        <c:ser>
          <c:idx val="0"/>
          <c:order val="0"/>
          <c:tx>
            <c:strRef>
              <c:f>'Papildu novirze'!$B$1</c:f>
              <c:strCache>
                <c:ptCount val="1"/>
                <c:pt idx="0">
                  <c:v>Kredīti/IKP attiecība, %</c:v>
                </c:pt>
              </c:strCache>
            </c:strRef>
          </c:tx>
          <c:spPr>
            <a:ln w="38100">
              <a:solidFill>
                <a:srgbClr val="002060"/>
              </a:solidFill>
            </a:ln>
          </c:spPr>
          <c:marker>
            <c:symbol val="none"/>
          </c:marker>
          <c:cat>
            <c:numRef>
              <c:f>'Papildu novirze'!$A$3:$A$83</c:f>
              <c:numCache>
                <c:formatCode>mm\ yyyy</c:formatCode>
                <c:ptCount val="81"/>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numCache>
            </c:numRef>
          </c:cat>
          <c:val>
            <c:numRef>
              <c:f>'Papildu novirze'!$B$3:$B$83</c:f>
              <c:numCache>
                <c:formatCode>_ * #,##0_ ;_ * \-#,##0_ ;_ * "-"??_ ;_ @_ </c:formatCode>
                <c:ptCount val="81"/>
                <c:pt idx="0">
                  <c:v>6.1990109229118042</c:v>
                </c:pt>
                <c:pt idx="1">
                  <c:v>6.7136105859417858</c:v>
                </c:pt>
                <c:pt idx="2">
                  <c:v>7.7116079911990836</c:v>
                </c:pt>
                <c:pt idx="3">
                  <c:v>8.7299444244569155</c:v>
                </c:pt>
                <c:pt idx="4">
                  <c:v>9.9211257858857032</c:v>
                </c:pt>
                <c:pt idx="5">
                  <c:v>11.262297693800253</c:v>
                </c:pt>
                <c:pt idx="6">
                  <c:v>12.418648620263387</c:v>
                </c:pt>
                <c:pt idx="7">
                  <c:v>12.376759393208598</c:v>
                </c:pt>
                <c:pt idx="8">
                  <c:v>12.6467349734432</c:v>
                </c:pt>
                <c:pt idx="9">
                  <c:v>12.6072271086597</c:v>
                </c:pt>
                <c:pt idx="10">
                  <c:v>12.870442994238299</c:v>
                </c:pt>
                <c:pt idx="11">
                  <c:v>13.6842049511091</c:v>
                </c:pt>
                <c:pt idx="12">
                  <c:v>14.2744061013025</c:v>
                </c:pt>
                <c:pt idx="13">
                  <c:v>14.5203537971767</c:v>
                </c:pt>
                <c:pt idx="14">
                  <c:v>15.3384962120211</c:v>
                </c:pt>
                <c:pt idx="15">
                  <c:v>16.607441122149101</c:v>
                </c:pt>
                <c:pt idx="16">
                  <c:v>17.866730385570101</c:v>
                </c:pt>
                <c:pt idx="17">
                  <c:v>18.578157762357201</c:v>
                </c:pt>
                <c:pt idx="18">
                  <c:v>19.570511933796499</c:v>
                </c:pt>
                <c:pt idx="19">
                  <c:v>20.7801917155175</c:v>
                </c:pt>
                <c:pt idx="20">
                  <c:v>21.586303922384602</c:v>
                </c:pt>
                <c:pt idx="21">
                  <c:v>22.160649906980101</c:v>
                </c:pt>
                <c:pt idx="22">
                  <c:v>23.494233865879298</c:v>
                </c:pt>
                <c:pt idx="23">
                  <c:v>25.275182820156999</c:v>
                </c:pt>
                <c:pt idx="24">
                  <c:v>26.787521412419999</c:v>
                </c:pt>
                <c:pt idx="25">
                  <c:v>28.3196923186734</c:v>
                </c:pt>
                <c:pt idx="26">
                  <c:v>30.025228288834299</c:v>
                </c:pt>
                <c:pt idx="27">
                  <c:v>32.346748673195897</c:v>
                </c:pt>
                <c:pt idx="28">
                  <c:v>34.687349671962302</c:v>
                </c:pt>
                <c:pt idx="29">
                  <c:v>37.203384887360997</c:v>
                </c:pt>
                <c:pt idx="30">
                  <c:v>40.001100161308401</c:v>
                </c:pt>
                <c:pt idx="31">
                  <c:v>42.1273977658795</c:v>
                </c:pt>
                <c:pt idx="32">
                  <c:v>44.644765214358799</c:v>
                </c:pt>
                <c:pt idx="33">
                  <c:v>48.213810055684</c:v>
                </c:pt>
                <c:pt idx="34">
                  <c:v>51.617155804346098</c:v>
                </c:pt>
                <c:pt idx="35">
                  <c:v>55.830116913518403</c:v>
                </c:pt>
                <c:pt idx="36">
                  <c:v>58.502549346305301</c:v>
                </c:pt>
                <c:pt idx="37">
                  <c:v>62.930748751435203</c:v>
                </c:pt>
                <c:pt idx="38">
                  <c:v>67.704598581492206</c:v>
                </c:pt>
                <c:pt idx="39">
                  <c:v>72.812573796836304</c:v>
                </c:pt>
                <c:pt idx="40">
                  <c:v>74.913802316730198</c:v>
                </c:pt>
                <c:pt idx="41">
                  <c:v>76.090264667411006</c:v>
                </c:pt>
                <c:pt idx="42">
                  <c:v>76.074987779717603</c:v>
                </c:pt>
                <c:pt idx="43">
                  <c:v>75.324170439018005</c:v>
                </c:pt>
                <c:pt idx="44">
                  <c:v>75.190018001601203</c:v>
                </c:pt>
                <c:pt idx="45">
                  <c:v>75.973026005946394</c:v>
                </c:pt>
                <c:pt idx="46">
                  <c:v>77.145115807575195</c:v>
                </c:pt>
                <c:pt idx="47">
                  <c:v>77.663001204086797</c:v>
                </c:pt>
                <c:pt idx="48">
                  <c:v>80.109410286006394</c:v>
                </c:pt>
                <c:pt idx="49">
                  <c:v>84.218001172310807</c:v>
                </c:pt>
                <c:pt idx="50">
                  <c:v>89.866488116145305</c:v>
                </c:pt>
                <c:pt idx="51">
                  <c:v>94.365164969846901</c:v>
                </c:pt>
                <c:pt idx="52">
                  <c:v>96.442791141507101</c:v>
                </c:pt>
                <c:pt idx="53">
                  <c:v>97.222940642061602</c:v>
                </c:pt>
                <c:pt idx="54">
                  <c:v>95.642105077069402</c:v>
                </c:pt>
                <c:pt idx="55">
                  <c:v>91.257678646658405</c:v>
                </c:pt>
                <c:pt idx="56">
                  <c:v>87.278825767474899</c:v>
                </c:pt>
                <c:pt idx="57">
                  <c:v>82.833491128921807</c:v>
                </c:pt>
                <c:pt idx="58">
                  <c:v>79.510902606610998</c:v>
                </c:pt>
                <c:pt idx="59">
                  <c:v>74.470492145475603</c:v>
                </c:pt>
                <c:pt idx="60">
                  <c:v>68.572083750973107</c:v>
                </c:pt>
                <c:pt idx="61">
                  <c:v>64.959203822072993</c:v>
                </c:pt>
                <c:pt idx="62">
                  <c:v>63.590153591677897</c:v>
                </c:pt>
                <c:pt idx="63">
                  <c:v>60.953681630605303</c:v>
                </c:pt>
                <c:pt idx="64">
                  <c:v>59.460485609168899</c:v>
                </c:pt>
                <c:pt idx="65">
                  <c:v>57.376344161095801</c:v>
                </c:pt>
                <c:pt idx="66">
                  <c:v>55.859702169687303</c:v>
                </c:pt>
                <c:pt idx="67">
                  <c:v>54.4784869986008</c:v>
                </c:pt>
                <c:pt idx="68">
                  <c:v>51.4107754102033</c:v>
                </c:pt>
                <c:pt idx="69">
                  <c:v>50.175080108390901</c:v>
                </c:pt>
                <c:pt idx="70">
                  <c:v>49.695628377452501</c:v>
                </c:pt>
                <c:pt idx="71">
                  <c:v>47.916697101064301</c:v>
                </c:pt>
                <c:pt idx="72">
                  <c:v>47.355394724117502</c:v>
                </c:pt>
                <c:pt idx="73">
                  <c:v>46.551935917364297</c:v>
                </c:pt>
                <c:pt idx="74">
                  <c:v>45.967526844435199</c:v>
                </c:pt>
                <c:pt idx="75">
                  <c:v>44.903343265785502</c:v>
                </c:pt>
                <c:pt idx="76">
                  <c:v>44.074445389582898</c:v>
                </c:pt>
                <c:pt idx="77">
                  <c:v>44.407442385376399</c:v>
                </c:pt>
                <c:pt idx="78">
                  <c:v>44.460517155015097</c:v>
                </c:pt>
                <c:pt idx="79">
                  <c:v>43.942710472591102</c:v>
                </c:pt>
                <c:pt idx="80">
                  <c:v>43.667224891132498</c:v>
                </c:pt>
              </c:numCache>
            </c:numRef>
          </c:val>
          <c:smooth val="0"/>
          <c:extLst xmlns:c16r2="http://schemas.microsoft.com/office/drawing/2015/06/chart">
            <c:ext xmlns:c16="http://schemas.microsoft.com/office/drawing/2014/chart" uri="{C3380CC4-5D6E-409C-BE32-E72D297353CC}">
              <c16:uniqueId val="{00000001-A514-41F4-99A7-4BB0EAB3BE85}"/>
            </c:ext>
          </c:extLst>
        </c:ser>
        <c:ser>
          <c:idx val="1"/>
          <c:order val="1"/>
          <c:tx>
            <c:strRef>
              <c:f>'Papildu novirze'!$C$1</c:f>
              <c:strCache>
                <c:ptCount val="1"/>
                <c:pt idx="0">
                  <c:v>Kredīti/IKP tendence, %</c:v>
                </c:pt>
              </c:strCache>
            </c:strRef>
          </c:tx>
          <c:spPr>
            <a:ln w="38100">
              <a:solidFill>
                <a:srgbClr val="C00000"/>
              </a:solidFill>
            </a:ln>
          </c:spPr>
          <c:marker>
            <c:symbol val="none"/>
          </c:marker>
          <c:cat>
            <c:numRef>
              <c:f>'Papildu novirze'!$A$3:$A$83</c:f>
              <c:numCache>
                <c:formatCode>mm\ yyyy</c:formatCode>
                <c:ptCount val="81"/>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numCache>
            </c:numRef>
          </c:cat>
          <c:val>
            <c:numRef>
              <c:f>'Papildu novirze'!$C$3:$C$83</c:f>
              <c:numCache>
                <c:formatCode>General</c:formatCode>
                <c:ptCount val="81"/>
                <c:pt idx="12" formatCode="#,##0">
                  <c:v>14.083068002445501</c:v>
                </c:pt>
                <c:pt idx="13" formatCode="#,##0">
                  <c:v>14.5184239324508</c:v>
                </c:pt>
                <c:pt idx="14" formatCode="#,##0">
                  <c:v>15.131572457389099</c:v>
                </c:pt>
                <c:pt idx="15" formatCode="#,##0">
                  <c:v>16.023722778409699</c:v>
                </c:pt>
                <c:pt idx="16" formatCode="#,##0">
                  <c:v>17.067550745620299</c:v>
                </c:pt>
                <c:pt idx="17" formatCode="#,##0">
                  <c:v>18.0110858379348</c:v>
                </c:pt>
                <c:pt idx="18" formatCode="#,##0">
                  <c:v>18.978756470857199</c:v>
                </c:pt>
                <c:pt idx="19" formatCode="#,##0">
                  <c:v>20.025393524615399</c:v>
                </c:pt>
                <c:pt idx="20" formatCode="#,##0">
                  <c:v>21.0142570386693</c:v>
                </c:pt>
                <c:pt idx="21" formatCode="#,##0">
                  <c:v>21.901976851692599</c:v>
                </c:pt>
                <c:pt idx="22" formatCode="#,##0">
                  <c:v>22.8996361835577</c:v>
                </c:pt>
                <c:pt idx="23" formatCode="#,##0">
                  <c:v>24.080288691438</c:v>
                </c:pt>
                <c:pt idx="24" formatCode="#,##0">
                  <c:v>25.340372971711101</c:v>
                </c:pt>
                <c:pt idx="25" formatCode="#,##0">
                  <c:v>26.664712383397099</c:v>
                </c:pt>
                <c:pt idx="26" formatCode="#,##0">
                  <c:v>28.072137567273799</c:v>
                </c:pt>
                <c:pt idx="27" formatCode="#,##0">
                  <c:v>29.6588822701151</c:v>
                </c:pt>
                <c:pt idx="28" formatCode="#,##0">
                  <c:v>31.391386065140601</c:v>
                </c:pt>
                <c:pt idx="29" formatCode="#,##0">
                  <c:v>33.270505196268999</c:v>
                </c:pt>
                <c:pt idx="30" formatCode="#,##0">
                  <c:v>35.314201411593501</c:v>
                </c:pt>
                <c:pt idx="31" formatCode="#,##0">
                  <c:v>37.386937900986801</c:v>
                </c:pt>
                <c:pt idx="32" formatCode="#,##0">
                  <c:v>39.541931977507403</c:v>
                </c:pt>
                <c:pt idx="33" formatCode="#,##0">
                  <c:v>41.917990249297802</c:v>
                </c:pt>
                <c:pt idx="34" formatCode="#,##0">
                  <c:v>44.455921083268201</c:v>
                </c:pt>
                <c:pt idx="35" formatCode="#,##0">
                  <c:v>47.240088892059397</c:v>
                </c:pt>
                <c:pt idx="36" formatCode="#,##0">
                  <c:v>50.030563129334602</c:v>
                </c:pt>
                <c:pt idx="37" formatCode="#,##0">
                  <c:v>53.0492550915951</c:v>
                </c:pt>
                <c:pt idx="38" formatCode="#,##0">
                  <c:v>56.306424392667601</c:v>
                </c:pt>
                <c:pt idx="39" formatCode="#,##0">
                  <c:v>59.809275184813501</c:v>
                </c:pt>
                <c:pt idx="40" formatCode="#,##0">
                  <c:v>63.174394720421297</c:v>
                </c:pt>
                <c:pt idx="41" formatCode="#,##0">
                  <c:v>66.313460907931201</c:v>
                </c:pt>
                <c:pt idx="42" formatCode="#,##0">
                  <c:v>69.1219639773268</c:v>
                </c:pt>
                <c:pt idx="43" formatCode="#,##0">
                  <c:v>71.559697308442594</c:v>
                </c:pt>
                <c:pt idx="44" formatCode="#,##0">
                  <c:v>73.7339889644701</c:v>
                </c:pt>
                <c:pt idx="45" formatCode="#,##0">
                  <c:v>75.768245938560298</c:v>
                </c:pt>
                <c:pt idx="46" formatCode="#,##0">
                  <c:v>77.716663937091099</c:v>
                </c:pt>
                <c:pt idx="47" formatCode="#,##0">
                  <c:v>79.524524589415705</c:v>
                </c:pt>
                <c:pt idx="48" formatCode="#,##0">
                  <c:v>81.3906389220151</c:v>
                </c:pt>
                <c:pt idx="49" formatCode="#,##0">
                  <c:v>83.464468625422796</c:v>
                </c:pt>
                <c:pt idx="50" formatCode="#,##0">
                  <c:v>85.866397433387803</c:v>
                </c:pt>
                <c:pt idx="51" formatCode="#,##0">
                  <c:v>88.461707738071993</c:v>
                </c:pt>
                <c:pt idx="52" formatCode="#,##0">
                  <c:v>91.019378890379301</c:v>
                </c:pt>
                <c:pt idx="53" formatCode="#,##0">
                  <c:v>93.430912798372006</c:v>
                </c:pt>
                <c:pt idx="54" formatCode="#,##0">
                  <c:v>95.509564417685198</c:v>
                </c:pt>
                <c:pt idx="55" formatCode="#,##0">
                  <c:v>97.051456481642305</c:v>
                </c:pt>
                <c:pt idx="56" formatCode="#,##0">
                  <c:v>98.135491276852505</c:v>
                </c:pt>
                <c:pt idx="57" formatCode="#,##0">
                  <c:v>98.762457922850899</c:v>
                </c:pt>
                <c:pt idx="58" formatCode="#,##0">
                  <c:v>99.058280597129595</c:v>
                </c:pt>
                <c:pt idx="59" formatCode="#,##0">
                  <c:v>98.916026816301297</c:v>
                </c:pt>
                <c:pt idx="60" formatCode="#,##0">
                  <c:v>98.304285124723904</c:v>
                </c:pt>
                <c:pt idx="61" formatCode="#,##0">
                  <c:v>97.431017952598197</c:v>
                </c:pt>
                <c:pt idx="62" formatCode="#,##0">
                  <c:v>96.482381754772604</c:v>
                </c:pt>
                <c:pt idx="63" formatCode="#,##0">
                  <c:v>95.371296240039598</c:v>
                </c:pt>
                <c:pt idx="64" formatCode="#,##0">
                  <c:v>94.191995510959103</c:v>
                </c:pt>
                <c:pt idx="65" formatCode="#,##0">
                  <c:v>92.907293230353901</c:v>
                </c:pt>
                <c:pt idx="66" formatCode="#,##0">
                  <c:v>91.564416277840905</c:v>
                </c:pt>
                <c:pt idx="67" formatCode="#,##0">
                  <c:v>90.176794868291196</c:v>
                </c:pt>
                <c:pt idx="68" formatCode="#,##0">
                  <c:v>88.631717540540393</c:v>
                </c:pt>
                <c:pt idx="69" formatCode="#,##0">
                  <c:v>87.063631533008902</c:v>
                </c:pt>
                <c:pt idx="70" formatCode="#,##0">
                  <c:v>85.524882520618803</c:v>
                </c:pt>
                <c:pt idx="71" formatCode="#,##0">
                  <c:v>83.927579227854906</c:v>
                </c:pt>
                <c:pt idx="72" formatCode="#,##0">
                  <c:v>82.355377171938599</c:v>
                </c:pt>
                <c:pt idx="73" formatCode="#,##0">
                  <c:v>80.791241399298798</c:v>
                </c:pt>
                <c:pt idx="74" formatCode="#,##0">
                  <c:v>79.2490141235658</c:v>
                </c:pt>
                <c:pt idx="75" formatCode="#,##0">
                  <c:v>77.697024891979396</c:v>
                </c:pt>
                <c:pt idx="76" formatCode="#,##0">
                  <c:v>76.1508934507427</c:v>
                </c:pt>
                <c:pt idx="77" formatCode="#,##0">
                  <c:v>74.683462077205803</c:v>
                </c:pt>
                <c:pt idx="78" formatCode="#,##0">
                  <c:v>73.273428664106206</c:v>
                </c:pt>
                <c:pt idx="79" formatCode="#,##0">
                  <c:v>71.882816026091206</c:v>
                </c:pt>
                <c:pt idx="80" formatCode="#,##0">
                  <c:v>70.525751055959105</c:v>
                </c:pt>
              </c:numCache>
            </c:numRef>
          </c:val>
          <c:smooth val="0"/>
          <c:extLst xmlns:c16r2="http://schemas.microsoft.com/office/drawing/2015/06/chart">
            <c:ext xmlns:c16="http://schemas.microsoft.com/office/drawing/2014/chart" uri="{C3380CC4-5D6E-409C-BE32-E72D297353CC}">
              <c16:uniqueId val="{00000002-A514-41F4-99A7-4BB0EAB3BE85}"/>
            </c:ext>
          </c:extLst>
        </c:ser>
        <c:ser>
          <c:idx val="2"/>
          <c:order val="2"/>
          <c:tx>
            <c:strRef>
              <c:f>'Papildu novirze'!$D$1</c:f>
              <c:strCache>
                <c:ptCount val="1"/>
                <c:pt idx="0">
                  <c:v>Novirze no tendences, pp</c:v>
                </c:pt>
              </c:strCache>
            </c:strRef>
          </c:tx>
          <c:spPr>
            <a:ln w="38100">
              <a:solidFill>
                <a:srgbClr val="FFC000"/>
              </a:solidFill>
            </a:ln>
          </c:spPr>
          <c:marker>
            <c:symbol val="none"/>
          </c:marker>
          <c:cat>
            <c:numRef>
              <c:f>'Papildu novirze'!$A$3:$A$83</c:f>
              <c:numCache>
                <c:formatCode>mm\ yyyy</c:formatCode>
                <c:ptCount val="81"/>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numCache>
            </c:numRef>
          </c:cat>
          <c:val>
            <c:numRef>
              <c:f>'Papildu novirze'!$D$3:$D$83</c:f>
              <c:numCache>
                <c:formatCode>General</c:formatCode>
                <c:ptCount val="81"/>
                <c:pt idx="12" formatCode="#,##0">
                  <c:v>0.191338098857047</c:v>
                </c:pt>
                <c:pt idx="13" formatCode="#,##0">
                  <c:v>1.9298647259464699E-3</c:v>
                </c:pt>
                <c:pt idx="14" formatCode="#,##0">
                  <c:v>0.20692375463208099</c:v>
                </c:pt>
                <c:pt idx="15" formatCode="#,##0">
                  <c:v>0.58371834373932396</c:v>
                </c:pt>
                <c:pt idx="16" formatCode="#,##0">
                  <c:v>0.79917963994974806</c:v>
                </c:pt>
                <c:pt idx="17" formatCode="#,##0">
                  <c:v>0.56707192442240295</c:v>
                </c:pt>
                <c:pt idx="18" formatCode="#,##0">
                  <c:v>0.59175546293930303</c:v>
                </c:pt>
                <c:pt idx="19" formatCode="#,##0">
                  <c:v>0.75479819090214995</c:v>
                </c:pt>
                <c:pt idx="20" formatCode="#,##0">
                  <c:v>0.57204688371530199</c:v>
                </c:pt>
                <c:pt idx="21" formatCode="#,##0">
                  <c:v>0.258673055287509</c:v>
                </c:pt>
                <c:pt idx="22" formatCode="#,##0">
                  <c:v>0.59459768232167298</c:v>
                </c:pt>
                <c:pt idx="23" formatCode="#,##0">
                  <c:v>1.19489412871907</c:v>
                </c:pt>
                <c:pt idx="24" formatCode="#,##0">
                  <c:v>1.4471484407089601</c:v>
                </c:pt>
                <c:pt idx="25" formatCode="#,##0">
                  <c:v>1.65497993527627</c:v>
                </c:pt>
                <c:pt idx="26" formatCode="#,##0">
                  <c:v>1.95309072156056</c:v>
                </c:pt>
                <c:pt idx="27" formatCode="#,##0">
                  <c:v>2.6878664030808199</c:v>
                </c:pt>
                <c:pt idx="28" formatCode="#,##0">
                  <c:v>3.2959636068217</c:v>
                </c:pt>
                <c:pt idx="29" formatCode="#,##0">
                  <c:v>3.9328796910920598</c:v>
                </c:pt>
                <c:pt idx="30" formatCode="#,##0">
                  <c:v>4.6868987497149703</c:v>
                </c:pt>
                <c:pt idx="31" formatCode="#,##0">
                  <c:v>4.74045986489278</c:v>
                </c:pt>
                <c:pt idx="32" formatCode="#,##0">
                  <c:v>5.1028332368513398</c:v>
                </c:pt>
                <c:pt idx="33" formatCode="#,##0">
                  <c:v>6.2958198063862696</c:v>
                </c:pt>
                <c:pt idx="34" formatCode="#,##0">
                  <c:v>7.1612347210779301</c:v>
                </c:pt>
                <c:pt idx="35" formatCode="#,##0">
                  <c:v>8.5900280214589699</c:v>
                </c:pt>
                <c:pt idx="36" formatCode="#,##0">
                  <c:v>8.4719862169706897</c:v>
                </c:pt>
                <c:pt idx="37" formatCode="#,##0">
                  <c:v>9.8814936598401406</c:v>
                </c:pt>
                <c:pt idx="38" formatCode="#,##0">
                  <c:v>11.3981741888246</c:v>
                </c:pt>
                <c:pt idx="39" formatCode="#,##0">
                  <c:v>13.0032986120228</c:v>
                </c:pt>
                <c:pt idx="40" formatCode="#,##0">
                  <c:v>11.739407596308901</c:v>
                </c:pt>
                <c:pt idx="41" formatCode="#,##0">
                  <c:v>9.77680375947984</c:v>
                </c:pt>
                <c:pt idx="42" formatCode="#,##0">
                  <c:v>6.9530238023908097</c:v>
                </c:pt>
                <c:pt idx="43" formatCode="#,##0">
                  <c:v>3.7644731305753898</c:v>
                </c:pt>
                <c:pt idx="44" formatCode="#,##0">
                  <c:v>1.4560290371311699</c:v>
                </c:pt>
                <c:pt idx="45" formatCode="#,##0">
                  <c:v>0.204780067386124</c:v>
                </c:pt>
                <c:pt idx="46" formatCode="#,##0">
                  <c:v>-0.57154812951593204</c:v>
                </c:pt>
                <c:pt idx="47" formatCode="#,##0">
                  <c:v>-1.8615233853288999</c:v>
                </c:pt>
                <c:pt idx="48" formatCode="#,##0">
                  <c:v>-1.28122863600869</c:v>
                </c:pt>
                <c:pt idx="49" formatCode="#,##0">
                  <c:v>0.75353254688795301</c:v>
                </c:pt>
                <c:pt idx="50" formatCode="#,##0">
                  <c:v>4.0000906827574996</c:v>
                </c:pt>
                <c:pt idx="51" formatCode="#,##0">
                  <c:v>5.9034572317748202</c:v>
                </c:pt>
                <c:pt idx="52" formatCode="#,##0">
                  <c:v>5.4234122511277496</c:v>
                </c:pt>
                <c:pt idx="53" formatCode="#,##0">
                  <c:v>3.7920278436895098</c:v>
                </c:pt>
                <c:pt idx="54" formatCode="#,##0">
                  <c:v>0.132540659384176</c:v>
                </c:pt>
                <c:pt idx="55" formatCode="#,##0">
                  <c:v>-5.7937778349839704</c:v>
                </c:pt>
                <c:pt idx="56" formatCode="#,##0">
                  <c:v>-10.856665509377599</c:v>
                </c:pt>
                <c:pt idx="57" formatCode="#,##0">
                  <c:v>-15.928966793929</c:v>
                </c:pt>
                <c:pt idx="58" formatCode="#,##0">
                  <c:v>-19.547377990518601</c:v>
                </c:pt>
                <c:pt idx="59" formatCode="#,##0">
                  <c:v>-24.445534670825701</c:v>
                </c:pt>
                <c:pt idx="60" formatCode="#,##0">
                  <c:v>-29.732201373750801</c:v>
                </c:pt>
                <c:pt idx="61" formatCode="#,##0">
                  <c:v>-32.471814130525097</c:v>
                </c:pt>
                <c:pt idx="62" formatCode="#,##0">
                  <c:v>-32.8922281630947</c:v>
                </c:pt>
                <c:pt idx="63" formatCode="#,##0">
                  <c:v>-34.417614609434303</c:v>
                </c:pt>
                <c:pt idx="64" formatCode="#,##0">
                  <c:v>-34.731509901790197</c:v>
                </c:pt>
                <c:pt idx="65" formatCode="#,##0">
                  <c:v>-35.530949069258099</c:v>
                </c:pt>
                <c:pt idx="66" formatCode="#,##0">
                  <c:v>-35.704714108153503</c:v>
                </c:pt>
                <c:pt idx="67" formatCode="#,##0">
                  <c:v>-35.698307869690403</c:v>
                </c:pt>
                <c:pt idx="68" formatCode="#,##0">
                  <c:v>-37.2209421303371</c:v>
                </c:pt>
                <c:pt idx="69" formatCode="#,##0">
                  <c:v>-36.888551424617901</c:v>
                </c:pt>
                <c:pt idx="70" formatCode="#,##0">
                  <c:v>-35.829254143166303</c:v>
                </c:pt>
                <c:pt idx="71" formatCode="#,##0">
                  <c:v>-36.010882126790499</c:v>
                </c:pt>
                <c:pt idx="72" formatCode="#,##0">
                  <c:v>-34.999982447821097</c:v>
                </c:pt>
                <c:pt idx="73" formatCode="#,##0">
                  <c:v>-34.239305481934402</c:v>
                </c:pt>
                <c:pt idx="74" formatCode="#,##0">
                  <c:v>-33.281487279130502</c:v>
                </c:pt>
                <c:pt idx="75" formatCode="#,##0">
                  <c:v>-32.793681626193901</c:v>
                </c:pt>
                <c:pt idx="76" formatCode="#,##0">
                  <c:v>-32.076448061159702</c:v>
                </c:pt>
                <c:pt idx="77" formatCode="#,##0">
                  <c:v>-30.276019691829301</c:v>
                </c:pt>
                <c:pt idx="78" formatCode="#,##0">
                  <c:v>-28.812911509090998</c:v>
                </c:pt>
                <c:pt idx="79" formatCode="#,##0">
                  <c:v>-27.9401055535001</c:v>
                </c:pt>
                <c:pt idx="80" formatCode="#,##0">
                  <c:v>-26.8585261648266</c:v>
                </c:pt>
              </c:numCache>
            </c:numRef>
          </c:val>
          <c:smooth val="0"/>
          <c:extLst xmlns:c16r2="http://schemas.microsoft.com/office/drawing/2015/06/chart">
            <c:ext xmlns:c16="http://schemas.microsoft.com/office/drawing/2014/chart" uri="{C3380CC4-5D6E-409C-BE32-E72D297353CC}">
              <c16:uniqueId val="{00000003-A514-41F4-99A7-4BB0EAB3BE85}"/>
            </c:ext>
          </c:extLst>
        </c:ser>
        <c:dLbls>
          <c:showLegendKey val="0"/>
          <c:showVal val="0"/>
          <c:showCatName val="0"/>
          <c:showSerName val="0"/>
          <c:showPercent val="0"/>
          <c:showBubbleSize val="0"/>
        </c:dLbls>
        <c:marker val="1"/>
        <c:smooth val="0"/>
        <c:axId val="45606400"/>
        <c:axId val="45607936"/>
      </c:lineChart>
      <c:dateAx>
        <c:axId val="45606400"/>
        <c:scaling>
          <c:orientation val="minMax"/>
        </c:scaling>
        <c:delete val="0"/>
        <c:axPos val="b"/>
        <c:majorGridlines>
          <c:spPr>
            <a:ln>
              <a:solidFill>
                <a:sysClr val="window" lastClr="FFFFFF">
                  <a:lumMod val="85000"/>
                </a:sysClr>
              </a:solidFill>
            </a:ln>
          </c:spPr>
        </c:majorGridlines>
        <c:numFmt formatCode="yyyy\ " sourceLinked="0"/>
        <c:majorTickMark val="out"/>
        <c:minorTickMark val="in"/>
        <c:tickLblPos val="low"/>
        <c:txPr>
          <a:bodyPr/>
          <a:lstStyle/>
          <a:p>
            <a:pPr>
              <a:defRPr sz="1100"/>
            </a:pPr>
            <a:endParaRPr lang="lv-LV"/>
          </a:p>
        </c:txPr>
        <c:crossAx val="45607936"/>
        <c:crosses val="autoZero"/>
        <c:auto val="1"/>
        <c:lblOffset val="100"/>
        <c:baseTimeUnit val="months"/>
        <c:majorUnit val="1"/>
        <c:majorTimeUnit val="years"/>
        <c:minorUnit val="4"/>
      </c:dateAx>
      <c:valAx>
        <c:axId val="45607936"/>
        <c:scaling>
          <c:orientation val="minMax"/>
          <c:max val="200"/>
          <c:min val="-100"/>
        </c:scaling>
        <c:delete val="0"/>
        <c:axPos val="l"/>
        <c:majorGridlines>
          <c:spPr>
            <a:ln>
              <a:solidFill>
                <a:schemeClr val="bg1">
                  <a:lumMod val="85000"/>
                </a:schemeClr>
              </a:solidFill>
            </a:ln>
          </c:spPr>
        </c:majorGridlines>
        <c:numFmt formatCode="#,##0" sourceLinked="0"/>
        <c:majorTickMark val="out"/>
        <c:minorTickMark val="none"/>
        <c:tickLblPos val="nextTo"/>
        <c:txPr>
          <a:bodyPr/>
          <a:lstStyle/>
          <a:p>
            <a:pPr>
              <a:defRPr sz="1100"/>
            </a:pPr>
            <a:endParaRPr lang="lv-LV"/>
          </a:p>
        </c:txPr>
        <c:crossAx val="45606400"/>
        <c:crosses val="autoZero"/>
        <c:crossBetween val="between"/>
      </c:valAx>
      <c:valAx>
        <c:axId val="39326464"/>
        <c:scaling>
          <c:orientation val="minMax"/>
          <c:max val="6"/>
        </c:scaling>
        <c:delete val="0"/>
        <c:axPos val="r"/>
        <c:numFmt formatCode="General" sourceLinked="1"/>
        <c:majorTickMark val="out"/>
        <c:minorTickMark val="none"/>
        <c:tickLblPos val="nextTo"/>
        <c:crossAx val="39328000"/>
        <c:crosses val="max"/>
        <c:crossBetween val="between"/>
      </c:valAx>
      <c:dateAx>
        <c:axId val="39328000"/>
        <c:scaling>
          <c:orientation val="minMax"/>
        </c:scaling>
        <c:delete val="1"/>
        <c:axPos val="b"/>
        <c:numFmt formatCode="mm\ yyyy" sourceLinked="1"/>
        <c:majorTickMark val="out"/>
        <c:minorTickMark val="none"/>
        <c:tickLblPos val="nextTo"/>
        <c:crossAx val="39326464"/>
        <c:crosses val="autoZero"/>
        <c:auto val="1"/>
        <c:lblOffset val="100"/>
        <c:baseTimeUnit val="months"/>
        <c:majorUnit val="1"/>
        <c:minorUnit val="1"/>
      </c:dateAx>
    </c:plotArea>
    <c:legend>
      <c:legendPos val="b"/>
      <c:layout>
        <c:manualLayout>
          <c:xMode val="edge"/>
          <c:yMode val="edge"/>
          <c:x val="1.3734475616341307E-2"/>
          <c:y val="0.87594582808811217"/>
          <c:w val="0.89999994627078983"/>
          <c:h val="3.7738997358872463E-2"/>
        </c:manualLayout>
      </c:layout>
      <c:overlay val="0"/>
      <c:txPr>
        <a:bodyPr/>
        <a:lstStyle/>
        <a:p>
          <a:pPr>
            <a:defRPr sz="1100"/>
          </a:pPr>
          <a:endParaRPr lang="lv-LV"/>
        </a:p>
      </c:txPr>
    </c:legend>
    <c:plotVisOnly val="1"/>
    <c:dispBlanksAs val="gap"/>
    <c:showDLblsOverMax val="0"/>
  </c:chart>
  <c:spPr>
    <a:ln>
      <a:noFill/>
    </a:ln>
  </c:spPr>
  <c:txPr>
    <a:bodyPr/>
    <a:lstStyle/>
    <a:p>
      <a:pPr>
        <a:defRPr sz="1200" b="1">
          <a:latin typeface="Times New Roman" pitchFamily="18" charset="0"/>
          <a:cs typeface="Times New Roman" pitchFamily="18" charset="0"/>
        </a:defRPr>
      </a:pPr>
      <a:endParaRPr lang="lv-LV"/>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0.38255</cdr:x>
      <cdr:y>0.03065</cdr:y>
    </cdr:from>
    <cdr:to>
      <cdr:x>0.65508</cdr:x>
      <cdr:y>0.11642</cdr:y>
    </cdr:to>
    <cdr:sp macro="" textlink="">
      <cdr:nvSpPr>
        <cdr:cNvPr id="2" name="TextBox 1"/>
        <cdr:cNvSpPr txBox="1"/>
      </cdr:nvSpPr>
      <cdr:spPr>
        <a:xfrm xmlns:a="http://schemas.openxmlformats.org/drawingml/2006/main">
          <a:off x="3559942" y="186286"/>
          <a:ext cx="2536058" cy="52128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lv-LV" sz="1600" b="1" cap="all" baseline="0">
              <a:latin typeface="Times New Roman" pitchFamily="18" charset="0"/>
              <a:cs typeface="Times New Roman" pitchFamily="18" charset="0"/>
            </a:rPr>
            <a:t>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16A42-FBCB-4EB7-9A77-B6030779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4</Pages>
  <Words>4966</Words>
  <Characters>2832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61</cp:revision>
  <cp:lastPrinted>2016-01-27T08:05:00Z</cp:lastPrinted>
  <dcterms:created xsi:type="dcterms:W3CDTF">2017-03-10T12:21:00Z</dcterms:created>
  <dcterms:modified xsi:type="dcterms:W3CDTF">2017-07-25T12:21:00Z</dcterms:modified>
</cp:coreProperties>
</file>