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3E5B" w:rsidRDefault="004D3E5B" w:rsidP="004D3E5B">
      <w:pPr>
        <w:pStyle w:val="NormalWeb"/>
        <w:shd w:val="clear" w:color="auto" w:fill="FFFFFF"/>
        <w:spacing w:before="0" w:beforeAutospacing="0" w:after="0" w:afterAutospacing="0"/>
        <w:rPr>
          <w:rStyle w:val="Strong"/>
          <w:rFonts w:ascii="Arial" w:hAnsi="Arial" w:cs="Arial"/>
          <w:color w:val="252525"/>
          <w:sz w:val="20"/>
          <w:szCs w:val="20"/>
        </w:rPr>
      </w:pPr>
      <w:bookmarkStart w:id="0" w:name="_GoBack"/>
      <w:bookmarkEnd w:id="0"/>
      <w:r w:rsidRPr="004D3E5B">
        <w:rPr>
          <w:rStyle w:val="Strong"/>
          <w:rFonts w:ascii="Arial" w:hAnsi="Arial" w:cs="Arial"/>
          <w:color w:val="252525"/>
          <w:sz w:val="20"/>
          <w:szCs w:val="20"/>
        </w:rPr>
        <w:t xml:space="preserve">29.04.2015. lēmums par </w:t>
      </w:r>
      <w:proofErr w:type="spellStart"/>
      <w:r w:rsidRPr="004D3E5B">
        <w:rPr>
          <w:rStyle w:val="Strong"/>
          <w:rFonts w:ascii="Arial" w:hAnsi="Arial" w:cs="Arial"/>
          <w:color w:val="252525"/>
          <w:sz w:val="20"/>
          <w:szCs w:val="20"/>
        </w:rPr>
        <w:t>Pretcikliskās</w:t>
      </w:r>
      <w:proofErr w:type="spellEnd"/>
      <w:r w:rsidRPr="004D3E5B">
        <w:rPr>
          <w:rStyle w:val="Strong"/>
          <w:rFonts w:ascii="Arial" w:hAnsi="Arial" w:cs="Arial"/>
          <w:color w:val="252525"/>
          <w:sz w:val="20"/>
          <w:szCs w:val="20"/>
        </w:rPr>
        <w:t xml:space="preserve"> kapitāla rezerves normas noteikšanu</w:t>
      </w:r>
    </w:p>
    <w:p w:rsidR="004D3E5B" w:rsidRPr="004D3E5B" w:rsidRDefault="004D3E5B" w:rsidP="004D3E5B">
      <w:pPr>
        <w:pStyle w:val="NormalWeb"/>
        <w:shd w:val="clear" w:color="auto" w:fill="FFFFFF"/>
        <w:spacing w:before="0" w:beforeAutospacing="0" w:after="0" w:afterAutospacing="0"/>
        <w:rPr>
          <w:rFonts w:ascii="Arial" w:hAnsi="Arial" w:cs="Arial"/>
          <w:color w:val="252525"/>
          <w:sz w:val="20"/>
          <w:szCs w:val="20"/>
        </w:rPr>
      </w:pPr>
    </w:p>
    <w:p w:rsidR="004D3E5B" w:rsidRPr="004D3E5B" w:rsidRDefault="004D3E5B" w:rsidP="004D3E5B">
      <w:pPr>
        <w:pStyle w:val="NormalWeb"/>
        <w:shd w:val="clear" w:color="auto" w:fill="FFFFFF"/>
        <w:spacing w:before="0" w:beforeAutospacing="0" w:after="0" w:afterAutospacing="0"/>
        <w:rPr>
          <w:rFonts w:ascii="Arial" w:hAnsi="Arial" w:cs="Arial"/>
          <w:color w:val="252525"/>
          <w:sz w:val="20"/>
          <w:szCs w:val="20"/>
        </w:rPr>
      </w:pPr>
      <w:proofErr w:type="spellStart"/>
      <w:r w:rsidRPr="004D3E5B">
        <w:rPr>
          <w:rFonts w:ascii="Arial" w:hAnsi="Arial" w:cs="Arial"/>
          <w:color w:val="252525"/>
          <w:sz w:val="20"/>
          <w:szCs w:val="20"/>
        </w:rPr>
        <w:t>Pretcikliskās</w:t>
      </w:r>
      <w:proofErr w:type="spellEnd"/>
      <w:r w:rsidRPr="004D3E5B">
        <w:rPr>
          <w:rFonts w:ascii="Arial" w:hAnsi="Arial" w:cs="Arial"/>
          <w:color w:val="252525"/>
          <w:sz w:val="20"/>
          <w:szCs w:val="20"/>
        </w:rPr>
        <w:t xml:space="preserve"> kapitāla rezerves (PKR) norma tiek noteikta</w:t>
      </w:r>
      <w:r w:rsidRPr="004D3E5B">
        <w:rPr>
          <w:rStyle w:val="apple-converted-space"/>
          <w:rFonts w:ascii="Arial" w:hAnsi="Arial" w:cs="Arial"/>
          <w:b/>
          <w:bCs/>
          <w:color w:val="252525"/>
          <w:sz w:val="20"/>
          <w:szCs w:val="20"/>
        </w:rPr>
        <w:t> </w:t>
      </w:r>
      <w:r w:rsidRPr="004D3E5B">
        <w:rPr>
          <w:rStyle w:val="Strong"/>
          <w:rFonts w:ascii="Arial" w:hAnsi="Arial" w:cs="Arial"/>
          <w:color w:val="252525"/>
          <w:sz w:val="20"/>
          <w:szCs w:val="20"/>
        </w:rPr>
        <w:t>0% apmērā</w:t>
      </w:r>
      <w:r w:rsidRPr="004D3E5B">
        <w:rPr>
          <w:rFonts w:ascii="Arial" w:hAnsi="Arial" w:cs="Arial"/>
          <w:color w:val="252525"/>
          <w:sz w:val="20"/>
          <w:szCs w:val="20"/>
        </w:rPr>
        <w:t xml:space="preserve">. Noteikto PKR normu kredītiestādei specifiskās </w:t>
      </w:r>
      <w:proofErr w:type="spellStart"/>
      <w:r w:rsidRPr="004D3E5B">
        <w:rPr>
          <w:rFonts w:ascii="Arial" w:hAnsi="Arial" w:cs="Arial"/>
          <w:color w:val="252525"/>
          <w:sz w:val="20"/>
          <w:szCs w:val="20"/>
        </w:rPr>
        <w:t>pretcikliskās</w:t>
      </w:r>
      <w:proofErr w:type="spellEnd"/>
      <w:r w:rsidRPr="004D3E5B">
        <w:rPr>
          <w:rFonts w:ascii="Arial" w:hAnsi="Arial" w:cs="Arial"/>
          <w:color w:val="252525"/>
          <w:sz w:val="20"/>
          <w:szCs w:val="20"/>
        </w:rPr>
        <w:t xml:space="preserve"> kapitāla rezerves aprēķinā izmanto</w:t>
      </w:r>
      <w:r w:rsidRPr="004D3E5B">
        <w:rPr>
          <w:rStyle w:val="apple-converted-space"/>
          <w:rFonts w:ascii="Arial" w:hAnsi="Arial" w:cs="Arial"/>
          <w:color w:val="252525"/>
          <w:sz w:val="20"/>
          <w:szCs w:val="20"/>
        </w:rPr>
        <w:t> </w:t>
      </w:r>
      <w:r w:rsidRPr="004D3E5B">
        <w:rPr>
          <w:rStyle w:val="Strong"/>
          <w:rFonts w:ascii="Arial" w:hAnsi="Arial" w:cs="Arial"/>
          <w:color w:val="252525"/>
          <w:sz w:val="20"/>
          <w:szCs w:val="20"/>
        </w:rPr>
        <w:t>no 2016. gada 1. maija</w:t>
      </w:r>
      <w:r w:rsidRPr="004D3E5B">
        <w:rPr>
          <w:rFonts w:ascii="Arial" w:hAnsi="Arial" w:cs="Arial"/>
          <w:color w:val="252525"/>
          <w:sz w:val="20"/>
          <w:szCs w:val="20"/>
        </w:rPr>
        <w:t>. Nākamo divu gadu laikā nepieciešamība paaugstināt PKR normu nav paredzama.</w:t>
      </w:r>
    </w:p>
    <w:p w:rsidR="004D3E5B" w:rsidRPr="004D3E5B" w:rsidRDefault="004D3E5B" w:rsidP="004D3E5B">
      <w:pPr>
        <w:pStyle w:val="NormalWeb"/>
        <w:shd w:val="clear" w:color="auto" w:fill="FFFFFF"/>
        <w:spacing w:before="0" w:beforeAutospacing="0" w:after="0" w:afterAutospacing="0"/>
        <w:rPr>
          <w:rFonts w:ascii="Arial" w:hAnsi="Arial" w:cs="Arial"/>
          <w:color w:val="252525"/>
          <w:sz w:val="20"/>
          <w:szCs w:val="20"/>
        </w:rPr>
      </w:pPr>
      <w:r w:rsidRPr="004D3E5B">
        <w:rPr>
          <w:rFonts w:ascii="Arial" w:hAnsi="Arial" w:cs="Arial"/>
          <w:color w:val="252525"/>
          <w:sz w:val="20"/>
          <w:szCs w:val="20"/>
        </w:rPr>
        <w:br/>
      </w:r>
      <w:r w:rsidRPr="004D3E5B">
        <w:rPr>
          <w:rStyle w:val="Strong"/>
          <w:rFonts w:ascii="Arial" w:hAnsi="Arial" w:cs="Arial"/>
          <w:color w:val="252525"/>
          <w:sz w:val="20"/>
          <w:szCs w:val="20"/>
        </w:rPr>
        <w:t>Pamatojums normas noteikšanai</w:t>
      </w:r>
      <w:r w:rsidRPr="004D3E5B">
        <w:rPr>
          <w:rFonts w:ascii="Arial" w:hAnsi="Arial" w:cs="Arial"/>
          <w:color w:val="252525"/>
          <w:sz w:val="20"/>
          <w:szCs w:val="20"/>
        </w:rPr>
        <w:br/>
        <w:t>1. Saskaņā ar Kredītiestāžu likuma 35</w:t>
      </w:r>
      <w:r w:rsidRPr="004D3E5B">
        <w:rPr>
          <w:rFonts w:ascii="Arial" w:hAnsi="Arial" w:cs="Arial"/>
          <w:color w:val="252525"/>
          <w:sz w:val="20"/>
          <w:szCs w:val="20"/>
          <w:vertAlign w:val="superscript"/>
        </w:rPr>
        <w:t>5</w:t>
      </w:r>
      <w:r w:rsidRPr="004D3E5B">
        <w:rPr>
          <w:rFonts w:ascii="Arial" w:hAnsi="Arial" w:cs="Arial"/>
          <w:color w:val="252525"/>
          <w:sz w:val="20"/>
          <w:szCs w:val="20"/>
        </w:rPr>
        <w:t>. panta 1. daļu FKTK reizi ceturksnī nosaka PKR normu, kas attiecināma uz riska darījumiem, kuri noslēgti ar Latvijas Republikas rezidentiem, ņemot vērā:</w:t>
      </w:r>
      <w:r w:rsidRPr="004D3E5B">
        <w:rPr>
          <w:rFonts w:ascii="Arial" w:hAnsi="Arial" w:cs="Arial"/>
          <w:color w:val="252525"/>
          <w:sz w:val="20"/>
          <w:szCs w:val="20"/>
        </w:rPr>
        <w:br/>
        <w:t>1) attiecīgajam ceturksnim aprēķināto PKR orientieri;</w:t>
      </w:r>
      <w:r w:rsidRPr="004D3E5B">
        <w:rPr>
          <w:rFonts w:ascii="Arial" w:hAnsi="Arial" w:cs="Arial"/>
          <w:color w:val="252525"/>
          <w:sz w:val="20"/>
          <w:szCs w:val="20"/>
        </w:rPr>
        <w:br/>
        <w:t>2) mainīgos lielumus, kurus tā uzskata par būtiskiem cikliskā sistēmiskā riska novērtēšanai;</w:t>
      </w:r>
      <w:r w:rsidRPr="004D3E5B">
        <w:rPr>
          <w:rFonts w:ascii="Arial" w:hAnsi="Arial" w:cs="Arial"/>
          <w:color w:val="252525"/>
          <w:sz w:val="20"/>
          <w:szCs w:val="20"/>
        </w:rPr>
        <w:br/>
        <w:t>3) spēkā esošās Eiropas Sistēmisko risku kolēģijas (tālāk tekstā - ESRK) rekomendācijas par PKR normas noteikšanu.</w:t>
      </w:r>
    </w:p>
    <w:p w:rsidR="004D3E5B" w:rsidRPr="004D3E5B" w:rsidRDefault="004D3E5B" w:rsidP="004D3E5B">
      <w:pPr>
        <w:pStyle w:val="NormalWeb"/>
        <w:shd w:val="clear" w:color="auto" w:fill="FFFFFF"/>
        <w:spacing w:before="0" w:beforeAutospacing="0" w:after="0" w:afterAutospacing="0"/>
        <w:rPr>
          <w:rFonts w:ascii="Arial" w:hAnsi="Arial" w:cs="Arial"/>
          <w:color w:val="252525"/>
          <w:sz w:val="20"/>
          <w:szCs w:val="20"/>
        </w:rPr>
      </w:pPr>
      <w:r w:rsidRPr="004D3E5B">
        <w:rPr>
          <w:rFonts w:ascii="Arial" w:hAnsi="Arial" w:cs="Arial"/>
          <w:color w:val="252525"/>
          <w:sz w:val="20"/>
          <w:szCs w:val="20"/>
        </w:rPr>
        <w:t>2. PKR normu ir nepieciešams noteikt, lai nodrošinātu, ka kredītiestādes ekonomiskās izaugsmes laikā uzkrāj pietiekamu kapitāla bāzi, lai varētu absorbēt zaudējumus spriedzes laikā.</w:t>
      </w:r>
    </w:p>
    <w:p w:rsidR="004D3E5B" w:rsidRPr="004D3E5B" w:rsidRDefault="004D3E5B" w:rsidP="004D3E5B">
      <w:pPr>
        <w:pStyle w:val="NormalWeb"/>
        <w:shd w:val="clear" w:color="auto" w:fill="FFFFFF"/>
        <w:spacing w:before="0" w:beforeAutospacing="0" w:after="0" w:afterAutospacing="0"/>
        <w:rPr>
          <w:rFonts w:ascii="Arial" w:hAnsi="Arial" w:cs="Arial"/>
          <w:color w:val="252525"/>
          <w:sz w:val="20"/>
          <w:szCs w:val="20"/>
        </w:rPr>
      </w:pPr>
      <w:r w:rsidRPr="004D3E5B">
        <w:rPr>
          <w:rFonts w:ascii="Arial" w:hAnsi="Arial" w:cs="Arial"/>
          <w:color w:val="252525"/>
          <w:sz w:val="20"/>
          <w:szCs w:val="20"/>
        </w:rPr>
        <w:t>3. PKR orientiera aprēķina pamatā ir Latvijas Republikas rezidentiem izsniegto aizdevumu un iekšzemes kopprodukta attiecības novirze no tās ilgtermiņa tendences, kas aprēķināta, ņemot vērā:</w:t>
      </w:r>
      <w:r w:rsidRPr="004D3E5B">
        <w:rPr>
          <w:rFonts w:ascii="Arial" w:hAnsi="Arial" w:cs="Arial"/>
          <w:color w:val="252525"/>
          <w:sz w:val="20"/>
          <w:szCs w:val="20"/>
        </w:rPr>
        <w:br/>
        <w:t>1) izsniegto aizdevumu apmēra pieauguma rādītāju un it sevišķi rādītāju, kas atspoguļo izsniegto aizdevumu apmēra un iekšzemes kopprodukta attiecības izmaiņas;</w:t>
      </w:r>
      <w:r w:rsidRPr="004D3E5B">
        <w:rPr>
          <w:rFonts w:ascii="Arial" w:hAnsi="Arial" w:cs="Arial"/>
          <w:color w:val="252525"/>
          <w:sz w:val="20"/>
          <w:szCs w:val="20"/>
        </w:rPr>
        <w:br/>
        <w:t>2) spēkā esošās ESRK vadlīnijas un rekomendācijas par PKR orientiera aprēķinu un to, kā mērāma un aprēķināma izsniegto aizdevumu apmēra un iekšzemes kopprodukta attiecības novirze no tās ilgtermiņa tendences.</w:t>
      </w:r>
    </w:p>
    <w:p w:rsidR="004D3E5B" w:rsidRPr="004D3E5B" w:rsidRDefault="004D3E5B" w:rsidP="004D3E5B">
      <w:pPr>
        <w:pStyle w:val="NormalWeb"/>
        <w:shd w:val="clear" w:color="auto" w:fill="FFFFFF"/>
        <w:spacing w:before="0" w:beforeAutospacing="0" w:after="0" w:afterAutospacing="0"/>
        <w:rPr>
          <w:rFonts w:ascii="Arial" w:hAnsi="Arial" w:cs="Arial"/>
          <w:color w:val="252525"/>
          <w:sz w:val="20"/>
          <w:szCs w:val="20"/>
        </w:rPr>
      </w:pPr>
      <w:r w:rsidRPr="004D3E5B">
        <w:rPr>
          <w:rFonts w:ascii="Arial" w:hAnsi="Arial" w:cs="Arial"/>
          <w:color w:val="252525"/>
          <w:sz w:val="20"/>
          <w:szCs w:val="20"/>
        </w:rPr>
        <w:t>4. Saskaņā ar ESRK rekomendāciju</w:t>
      </w:r>
      <w:r w:rsidRPr="004D3E5B">
        <w:rPr>
          <w:rFonts w:ascii="Arial" w:hAnsi="Arial" w:cs="Arial"/>
          <w:color w:val="252525"/>
          <w:sz w:val="20"/>
          <w:szCs w:val="20"/>
          <w:vertAlign w:val="superscript"/>
        </w:rPr>
        <w:t>1</w:t>
      </w:r>
      <w:r w:rsidRPr="004D3E5B">
        <w:rPr>
          <w:rFonts w:ascii="Arial" w:hAnsi="Arial" w:cs="Arial"/>
          <w:color w:val="252525"/>
          <w:sz w:val="20"/>
          <w:szCs w:val="20"/>
        </w:rPr>
        <w:t>  (tālāk tekstā – Rekomendācija), reālā kopējā kreditēšana ir kredīta vietējam privātajam nefinanšu sektoram</w:t>
      </w:r>
      <w:r w:rsidRPr="004D3E5B">
        <w:rPr>
          <w:rFonts w:ascii="Arial" w:hAnsi="Arial" w:cs="Arial"/>
          <w:color w:val="252525"/>
          <w:sz w:val="20"/>
          <w:szCs w:val="20"/>
          <w:vertAlign w:val="superscript"/>
        </w:rPr>
        <w:t>2 </w:t>
      </w:r>
      <w:r w:rsidRPr="004D3E5B">
        <w:rPr>
          <w:rStyle w:val="apple-converted-space"/>
          <w:rFonts w:ascii="Arial" w:hAnsi="Arial" w:cs="Arial"/>
          <w:color w:val="252525"/>
          <w:sz w:val="20"/>
          <w:szCs w:val="20"/>
        </w:rPr>
        <w:t> </w:t>
      </w:r>
      <w:r w:rsidRPr="004D3E5B">
        <w:rPr>
          <w:rFonts w:ascii="Arial" w:hAnsi="Arial" w:cs="Arial"/>
          <w:color w:val="252525"/>
          <w:sz w:val="20"/>
          <w:szCs w:val="20"/>
        </w:rPr>
        <w:t>atlikums (aizdevumi un izdotie vērtspapīri). Izmantojot laikrindu no 1995. gada 4. ceturkšņa līdz 2014. gada 3. ceturksnim</w:t>
      </w:r>
      <w:r w:rsidRPr="004D3E5B">
        <w:rPr>
          <w:rFonts w:ascii="Arial" w:hAnsi="Arial" w:cs="Arial"/>
          <w:color w:val="252525"/>
          <w:sz w:val="20"/>
          <w:szCs w:val="20"/>
          <w:vertAlign w:val="superscript"/>
        </w:rPr>
        <w:t>3</w:t>
      </w:r>
      <w:r w:rsidRPr="004D3E5B">
        <w:rPr>
          <w:rFonts w:ascii="Arial" w:hAnsi="Arial" w:cs="Arial"/>
          <w:color w:val="252525"/>
          <w:sz w:val="20"/>
          <w:szCs w:val="20"/>
        </w:rPr>
        <w:t>  tika aprēķināta PKR etalonnorma</w:t>
      </w:r>
      <w:r w:rsidRPr="004D3E5B">
        <w:rPr>
          <w:rFonts w:ascii="Arial" w:hAnsi="Arial" w:cs="Arial"/>
          <w:color w:val="252525"/>
          <w:sz w:val="20"/>
          <w:szCs w:val="20"/>
          <w:vertAlign w:val="superscript"/>
        </w:rPr>
        <w:t>4</w:t>
      </w:r>
      <w:r w:rsidRPr="004D3E5B">
        <w:rPr>
          <w:rFonts w:ascii="Arial" w:hAnsi="Arial" w:cs="Arial"/>
          <w:color w:val="252525"/>
          <w:sz w:val="20"/>
          <w:szCs w:val="20"/>
        </w:rPr>
        <w:t>, kura aprēķināta pēc standartizētās kreditēšanas un IKP novirzes saskaņā ar Bāzeles Banku uzraudzības komitejas (BBUK) norādījumiem.</w:t>
      </w:r>
      <w:r w:rsidRPr="004D3E5B">
        <w:rPr>
          <w:rStyle w:val="apple-converted-space"/>
          <w:rFonts w:ascii="Arial" w:hAnsi="Arial" w:cs="Arial"/>
          <w:color w:val="252525"/>
          <w:sz w:val="20"/>
          <w:szCs w:val="20"/>
        </w:rPr>
        <w:t> </w:t>
      </w:r>
      <w:r w:rsidRPr="004D3E5B">
        <w:rPr>
          <w:rFonts w:ascii="Arial" w:hAnsi="Arial" w:cs="Arial"/>
          <w:color w:val="252525"/>
          <w:sz w:val="20"/>
          <w:szCs w:val="20"/>
        </w:rPr>
        <w:br/>
        <w:t xml:space="preserve">Kreditēšanas un IKP attiecība 2014. gada 3. ceturksnī bija 104%, bet tās novirze no ilgtermiņa tendences bija -40%. Ja kreditēšanas un IKP attiecība par 2 procentu punktiem pārsniedz ilgtermiņa tendenci, tad PKR </w:t>
      </w:r>
      <w:proofErr w:type="spellStart"/>
      <w:r w:rsidRPr="004D3E5B">
        <w:rPr>
          <w:rFonts w:ascii="Arial" w:hAnsi="Arial" w:cs="Arial"/>
          <w:color w:val="252525"/>
          <w:sz w:val="20"/>
          <w:szCs w:val="20"/>
        </w:rPr>
        <w:t>etalonnorma</w:t>
      </w:r>
      <w:proofErr w:type="spellEnd"/>
      <w:r w:rsidRPr="004D3E5B">
        <w:rPr>
          <w:rFonts w:ascii="Arial" w:hAnsi="Arial" w:cs="Arial"/>
          <w:color w:val="252525"/>
          <w:sz w:val="20"/>
          <w:szCs w:val="20"/>
        </w:rPr>
        <w:t xml:space="preserve"> lineāri</w:t>
      </w:r>
      <w:r w:rsidRPr="004D3E5B">
        <w:rPr>
          <w:rFonts w:ascii="Arial" w:hAnsi="Arial" w:cs="Arial"/>
          <w:color w:val="252525"/>
          <w:sz w:val="20"/>
          <w:szCs w:val="20"/>
          <w:vertAlign w:val="superscript"/>
        </w:rPr>
        <w:t>5</w:t>
      </w:r>
      <w:r w:rsidRPr="004D3E5B">
        <w:rPr>
          <w:rFonts w:ascii="Arial" w:hAnsi="Arial" w:cs="Arial"/>
          <w:color w:val="252525"/>
          <w:sz w:val="20"/>
          <w:szCs w:val="20"/>
        </w:rPr>
        <w:t xml:space="preserve">  pieaug no nulles līdz augšējai robežai 2.5%. Pastāvot -40% novirzei, PKR </w:t>
      </w:r>
      <w:proofErr w:type="spellStart"/>
      <w:r w:rsidRPr="004D3E5B">
        <w:rPr>
          <w:rFonts w:ascii="Arial" w:hAnsi="Arial" w:cs="Arial"/>
          <w:color w:val="252525"/>
          <w:sz w:val="20"/>
          <w:szCs w:val="20"/>
        </w:rPr>
        <w:t>etalonnorma</w:t>
      </w:r>
      <w:proofErr w:type="spellEnd"/>
      <w:r w:rsidRPr="004D3E5B">
        <w:rPr>
          <w:rFonts w:ascii="Arial" w:hAnsi="Arial" w:cs="Arial"/>
          <w:color w:val="252525"/>
          <w:sz w:val="20"/>
          <w:szCs w:val="20"/>
        </w:rPr>
        <w:t xml:space="preserve"> ir 0%.</w:t>
      </w:r>
    </w:p>
    <w:p w:rsidR="004D3E5B" w:rsidRPr="004D3E5B" w:rsidRDefault="004D3E5B" w:rsidP="004D3E5B">
      <w:pPr>
        <w:pStyle w:val="NormalWeb"/>
        <w:shd w:val="clear" w:color="auto" w:fill="FFFFFF"/>
        <w:spacing w:before="0" w:beforeAutospacing="0" w:after="0" w:afterAutospacing="0"/>
        <w:rPr>
          <w:rFonts w:ascii="Arial" w:hAnsi="Arial" w:cs="Arial"/>
          <w:color w:val="252525"/>
          <w:sz w:val="20"/>
          <w:szCs w:val="20"/>
        </w:rPr>
      </w:pPr>
      <w:r w:rsidRPr="004D3E5B">
        <w:rPr>
          <w:rFonts w:ascii="Arial" w:hAnsi="Arial" w:cs="Arial"/>
          <w:color w:val="252525"/>
          <w:sz w:val="20"/>
          <w:szCs w:val="20"/>
        </w:rPr>
        <w:t>5. Laika periodam no 1999. gada 1. ceturkšņa</w:t>
      </w:r>
      <w:r w:rsidRPr="004D3E5B">
        <w:rPr>
          <w:rFonts w:ascii="Arial" w:hAnsi="Arial" w:cs="Arial"/>
          <w:color w:val="252525"/>
          <w:sz w:val="20"/>
          <w:szCs w:val="20"/>
          <w:vertAlign w:val="superscript"/>
        </w:rPr>
        <w:t>6</w:t>
      </w:r>
      <w:r w:rsidRPr="004D3E5B">
        <w:rPr>
          <w:rFonts w:ascii="Arial" w:hAnsi="Arial" w:cs="Arial"/>
          <w:color w:val="252525"/>
          <w:sz w:val="20"/>
          <w:szCs w:val="20"/>
        </w:rPr>
        <w:t xml:space="preserve"> līdz 2014. gada 4. ceturksnim tika aprēķināta PKR </w:t>
      </w:r>
      <w:proofErr w:type="spellStart"/>
      <w:r w:rsidRPr="004D3E5B">
        <w:rPr>
          <w:rFonts w:ascii="Arial" w:hAnsi="Arial" w:cs="Arial"/>
          <w:color w:val="252525"/>
          <w:sz w:val="20"/>
          <w:szCs w:val="20"/>
        </w:rPr>
        <w:t>etalonnorma</w:t>
      </w:r>
      <w:proofErr w:type="spellEnd"/>
      <w:r w:rsidRPr="004D3E5B">
        <w:rPr>
          <w:rFonts w:ascii="Arial" w:hAnsi="Arial" w:cs="Arial"/>
          <w:color w:val="252525"/>
          <w:sz w:val="20"/>
          <w:szCs w:val="20"/>
        </w:rPr>
        <w:t xml:space="preserve">, kura aprēķināta pēc papildus kreditēšanas un IKP novirzes. Atšķirībā no standartizētās (BBUK ieteiktās jeb "plašās") kredītu definīcijas, papildus ("šaurā") kreditēšanas un IKP novirzē izmantotā kreditēšanas definīcija sevī neietver aizņēmumus no nebanku finanšu institūcijām. Šī kredītu definīcija ir šaurāka par ESRK sākotnēji ieteikto, bet no tās aprēķinātā PKR </w:t>
      </w:r>
      <w:proofErr w:type="spellStart"/>
      <w:r w:rsidRPr="004D3E5B">
        <w:rPr>
          <w:rFonts w:ascii="Arial" w:hAnsi="Arial" w:cs="Arial"/>
          <w:color w:val="252525"/>
          <w:sz w:val="20"/>
          <w:szCs w:val="20"/>
        </w:rPr>
        <w:t>etalonnorma</w:t>
      </w:r>
      <w:proofErr w:type="spellEnd"/>
      <w:r w:rsidRPr="004D3E5B">
        <w:rPr>
          <w:rFonts w:ascii="Arial" w:hAnsi="Arial" w:cs="Arial"/>
          <w:color w:val="252525"/>
          <w:sz w:val="20"/>
          <w:szCs w:val="20"/>
        </w:rPr>
        <w:t xml:space="preserve"> sniedz pamatotākus rezultātus nekā izmantojot "plašo" kredītu definīciju. Salīdzinājumā ar "plašo" kredītu laikrindu "šaurās" kredītu laikrindas dati ir stabilāki (tie netiek retrospektīvi koriģēti) un ir operatīvāk pieejami.</w:t>
      </w:r>
      <w:r w:rsidRPr="004D3E5B">
        <w:rPr>
          <w:rFonts w:ascii="Arial" w:hAnsi="Arial" w:cs="Arial"/>
          <w:color w:val="252525"/>
          <w:sz w:val="20"/>
          <w:szCs w:val="20"/>
        </w:rPr>
        <w:br/>
        <w:t xml:space="preserve">Kreditēšanas un IKP attiecība 2014. gada 4. ceturksnī bija 47%, bet tās novirze no ilgtermiņa tendences bija -36%, kā rezultātā uz papildus kreditēšanas un IKP novirzi balstītā PKR </w:t>
      </w:r>
      <w:proofErr w:type="spellStart"/>
      <w:r w:rsidRPr="004D3E5B">
        <w:rPr>
          <w:rFonts w:ascii="Arial" w:hAnsi="Arial" w:cs="Arial"/>
          <w:color w:val="252525"/>
          <w:sz w:val="20"/>
          <w:szCs w:val="20"/>
        </w:rPr>
        <w:t>etalonnorma</w:t>
      </w:r>
      <w:proofErr w:type="spellEnd"/>
      <w:r w:rsidRPr="004D3E5B">
        <w:rPr>
          <w:rFonts w:ascii="Arial" w:hAnsi="Arial" w:cs="Arial"/>
          <w:color w:val="252525"/>
          <w:sz w:val="20"/>
          <w:szCs w:val="20"/>
        </w:rPr>
        <w:t xml:space="preserve"> bija 0%. Saskaņā ar Rekomendāciju (B ieteikums 4.) par PKR orientieri tiek izvēlēta tā PKR </w:t>
      </w:r>
      <w:proofErr w:type="spellStart"/>
      <w:r w:rsidRPr="004D3E5B">
        <w:rPr>
          <w:rFonts w:ascii="Arial" w:hAnsi="Arial" w:cs="Arial"/>
          <w:color w:val="252525"/>
          <w:sz w:val="20"/>
          <w:szCs w:val="20"/>
        </w:rPr>
        <w:t>etalonnorma</w:t>
      </w:r>
      <w:proofErr w:type="spellEnd"/>
      <w:r w:rsidRPr="004D3E5B">
        <w:rPr>
          <w:rFonts w:ascii="Arial" w:hAnsi="Arial" w:cs="Arial"/>
          <w:color w:val="252525"/>
          <w:sz w:val="20"/>
          <w:szCs w:val="20"/>
        </w:rPr>
        <w:t>, kas vislabāk atspoguļo nacionālās ekonomikas īpatnības. Tādejādi</w:t>
      </w:r>
      <w:r w:rsidRPr="004D3E5B">
        <w:rPr>
          <w:rStyle w:val="apple-converted-space"/>
          <w:rFonts w:ascii="Arial" w:hAnsi="Arial" w:cs="Arial"/>
          <w:color w:val="252525"/>
          <w:sz w:val="20"/>
          <w:szCs w:val="20"/>
        </w:rPr>
        <w:t> </w:t>
      </w:r>
      <w:r w:rsidRPr="004D3E5B">
        <w:rPr>
          <w:rFonts w:ascii="Arial" w:hAnsi="Arial" w:cs="Arial"/>
          <w:color w:val="252525"/>
          <w:sz w:val="20"/>
          <w:szCs w:val="20"/>
          <w:u w:val="single"/>
        </w:rPr>
        <w:t xml:space="preserve">par PKR orientieri pieņem to PKR </w:t>
      </w:r>
      <w:proofErr w:type="spellStart"/>
      <w:r w:rsidRPr="004D3E5B">
        <w:rPr>
          <w:rFonts w:ascii="Arial" w:hAnsi="Arial" w:cs="Arial"/>
          <w:color w:val="252525"/>
          <w:sz w:val="20"/>
          <w:szCs w:val="20"/>
          <w:u w:val="single"/>
        </w:rPr>
        <w:t>etalonnormu</w:t>
      </w:r>
      <w:proofErr w:type="spellEnd"/>
      <w:r w:rsidRPr="004D3E5B">
        <w:rPr>
          <w:rFonts w:ascii="Arial" w:hAnsi="Arial" w:cs="Arial"/>
          <w:color w:val="252525"/>
          <w:sz w:val="20"/>
          <w:szCs w:val="20"/>
          <w:u w:val="single"/>
        </w:rPr>
        <w:t>, kas aprēķināta no papildus kreditēšanas un IKP novirzes.</w:t>
      </w:r>
    </w:p>
    <w:p w:rsidR="004D3E5B" w:rsidRPr="004D3E5B" w:rsidRDefault="004D3E5B" w:rsidP="004D3E5B">
      <w:pPr>
        <w:pStyle w:val="NormalWeb"/>
        <w:shd w:val="clear" w:color="auto" w:fill="FFFFFF"/>
        <w:spacing w:before="0" w:beforeAutospacing="0" w:after="0" w:afterAutospacing="0"/>
        <w:rPr>
          <w:rFonts w:ascii="Arial" w:hAnsi="Arial" w:cs="Arial"/>
          <w:color w:val="252525"/>
          <w:sz w:val="20"/>
          <w:szCs w:val="20"/>
        </w:rPr>
      </w:pPr>
      <w:r w:rsidRPr="004D3E5B">
        <w:rPr>
          <w:rFonts w:ascii="Arial" w:hAnsi="Arial" w:cs="Arial"/>
          <w:color w:val="252525"/>
          <w:sz w:val="20"/>
          <w:szCs w:val="20"/>
        </w:rPr>
        <w:t>6. Kopējā makroekonomiskā un finanšu sektora situācija ir raksturojama kā stabila. Pēc 17% samazinājuma kopš 2008. gada 4. ceturkšņa, kopējais kredīta vietējam privātajam nefinanšu sektoram atlikums 2014. gada 2. ceturksnī pieauga par 2% un 3. ceturksnī saglabājās līdzīgā līmenī (kredītiestāžu izsniegto kredītu vietējam privātajam nefinanšu sektoram atlikums kopš 2008. gada 4. ceturkšņa ir samazinājies par 38%). Sekojot 40% samazinājumam 2009. gadā, mājokļu cenu indeksa gada pieauguma temps kopš 2011. gada būtiski nepārsniedz 10% (11.7% 2014. gada 3. ceturksnī). IKP pēdējos gados mēreni pieaug 3-5% gadā robežās un inflācija ir zema.</w:t>
      </w:r>
    </w:p>
    <w:p w:rsidR="004D3E5B" w:rsidRPr="004D3E5B" w:rsidRDefault="004D3E5B" w:rsidP="004D3E5B">
      <w:pPr>
        <w:pStyle w:val="NormalWeb"/>
        <w:shd w:val="clear" w:color="auto" w:fill="FFFFFF"/>
        <w:spacing w:before="0" w:beforeAutospacing="0" w:after="0" w:afterAutospacing="0"/>
        <w:rPr>
          <w:rFonts w:ascii="Arial" w:hAnsi="Arial" w:cs="Arial"/>
          <w:color w:val="252525"/>
          <w:sz w:val="20"/>
          <w:szCs w:val="20"/>
        </w:rPr>
      </w:pPr>
      <w:r w:rsidRPr="004D3E5B">
        <w:rPr>
          <w:rFonts w:ascii="Arial" w:hAnsi="Arial" w:cs="Arial"/>
          <w:color w:val="252525"/>
          <w:sz w:val="20"/>
          <w:szCs w:val="20"/>
        </w:rPr>
        <w:t xml:space="preserve">7. Neviens no citiem papildus indikatoriem arī neliecina par nepieciešamību noteikt augstāku PKR normu. Tekošā konta bilance pēc ievērojamām svārstībām (-25% 2007. gada 1. ceturksnī un 13% 2009. gada 2. ceturksnī) kopš 2011. gada sākuma ir nostabilizējusies 0 līdz -5% koridorā. Privātā sektora gada procentu maksājumi pret IKP kopš 2010. gada sākuma ir </w:t>
      </w:r>
      <w:r w:rsidRPr="004D3E5B">
        <w:rPr>
          <w:rFonts w:ascii="Arial" w:hAnsi="Arial" w:cs="Arial"/>
          <w:color w:val="252525"/>
          <w:sz w:val="20"/>
          <w:szCs w:val="20"/>
        </w:rPr>
        <w:lastRenderedPageBreak/>
        <w:t>sarukuši no 5% līdz mazāk nekā 2% (ko lielā mērā izskaidro vēsturiski zemais EURIBOR starpbanku likmes līmenis).</w:t>
      </w:r>
    </w:p>
    <w:p w:rsidR="004D3E5B" w:rsidRPr="004D3E5B" w:rsidRDefault="004D3E5B" w:rsidP="004D3E5B">
      <w:pPr>
        <w:pStyle w:val="NormalWeb"/>
        <w:shd w:val="clear" w:color="auto" w:fill="FFFFFF"/>
        <w:spacing w:before="0" w:beforeAutospacing="0" w:after="0" w:afterAutospacing="0"/>
        <w:rPr>
          <w:rFonts w:ascii="Arial" w:hAnsi="Arial" w:cs="Arial"/>
          <w:color w:val="252525"/>
          <w:sz w:val="20"/>
          <w:szCs w:val="20"/>
        </w:rPr>
      </w:pPr>
      <w:r w:rsidRPr="004D3E5B">
        <w:rPr>
          <w:rFonts w:ascii="Arial" w:hAnsi="Arial" w:cs="Arial"/>
          <w:color w:val="252525"/>
          <w:sz w:val="20"/>
          <w:szCs w:val="20"/>
        </w:rPr>
        <w:t>8. Kopumā, PKR orientieris un papildus indikatori liecina par to, ka finanšu cikls Latvijas tautsaimniecībā ir mērenas atkopšanās stadijā. Neskatoties uz IKP pieaugumu un zemajām procentu likmēm, kreditēšanas izaugsmes tempi ir tuvu nullei, un kredītņēmēju skatījums par nākotni ir samērā piezemēts. Pašreizējā cikla stadijā pārmērīgas kreditēšanas risks ir zems, tādēļ FKTK nosaka PKR normu 0% apmērā. Saskaņā ar pašreizējām kreditēšanas un IKP izaugsmes tempu prognozēm, nākamo divu gadu laikā nepieciešamība paaugstināt PKR normu nav paredzama.</w:t>
      </w:r>
    </w:p>
    <w:p w:rsidR="004D3E5B" w:rsidRDefault="004D3E5B" w:rsidP="004D3E5B">
      <w:pPr>
        <w:pStyle w:val="NormalWeb"/>
        <w:shd w:val="clear" w:color="auto" w:fill="FFFFFF"/>
        <w:spacing w:before="0" w:beforeAutospacing="0" w:after="0" w:afterAutospacing="0"/>
        <w:rPr>
          <w:rFonts w:ascii="Arial" w:hAnsi="Arial" w:cs="Arial"/>
          <w:color w:val="252525"/>
          <w:sz w:val="20"/>
          <w:szCs w:val="20"/>
        </w:rPr>
      </w:pPr>
      <w:r w:rsidRPr="004D3E5B">
        <w:rPr>
          <w:rFonts w:ascii="Arial" w:hAnsi="Arial" w:cs="Arial"/>
          <w:color w:val="252525"/>
          <w:sz w:val="20"/>
          <w:szCs w:val="20"/>
        </w:rPr>
        <w:t xml:space="preserve">9. Komisija 2015. gada 19. februārī nosūtīja pārējiem </w:t>
      </w:r>
      <w:proofErr w:type="spellStart"/>
      <w:r w:rsidRPr="004D3E5B">
        <w:rPr>
          <w:rFonts w:ascii="Arial" w:hAnsi="Arial" w:cs="Arial"/>
          <w:color w:val="252525"/>
          <w:sz w:val="20"/>
          <w:szCs w:val="20"/>
        </w:rPr>
        <w:t>Makrouzraudzības</w:t>
      </w:r>
      <w:proofErr w:type="spellEnd"/>
      <w:r w:rsidRPr="004D3E5B">
        <w:rPr>
          <w:rFonts w:ascii="Arial" w:hAnsi="Arial" w:cs="Arial"/>
          <w:color w:val="252525"/>
          <w:sz w:val="20"/>
          <w:szCs w:val="20"/>
        </w:rPr>
        <w:t xml:space="preserve"> padomes (MAP) dalībniekiem (Latvijas Bankai un Finanšu ministrijai) vēstuli par nodomu noteikt PKR normu 0% apmērā; no abām institūcijām tika saņemta atbilde, ka nav iebildumu pret šādu nodomu.</w:t>
      </w:r>
    </w:p>
    <w:p w:rsidR="004D3E5B" w:rsidRPr="004D3E5B" w:rsidRDefault="004D3E5B" w:rsidP="004D3E5B">
      <w:pPr>
        <w:pStyle w:val="NormalWeb"/>
        <w:shd w:val="clear" w:color="auto" w:fill="FFFFFF"/>
        <w:spacing w:before="0" w:beforeAutospacing="0" w:after="0" w:afterAutospacing="0"/>
        <w:rPr>
          <w:rFonts w:ascii="Arial" w:hAnsi="Arial" w:cs="Arial"/>
          <w:color w:val="252525"/>
          <w:sz w:val="20"/>
          <w:szCs w:val="20"/>
        </w:rPr>
      </w:pPr>
    </w:p>
    <w:p w:rsidR="004D3E5B" w:rsidRPr="004D3E5B" w:rsidRDefault="004D3E5B" w:rsidP="004D3E5B">
      <w:pPr>
        <w:pStyle w:val="NormalWeb"/>
        <w:shd w:val="clear" w:color="auto" w:fill="FFFFFF"/>
        <w:spacing w:before="0" w:beforeAutospacing="0" w:after="0" w:afterAutospacing="0"/>
        <w:rPr>
          <w:rFonts w:ascii="Arial" w:hAnsi="Arial" w:cs="Arial"/>
          <w:color w:val="252525"/>
          <w:sz w:val="16"/>
          <w:szCs w:val="16"/>
        </w:rPr>
      </w:pPr>
      <w:r w:rsidRPr="004D3E5B">
        <w:rPr>
          <w:rFonts w:ascii="Arial" w:hAnsi="Arial" w:cs="Arial"/>
          <w:color w:val="252525"/>
          <w:sz w:val="16"/>
          <w:szCs w:val="16"/>
        </w:rPr>
        <w:t> </w:t>
      </w:r>
      <w:r w:rsidRPr="004D3E5B">
        <w:rPr>
          <w:rFonts w:ascii="Arial" w:hAnsi="Arial" w:cs="Arial"/>
          <w:color w:val="252525"/>
          <w:sz w:val="16"/>
          <w:szCs w:val="16"/>
          <w:vertAlign w:val="superscript"/>
        </w:rPr>
        <w:t>1</w:t>
      </w:r>
      <w:r w:rsidRPr="004D3E5B">
        <w:rPr>
          <w:rFonts w:ascii="Arial" w:hAnsi="Arial" w:cs="Arial"/>
          <w:color w:val="252525"/>
          <w:sz w:val="16"/>
          <w:szCs w:val="16"/>
        </w:rPr>
        <w:t xml:space="preserve"> Eiropas Sistēmisko risku kolēģijas 2014. gada 18. jūnija ieteikums par norādījumiem </w:t>
      </w:r>
      <w:proofErr w:type="spellStart"/>
      <w:r w:rsidRPr="004D3E5B">
        <w:rPr>
          <w:rFonts w:ascii="Arial" w:hAnsi="Arial" w:cs="Arial"/>
          <w:color w:val="252525"/>
          <w:sz w:val="16"/>
          <w:szCs w:val="16"/>
        </w:rPr>
        <w:t>pretciklisko</w:t>
      </w:r>
      <w:proofErr w:type="spellEnd"/>
      <w:r w:rsidRPr="004D3E5B">
        <w:rPr>
          <w:rFonts w:ascii="Arial" w:hAnsi="Arial" w:cs="Arial"/>
          <w:color w:val="252525"/>
          <w:sz w:val="16"/>
          <w:szCs w:val="16"/>
        </w:rPr>
        <w:t xml:space="preserve"> kapitāla rezervju normas noteikšanai (ESRK/2014/1).</w:t>
      </w:r>
      <w:r w:rsidRPr="004D3E5B">
        <w:rPr>
          <w:rFonts w:ascii="Arial" w:hAnsi="Arial" w:cs="Arial"/>
          <w:color w:val="252525"/>
          <w:sz w:val="16"/>
          <w:szCs w:val="16"/>
        </w:rPr>
        <w:br/>
      </w:r>
      <w:r w:rsidRPr="004D3E5B">
        <w:rPr>
          <w:rFonts w:ascii="Arial" w:hAnsi="Arial" w:cs="Arial"/>
          <w:color w:val="252525"/>
          <w:sz w:val="16"/>
          <w:szCs w:val="16"/>
          <w:vertAlign w:val="superscript"/>
        </w:rPr>
        <w:t> 2</w:t>
      </w:r>
      <w:r w:rsidRPr="004D3E5B">
        <w:rPr>
          <w:rFonts w:ascii="Arial" w:hAnsi="Arial" w:cs="Arial"/>
          <w:color w:val="252525"/>
          <w:sz w:val="16"/>
          <w:szCs w:val="16"/>
        </w:rPr>
        <w:t xml:space="preserve"> Nefinanšu korporācijas, mājsaimniecības un mājsaimniecības apkalpojošās bezpeļņas institūcijas.</w:t>
      </w:r>
      <w:r w:rsidRPr="004D3E5B">
        <w:rPr>
          <w:rFonts w:ascii="Arial" w:hAnsi="Arial" w:cs="Arial"/>
          <w:color w:val="252525"/>
          <w:sz w:val="16"/>
          <w:szCs w:val="16"/>
        </w:rPr>
        <w:br/>
        <w:t> </w:t>
      </w:r>
      <w:r w:rsidRPr="004D3E5B">
        <w:rPr>
          <w:rFonts w:ascii="Arial" w:hAnsi="Arial" w:cs="Arial"/>
          <w:color w:val="252525"/>
          <w:sz w:val="16"/>
          <w:szCs w:val="16"/>
          <w:vertAlign w:val="superscript"/>
        </w:rPr>
        <w:t>3</w:t>
      </w:r>
      <w:r w:rsidRPr="004D3E5B">
        <w:rPr>
          <w:rFonts w:ascii="Arial" w:hAnsi="Arial" w:cs="Arial"/>
          <w:color w:val="252525"/>
          <w:sz w:val="16"/>
          <w:szCs w:val="16"/>
        </w:rPr>
        <w:t xml:space="preserve"> Ceturkšņa dati līdz 2000. gada beigām lineāri interpolēti no EUROSTAT pieejamajiem ikgadējiem datiem. No 2001. gada 1. ceturkšņa izmantoti ceturkšņa dati no Latvijas Bankas Finanšu kontu statistikas (par agrāku periodu šie dati nav pieejami). Kombinējot abus minētos datu avotus, analīzei iegūta garākā pieejamā laikrinda no 1995. gada beigām, lai atspoguļotu privātā sektora kreditēšanas attīstību un no tās izrietošo PKR </w:t>
      </w:r>
      <w:proofErr w:type="spellStart"/>
      <w:r w:rsidRPr="004D3E5B">
        <w:rPr>
          <w:rFonts w:ascii="Arial" w:hAnsi="Arial" w:cs="Arial"/>
          <w:color w:val="252525"/>
          <w:sz w:val="16"/>
          <w:szCs w:val="16"/>
        </w:rPr>
        <w:t>etalonnormas</w:t>
      </w:r>
      <w:proofErr w:type="spellEnd"/>
      <w:r w:rsidRPr="004D3E5B">
        <w:rPr>
          <w:rFonts w:ascii="Arial" w:hAnsi="Arial" w:cs="Arial"/>
          <w:color w:val="252525"/>
          <w:sz w:val="16"/>
          <w:szCs w:val="16"/>
        </w:rPr>
        <w:t xml:space="preserve"> apmēru.</w:t>
      </w:r>
      <w:r w:rsidRPr="004D3E5B">
        <w:rPr>
          <w:rFonts w:ascii="Arial" w:hAnsi="Arial" w:cs="Arial"/>
          <w:color w:val="252525"/>
          <w:sz w:val="16"/>
          <w:szCs w:val="16"/>
        </w:rPr>
        <w:br/>
      </w:r>
      <w:r w:rsidRPr="004D3E5B">
        <w:rPr>
          <w:rFonts w:ascii="Arial" w:hAnsi="Arial" w:cs="Arial"/>
          <w:color w:val="252525"/>
          <w:sz w:val="16"/>
          <w:szCs w:val="16"/>
          <w:vertAlign w:val="superscript"/>
        </w:rPr>
        <w:t> 4</w:t>
      </w:r>
      <w:r w:rsidRPr="004D3E5B">
        <w:rPr>
          <w:rFonts w:ascii="Arial" w:hAnsi="Arial" w:cs="Arial"/>
          <w:color w:val="252525"/>
          <w:sz w:val="16"/>
          <w:szCs w:val="16"/>
        </w:rPr>
        <w:t xml:space="preserve"> Atbilstoši Rekomendācijas pielikuma 1. daļas norādēm tika izmantots vienpusējais </w:t>
      </w:r>
      <w:proofErr w:type="spellStart"/>
      <w:r w:rsidRPr="004D3E5B">
        <w:rPr>
          <w:rFonts w:ascii="Arial" w:hAnsi="Arial" w:cs="Arial"/>
          <w:color w:val="252525"/>
          <w:sz w:val="16"/>
          <w:szCs w:val="16"/>
        </w:rPr>
        <w:t>Hodrika</w:t>
      </w:r>
      <w:proofErr w:type="spellEnd"/>
      <w:r w:rsidRPr="004D3E5B">
        <w:rPr>
          <w:rFonts w:ascii="Arial" w:hAnsi="Arial" w:cs="Arial"/>
          <w:color w:val="252525"/>
          <w:sz w:val="16"/>
          <w:szCs w:val="16"/>
        </w:rPr>
        <w:t xml:space="preserve"> Preskota filtrs ar gludinošo parametru lambda=400 000.</w:t>
      </w:r>
      <w:r w:rsidRPr="004D3E5B">
        <w:rPr>
          <w:rFonts w:ascii="Arial" w:hAnsi="Arial" w:cs="Arial"/>
          <w:color w:val="252525"/>
          <w:sz w:val="16"/>
          <w:szCs w:val="16"/>
        </w:rPr>
        <w:br/>
        <w:t> </w:t>
      </w:r>
      <w:r w:rsidRPr="004D3E5B">
        <w:rPr>
          <w:rFonts w:ascii="Arial" w:hAnsi="Arial" w:cs="Arial"/>
          <w:color w:val="252525"/>
          <w:sz w:val="16"/>
          <w:szCs w:val="16"/>
          <w:vertAlign w:val="superscript"/>
        </w:rPr>
        <w:t>5</w:t>
      </w:r>
      <w:r w:rsidRPr="004D3E5B">
        <w:rPr>
          <w:rFonts w:ascii="Arial" w:hAnsi="Arial" w:cs="Arial"/>
          <w:color w:val="252525"/>
          <w:sz w:val="16"/>
          <w:szCs w:val="16"/>
        </w:rPr>
        <w:t xml:space="preserve"> Atbilstoši Rekomendācijas pielikuma 2. daļas norādēm.</w:t>
      </w:r>
      <w:r w:rsidRPr="004D3E5B">
        <w:rPr>
          <w:rFonts w:ascii="Arial" w:hAnsi="Arial" w:cs="Arial"/>
          <w:color w:val="252525"/>
          <w:sz w:val="16"/>
          <w:szCs w:val="16"/>
        </w:rPr>
        <w:br/>
        <w:t> </w:t>
      </w:r>
      <w:r w:rsidRPr="004D3E5B">
        <w:rPr>
          <w:rFonts w:ascii="Arial" w:hAnsi="Arial" w:cs="Arial"/>
          <w:color w:val="252525"/>
          <w:sz w:val="16"/>
          <w:szCs w:val="16"/>
          <w:vertAlign w:val="superscript"/>
        </w:rPr>
        <w:t>6</w:t>
      </w:r>
      <w:r w:rsidRPr="004D3E5B">
        <w:rPr>
          <w:rFonts w:ascii="Arial" w:hAnsi="Arial" w:cs="Arial"/>
          <w:color w:val="252525"/>
          <w:sz w:val="16"/>
          <w:szCs w:val="16"/>
        </w:rPr>
        <w:t xml:space="preserve"> Izmantojot šādu sākuma punktu, vēsturiskā PKR prasības noteikšanas simulācija vistuvāk atbilst ekspertu vērtējumiem par kreditēšanas ciklu (proti, PKR būtu bijusi jāiedarbina no 2003. gada 4. ceturkšņa līdz 2007. gada 4. ceturksnim).</w:t>
      </w:r>
    </w:p>
    <w:p w:rsidR="004608FC" w:rsidRPr="004D3E5B" w:rsidRDefault="004608FC" w:rsidP="004D3E5B">
      <w:pPr>
        <w:spacing w:line="240" w:lineRule="auto"/>
        <w:rPr>
          <w:rFonts w:ascii="Arial" w:hAnsi="Arial" w:cs="Arial"/>
          <w:sz w:val="20"/>
          <w:szCs w:val="20"/>
        </w:rPr>
      </w:pPr>
    </w:p>
    <w:sectPr w:rsidR="004608FC" w:rsidRPr="004D3E5B" w:rsidSect="004608FC">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AFF" w:usb1="C0007841" w:usb2="00000009" w:usb3="00000000" w:csb0="000001FF" w:csb1="00000000"/>
  </w:font>
  <w:font w:name="Arial">
    <w:panose1 w:val="020B0604020202020204"/>
    <w:charset w:val="BA"/>
    <w:family w:val="swiss"/>
    <w:pitch w:val="variable"/>
    <w:sig w:usb0="E0002AFF" w:usb1="C0007843" w:usb2="00000009" w:usb3="00000000" w:csb0="000001FF" w:csb1="00000000"/>
  </w:font>
  <w:font w:name="Cambria">
    <w:panose1 w:val="02040503050406030204"/>
    <w:charset w:val="BA"/>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3E5B"/>
    <w:rsid w:val="004608FC"/>
    <w:rsid w:val="004D3E5B"/>
    <w:rsid w:val="00841570"/>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lv-LV" w:eastAsia="lv-LV"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D3E5B"/>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4D3E5B"/>
    <w:rPr>
      <w:b/>
      <w:bCs/>
    </w:rPr>
  </w:style>
  <w:style w:type="character" w:customStyle="1" w:styleId="apple-converted-space">
    <w:name w:val="apple-converted-space"/>
    <w:basedOn w:val="DefaultParagraphFont"/>
    <w:rsid w:val="004D3E5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lv-LV" w:eastAsia="lv-LV"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D3E5B"/>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4D3E5B"/>
    <w:rPr>
      <w:b/>
      <w:bCs/>
    </w:rPr>
  </w:style>
  <w:style w:type="character" w:customStyle="1" w:styleId="apple-converted-space">
    <w:name w:val="apple-converted-space"/>
    <w:basedOn w:val="DefaultParagraphFont"/>
    <w:rsid w:val="004D3E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779981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4180</Words>
  <Characters>2384</Characters>
  <Application>Microsoft Office Word</Application>
  <DocSecurity>0</DocSecurity>
  <Lines>19</Lines>
  <Paragraphs>13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6551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makarevica</dc:creator>
  <cp:lastModifiedBy>Agnese Licite</cp:lastModifiedBy>
  <cp:revision>2</cp:revision>
  <dcterms:created xsi:type="dcterms:W3CDTF">2017-07-28T08:45:00Z</dcterms:created>
  <dcterms:modified xsi:type="dcterms:W3CDTF">2017-07-28T08:45:00Z</dcterms:modified>
</cp:coreProperties>
</file>