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3E2" w:rsidRPr="00910E03" w:rsidRDefault="00E033E2" w:rsidP="00E033E2">
      <w:pPr>
        <w:keepNext/>
        <w:keepLines/>
        <w:spacing w:before="120" w:after="0" w:line="240" w:lineRule="auto"/>
        <w:jc w:val="both"/>
        <w:outlineLvl w:val="0"/>
        <w:rPr>
          <w:rFonts w:ascii="Times New Roman" w:eastAsia="Times New Roman" w:hAnsi="Times New Roman" w:cs="Times New Roman"/>
          <w:b/>
          <w:kern w:val="28"/>
          <w:lang w:val="en-GB"/>
        </w:rPr>
      </w:pPr>
      <w:bookmarkStart w:id="0" w:name="_Toc403946511"/>
      <w:bookmarkStart w:id="1" w:name="_GoBack"/>
      <w:bookmarkEnd w:id="1"/>
      <w:r w:rsidRPr="00910E03">
        <w:rPr>
          <w:rFonts w:ascii="Times New Roman" w:eastAsia="Times New Roman" w:hAnsi="Times New Roman" w:cs="Times New Roman"/>
          <w:b/>
          <w:bCs/>
          <w:kern w:val="28"/>
          <w:lang w:val="en-GB"/>
        </w:rPr>
        <w:t>The 2</w:t>
      </w:r>
      <w:r w:rsidR="00570731">
        <w:rPr>
          <w:rFonts w:ascii="Times New Roman" w:eastAsia="Times New Roman" w:hAnsi="Times New Roman" w:cs="Times New Roman"/>
          <w:b/>
          <w:bCs/>
          <w:kern w:val="28"/>
          <w:lang w:val="en-GB"/>
        </w:rPr>
        <w:t>9</w:t>
      </w:r>
      <w:r w:rsidRPr="00910E03">
        <w:rPr>
          <w:rFonts w:ascii="Times New Roman" w:eastAsia="Times New Roman" w:hAnsi="Times New Roman" w:cs="Times New Roman"/>
          <w:b/>
          <w:bCs/>
          <w:kern w:val="28"/>
          <w:lang w:val="en-GB"/>
        </w:rPr>
        <w:t xml:space="preserve">.07.2015 </w:t>
      </w:r>
      <w:r w:rsidRPr="00910E03">
        <w:rPr>
          <w:rStyle w:val="Strong"/>
          <w:rFonts w:ascii="Times New Roman" w:hAnsi="Times New Roman" w:cs="Times New Roman"/>
          <w:lang w:val="en-GB"/>
        </w:rPr>
        <w:t>decision on setting the countercyclical capital buffer rate</w:t>
      </w:r>
      <w:r w:rsidRPr="00910E03">
        <w:rPr>
          <w:rFonts w:ascii="Times New Roman" w:eastAsia="Times New Roman" w:hAnsi="Times New Roman" w:cs="Times New Roman"/>
          <w:b/>
          <w:bCs/>
          <w:kern w:val="28"/>
          <w:lang w:val="en-GB"/>
        </w:rPr>
        <w:t xml:space="preserve"> </w:t>
      </w:r>
    </w:p>
    <w:p w:rsidR="0032368D" w:rsidRPr="0032368D" w:rsidRDefault="00E033E2" w:rsidP="00E033E2">
      <w:pPr>
        <w:keepNext/>
        <w:keepLines/>
        <w:spacing w:before="120" w:after="0" w:line="240" w:lineRule="auto"/>
        <w:jc w:val="both"/>
        <w:outlineLvl w:val="0"/>
        <w:rPr>
          <w:rFonts w:ascii="Times New Roman" w:eastAsia="Times New Roman" w:hAnsi="Times New Roman" w:cs="Times New Roman"/>
          <w:b/>
          <w:kern w:val="28"/>
          <w:szCs w:val="20"/>
        </w:rPr>
      </w:pPr>
      <w:r w:rsidRPr="00910E03">
        <w:rPr>
          <w:rFonts w:ascii="Times New Roman" w:eastAsia="Times New Roman" w:hAnsi="Times New Roman" w:cs="Times New Roman"/>
          <w:b/>
          <w:kern w:val="28"/>
          <w:lang w:val="en-GB"/>
        </w:rPr>
        <w:t xml:space="preserve">The </w:t>
      </w:r>
      <w:r w:rsidRPr="00910E03">
        <w:rPr>
          <w:rStyle w:val="Strong"/>
          <w:rFonts w:ascii="Times New Roman" w:hAnsi="Times New Roman" w:cs="Times New Roman"/>
          <w:lang w:val="en-GB"/>
        </w:rPr>
        <w:t>countercyclical capital buffer (CCB) rate</w:t>
      </w:r>
      <w:r w:rsidRPr="00910E03">
        <w:rPr>
          <w:rFonts w:ascii="Times New Roman" w:eastAsia="Times New Roman" w:hAnsi="Times New Roman" w:cs="Times New Roman"/>
          <w:b/>
          <w:bCs/>
          <w:kern w:val="28"/>
          <w:lang w:val="en-GB"/>
        </w:rPr>
        <w:t xml:space="preserve"> has been set at 0</w:t>
      </w:r>
      <w:r>
        <w:rPr>
          <w:rFonts w:ascii="Times New Roman" w:eastAsia="Times New Roman" w:hAnsi="Times New Roman" w:cs="Times New Roman"/>
          <w:b/>
          <w:bCs/>
          <w:kern w:val="28"/>
          <w:lang w:val="en-GB"/>
        </w:rPr>
        <w:t>%</w:t>
      </w:r>
      <w:r w:rsidRPr="00910E03">
        <w:rPr>
          <w:rFonts w:ascii="Times New Roman" w:eastAsia="Times New Roman" w:hAnsi="Times New Roman" w:cs="Times New Roman"/>
          <w:b/>
          <w:kern w:val="28"/>
          <w:lang w:val="en-GB"/>
        </w:rPr>
        <w:t xml:space="preserve">. </w:t>
      </w:r>
      <w:r w:rsidRPr="00910E03">
        <w:rPr>
          <w:rFonts w:ascii="Times New Roman" w:hAnsi="Times New Roman" w:cs="Times New Roman"/>
          <w:b/>
          <w:lang w:val="en-GB"/>
        </w:rPr>
        <w:t xml:space="preserve">The </w:t>
      </w:r>
      <w:r>
        <w:rPr>
          <w:rFonts w:ascii="Times New Roman" w:hAnsi="Times New Roman" w:cs="Times New Roman"/>
          <w:b/>
          <w:lang w:val="en-GB"/>
        </w:rPr>
        <w:t xml:space="preserve">established </w:t>
      </w:r>
      <w:r w:rsidRPr="00910E03">
        <w:rPr>
          <w:rFonts w:ascii="Times New Roman" w:hAnsi="Times New Roman" w:cs="Times New Roman"/>
          <w:b/>
          <w:lang w:val="en-GB"/>
        </w:rPr>
        <w:t>CCB rate will be used to calculate a credit institution-specific countercyclical capital buffer rate</w:t>
      </w:r>
      <w:r w:rsidRPr="00910E03">
        <w:rPr>
          <w:rStyle w:val="apple-converted-space"/>
          <w:rFonts w:ascii="Times New Roman" w:hAnsi="Times New Roman" w:cs="Times New Roman"/>
          <w:b/>
          <w:lang w:val="en-GB"/>
        </w:rPr>
        <w:t> </w:t>
      </w:r>
      <w:r w:rsidRPr="00910E03">
        <w:rPr>
          <w:rStyle w:val="Strong"/>
          <w:rFonts w:ascii="Times New Roman" w:hAnsi="Times New Roman" w:cs="Times New Roman"/>
          <w:lang w:val="en-GB"/>
        </w:rPr>
        <w:t>from</w:t>
      </w:r>
      <w:r w:rsidRPr="00910E03">
        <w:rPr>
          <w:rStyle w:val="Strong"/>
          <w:rFonts w:ascii="Times New Roman" w:hAnsi="Times New Roman" w:cs="Times New Roman"/>
          <w:b w:val="0"/>
          <w:lang w:val="en-GB"/>
        </w:rPr>
        <w:t xml:space="preserve"> </w:t>
      </w:r>
      <w:r w:rsidRPr="00910E03">
        <w:rPr>
          <w:rStyle w:val="Strong"/>
          <w:rFonts w:ascii="Times New Roman" w:hAnsi="Times New Roman" w:cs="Times New Roman"/>
          <w:lang w:val="en-GB"/>
        </w:rPr>
        <w:t>1 August</w:t>
      </w:r>
      <w:r w:rsidRPr="00910E03">
        <w:rPr>
          <w:rStyle w:val="Strong"/>
          <w:rFonts w:ascii="Times New Roman" w:hAnsi="Times New Roman" w:cs="Times New Roman"/>
          <w:b w:val="0"/>
          <w:lang w:val="en-GB"/>
        </w:rPr>
        <w:t xml:space="preserve"> </w:t>
      </w:r>
      <w:r w:rsidRPr="00910E03">
        <w:rPr>
          <w:rFonts w:ascii="Times New Roman" w:eastAsia="Times New Roman" w:hAnsi="Times New Roman" w:cs="Times New Roman"/>
          <w:b/>
          <w:bCs/>
          <w:kern w:val="28"/>
          <w:lang w:val="en-GB"/>
        </w:rPr>
        <w:t xml:space="preserve">2016. </w:t>
      </w:r>
      <w:r w:rsidRPr="00910E03">
        <w:rPr>
          <w:rFonts w:ascii="Times New Roman" w:eastAsia="Times New Roman" w:hAnsi="Times New Roman" w:cs="Times New Roman"/>
          <w:b/>
          <w:kern w:val="28"/>
          <w:lang w:val="en-GB"/>
        </w:rPr>
        <w:t xml:space="preserve">Over the next two years, </w:t>
      </w:r>
      <w:r w:rsidRPr="00910E03">
        <w:rPr>
          <w:rFonts w:ascii="Times New Roman" w:eastAsia="Times New Roman" w:hAnsi="Times New Roman" w:cs="Times New Roman"/>
          <w:b/>
          <w:lang w:val="en-GB" w:eastAsia="lv-LV"/>
        </w:rPr>
        <w:t>the need to increase the provision is not expected</w:t>
      </w:r>
      <w:r w:rsidR="0032368D" w:rsidRPr="0032368D">
        <w:rPr>
          <w:rFonts w:ascii="Times New Roman" w:eastAsia="Times New Roman" w:hAnsi="Times New Roman" w:cs="Times New Roman"/>
          <w:b/>
          <w:kern w:val="28"/>
          <w:szCs w:val="20"/>
        </w:rPr>
        <w:t>.</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E033E2" w:rsidRPr="00910E03" w:rsidRDefault="0032368D" w:rsidP="00E033E2">
      <w:pPr>
        <w:keepNext/>
        <w:keepLines/>
        <w:spacing w:before="120" w:after="0" w:line="240" w:lineRule="auto"/>
        <w:jc w:val="both"/>
        <w:outlineLvl w:val="0"/>
        <w:rPr>
          <w:rFonts w:ascii="Times New Roman" w:eastAsia="Times New Roman" w:hAnsi="Times New Roman" w:cs="Times New Roman"/>
          <w:kern w:val="28"/>
          <w:lang w:val="en-GB"/>
        </w:rPr>
      </w:pPr>
      <w:r w:rsidRPr="0032368D">
        <w:rPr>
          <w:rFonts w:ascii="Times New Roman" w:eastAsia="Times New Roman" w:hAnsi="Times New Roman" w:cs="Times New Roman"/>
          <w:b/>
          <w:kern w:val="28"/>
          <w:szCs w:val="20"/>
        </w:rPr>
        <w:t>1.</w:t>
      </w:r>
      <w:r w:rsidRPr="0032368D">
        <w:rPr>
          <w:rFonts w:ascii="Times New Roman" w:eastAsia="Times New Roman" w:hAnsi="Times New Roman" w:cs="Times New Roman"/>
          <w:kern w:val="28"/>
          <w:szCs w:val="20"/>
        </w:rPr>
        <w:t xml:space="preserve"> </w:t>
      </w:r>
      <w:r w:rsidR="00E033E2" w:rsidRPr="00910E03">
        <w:rPr>
          <w:rFonts w:ascii="Times New Roman" w:hAnsi="Times New Roman" w:cs="Times New Roman"/>
          <w:lang w:val="en-GB"/>
        </w:rPr>
        <w:t>In accordance with paragraph 1 of Article 35</w:t>
      </w:r>
      <w:r w:rsidR="00E033E2" w:rsidRPr="00910E03">
        <w:rPr>
          <w:rFonts w:ascii="Times New Roman" w:hAnsi="Times New Roman" w:cs="Times New Roman"/>
          <w:vertAlign w:val="superscript"/>
          <w:lang w:val="en-GB"/>
        </w:rPr>
        <w:t>5</w:t>
      </w:r>
      <w:r w:rsidR="00E033E2" w:rsidRPr="00910E03">
        <w:rPr>
          <w:rStyle w:val="apple-converted-space"/>
          <w:rFonts w:ascii="Times New Roman" w:hAnsi="Times New Roman" w:cs="Times New Roman"/>
          <w:lang w:val="en-GB"/>
        </w:rPr>
        <w:t> </w:t>
      </w:r>
      <w:r w:rsidR="00E033E2" w:rsidRPr="00910E03">
        <w:rPr>
          <w:rFonts w:ascii="Times New Roman" w:hAnsi="Times New Roman" w:cs="Times New Roman"/>
          <w:lang w:val="en-GB"/>
        </w:rPr>
        <w:t>of Credit Institution Law</w:t>
      </w:r>
      <w:r w:rsidR="00E033E2" w:rsidRPr="00910E03">
        <w:rPr>
          <w:rFonts w:ascii="Times New Roman" w:eastAsia="Times New Roman" w:hAnsi="Times New Roman" w:cs="Times New Roman"/>
          <w:kern w:val="28"/>
          <w:lang w:val="en-GB"/>
        </w:rPr>
        <w:t xml:space="preserve"> </w:t>
      </w:r>
      <w:r w:rsidR="00E033E2">
        <w:rPr>
          <w:rFonts w:ascii="Times New Roman" w:hAnsi="Times New Roman" w:cs="Times New Roman"/>
          <w:lang w:val="en-GB"/>
        </w:rPr>
        <w:t xml:space="preserve">every quarter </w:t>
      </w:r>
      <w:r w:rsidR="00E033E2" w:rsidRPr="00910E03">
        <w:rPr>
          <w:rFonts w:ascii="Times New Roman" w:hAnsi="Times New Roman" w:cs="Times New Roman"/>
          <w:lang w:val="en-GB"/>
        </w:rPr>
        <w:t xml:space="preserve">the </w:t>
      </w:r>
      <w:r w:rsidR="00E033E2" w:rsidRPr="00E033E2">
        <w:rPr>
          <w:rFonts w:ascii="Times New Roman" w:hAnsi="Times New Roman" w:cs="Times New Roman"/>
          <w:lang w:val="en-GB"/>
        </w:rPr>
        <w:t>Financial and Capital Market Commission (hereinafter, the Commission)</w:t>
      </w:r>
      <w:r w:rsidR="00E033E2" w:rsidRPr="00910E03">
        <w:rPr>
          <w:rFonts w:ascii="Times New Roman" w:hAnsi="Times New Roman" w:cs="Times New Roman"/>
          <w:lang w:val="en-GB"/>
        </w:rPr>
        <w:t xml:space="preserve"> sets the countercyclical capital buffer (CCB) rate applicable to exposures to the resi</w:t>
      </w:r>
      <w:r w:rsidR="00E033E2">
        <w:rPr>
          <w:rFonts w:ascii="Times New Roman" w:hAnsi="Times New Roman" w:cs="Times New Roman"/>
          <w:lang w:val="en-GB"/>
        </w:rPr>
        <w:t>dents of the Republic of Latvia</w:t>
      </w:r>
      <w:r w:rsidR="00E033E2" w:rsidRPr="00910E03">
        <w:rPr>
          <w:rFonts w:ascii="Times New Roman" w:hAnsi="Times New Roman" w:cs="Times New Roman"/>
          <w:lang w:val="en-GB"/>
        </w:rPr>
        <w:t xml:space="preserve"> taking into account:</w:t>
      </w:r>
    </w:p>
    <w:p w:rsidR="00E033E2" w:rsidRPr="00910E03" w:rsidRDefault="00E033E2" w:rsidP="00E033E2">
      <w:pPr>
        <w:keepNext/>
        <w:keepLines/>
        <w:spacing w:before="120" w:after="0" w:line="240" w:lineRule="auto"/>
        <w:jc w:val="both"/>
        <w:outlineLvl w:val="0"/>
        <w:rPr>
          <w:rFonts w:ascii="Times New Roman" w:eastAsia="Times New Roman" w:hAnsi="Times New Roman" w:cs="Times New Roman"/>
          <w:kern w:val="28"/>
          <w:lang w:val="en-GB"/>
        </w:rPr>
      </w:pPr>
      <w:r w:rsidRPr="00910E03">
        <w:rPr>
          <w:rFonts w:ascii="Times New Roman" w:eastAsia="Times New Roman" w:hAnsi="Times New Roman" w:cs="Times New Roman"/>
          <w:kern w:val="28"/>
          <w:lang w:val="en-GB"/>
        </w:rPr>
        <w:t xml:space="preserve">1) the </w:t>
      </w:r>
      <w:r w:rsidRPr="00910E03">
        <w:rPr>
          <w:rFonts w:ascii="Times New Roman" w:hAnsi="Times New Roman" w:cs="Times New Roman"/>
          <w:lang w:val="en-GB"/>
        </w:rPr>
        <w:t>CCB guide calculated for the appropriate quarter</w:t>
      </w:r>
      <w:r w:rsidRPr="00910E03">
        <w:rPr>
          <w:rFonts w:ascii="Times New Roman" w:eastAsia="Times New Roman" w:hAnsi="Times New Roman" w:cs="Times New Roman"/>
          <w:kern w:val="28"/>
          <w:lang w:val="en-GB"/>
        </w:rPr>
        <w:t>;</w:t>
      </w:r>
    </w:p>
    <w:p w:rsidR="00E033E2" w:rsidRPr="00580AB0" w:rsidRDefault="00E033E2" w:rsidP="00E033E2">
      <w:pPr>
        <w:keepNext/>
        <w:keepLines/>
        <w:spacing w:before="120" w:after="0" w:line="240" w:lineRule="auto"/>
        <w:jc w:val="both"/>
        <w:outlineLvl w:val="0"/>
        <w:rPr>
          <w:rFonts w:ascii="Times New Roman" w:hAnsi="Times New Roman" w:cs="Times New Roman"/>
          <w:lang w:val="en-GB"/>
        </w:rPr>
      </w:pPr>
      <w:r w:rsidRPr="00910E03">
        <w:rPr>
          <w:rFonts w:ascii="Times New Roman" w:eastAsia="Times New Roman" w:hAnsi="Times New Roman" w:cs="Times New Roman"/>
          <w:kern w:val="28"/>
          <w:lang w:val="en-GB"/>
        </w:rPr>
        <w:t xml:space="preserve">2) </w:t>
      </w:r>
      <w:r w:rsidRPr="00910E03">
        <w:rPr>
          <w:rFonts w:ascii="Times New Roman" w:hAnsi="Times New Roman" w:cs="Times New Roman"/>
          <w:lang w:val="en-GB"/>
        </w:rPr>
        <w:t xml:space="preserve">variables that the Commission considers </w:t>
      </w:r>
      <w:r>
        <w:rPr>
          <w:rFonts w:ascii="Times New Roman" w:hAnsi="Times New Roman" w:cs="Times New Roman"/>
          <w:lang w:val="en-GB"/>
        </w:rPr>
        <w:t>significant</w:t>
      </w:r>
      <w:r w:rsidRPr="00910E03">
        <w:rPr>
          <w:rFonts w:ascii="Times New Roman" w:hAnsi="Times New Roman" w:cs="Times New Roman"/>
          <w:lang w:val="en-GB"/>
        </w:rPr>
        <w:t xml:space="preserve"> for assessing </w:t>
      </w:r>
      <w:r>
        <w:rPr>
          <w:rFonts w:ascii="Times New Roman" w:hAnsi="Times New Roman" w:cs="Times New Roman"/>
          <w:lang w:val="en-GB"/>
        </w:rPr>
        <w:t xml:space="preserve">significant </w:t>
      </w:r>
      <w:r w:rsidRPr="00910E03">
        <w:rPr>
          <w:rFonts w:ascii="Times New Roman" w:hAnsi="Times New Roman" w:cs="Times New Roman"/>
          <w:lang w:val="en-GB"/>
        </w:rPr>
        <w:t>cyclical systemic risk</w:t>
      </w:r>
      <w:r w:rsidRPr="00910E03">
        <w:rPr>
          <w:rFonts w:ascii="Times New Roman" w:eastAsia="Times New Roman" w:hAnsi="Times New Roman" w:cs="Times New Roman"/>
          <w:kern w:val="28"/>
          <w:lang w:val="en-GB"/>
        </w:rPr>
        <w:t>;</w:t>
      </w:r>
    </w:p>
    <w:p w:rsidR="00E033E2" w:rsidRDefault="00E033E2" w:rsidP="00E033E2">
      <w:pPr>
        <w:keepNext/>
        <w:keepLines/>
        <w:spacing w:before="120" w:after="0" w:line="240" w:lineRule="auto"/>
        <w:jc w:val="both"/>
        <w:outlineLvl w:val="0"/>
        <w:rPr>
          <w:rFonts w:ascii="Times New Roman" w:hAnsi="Times New Roman" w:cs="Times New Roman"/>
          <w:lang w:val="en-GB"/>
        </w:rPr>
      </w:pPr>
      <w:r w:rsidRPr="00910E03">
        <w:rPr>
          <w:rFonts w:ascii="Times New Roman" w:eastAsia="Times New Roman" w:hAnsi="Times New Roman" w:cs="Times New Roman"/>
          <w:kern w:val="28"/>
          <w:lang w:val="en-GB"/>
        </w:rPr>
        <w:t xml:space="preserve">3) </w:t>
      </w:r>
      <w:r w:rsidRPr="00910E03">
        <w:rPr>
          <w:rFonts w:ascii="Times New Roman" w:hAnsi="Times New Roman" w:cs="Times New Roman"/>
          <w:lang w:val="en-GB"/>
        </w:rPr>
        <w:t>effective European Systemic Risk Board</w:t>
      </w:r>
      <w:r>
        <w:rPr>
          <w:rFonts w:ascii="Times New Roman" w:hAnsi="Times New Roman" w:cs="Times New Roman"/>
          <w:lang w:val="en-GB"/>
        </w:rPr>
        <w:t>'s</w:t>
      </w:r>
      <w:r w:rsidRPr="00910E03">
        <w:rPr>
          <w:rFonts w:ascii="Times New Roman" w:hAnsi="Times New Roman" w:cs="Times New Roman"/>
          <w:lang w:val="en-GB"/>
        </w:rPr>
        <w:t xml:space="preserve"> (ESRB) recommendations on the setting of the CCB rate</w:t>
      </w:r>
      <w:r>
        <w:rPr>
          <w:rFonts w:ascii="Times New Roman" w:hAnsi="Times New Roman" w:cs="Times New Roman"/>
          <w:lang w:val="en-GB"/>
        </w:rPr>
        <w:t>.</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2.</w:t>
      </w:r>
      <w:r w:rsidRPr="0032368D">
        <w:rPr>
          <w:rFonts w:ascii="Times New Roman" w:eastAsia="Times New Roman" w:hAnsi="Times New Roman" w:cs="Times New Roman"/>
          <w:kern w:val="28"/>
          <w:szCs w:val="20"/>
        </w:rPr>
        <w:t xml:space="preserve"> </w:t>
      </w:r>
      <w:r w:rsidR="00E033E2" w:rsidRPr="00910E03">
        <w:rPr>
          <w:rFonts w:ascii="Times New Roman" w:hAnsi="Times New Roman" w:cs="Times New Roman"/>
          <w:lang w:val="en-GB"/>
        </w:rPr>
        <w:t xml:space="preserve">The CCB </w:t>
      </w:r>
      <w:r w:rsidR="00E033E2">
        <w:rPr>
          <w:rFonts w:ascii="Times New Roman" w:hAnsi="Times New Roman" w:cs="Times New Roman"/>
          <w:lang w:val="en-GB"/>
        </w:rPr>
        <w:t xml:space="preserve">rate </w:t>
      </w:r>
      <w:r w:rsidR="00E033E2" w:rsidRPr="00910E03">
        <w:rPr>
          <w:rFonts w:ascii="Times New Roman" w:hAnsi="Times New Roman" w:cs="Times New Roman"/>
          <w:lang w:val="en-GB"/>
        </w:rPr>
        <w:t>shall be established to ensure that credit institutions accumulate, during periods of economic growth, an additional capital base to absorb losses in economic downturn and/or stressed periods.</w:t>
      </w:r>
      <w:r w:rsidR="00E033E2" w:rsidRPr="00910E03">
        <w:rPr>
          <w:rFonts w:ascii="Times New Roman" w:eastAsia="Times New Roman" w:hAnsi="Times New Roman" w:cs="Times New Roman"/>
          <w:kern w:val="28"/>
          <w:lang w:val="en-GB"/>
        </w:rPr>
        <w:t xml:space="preserv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3.</w:t>
      </w:r>
      <w:r w:rsidRPr="0032368D">
        <w:rPr>
          <w:rFonts w:ascii="Times New Roman" w:eastAsia="Times New Roman" w:hAnsi="Times New Roman" w:cs="Times New Roman"/>
          <w:kern w:val="28"/>
          <w:szCs w:val="20"/>
        </w:rPr>
        <w:t xml:space="preserve"> </w:t>
      </w:r>
      <w:r w:rsidR="00E033E2" w:rsidRPr="00910E03">
        <w:rPr>
          <w:rFonts w:ascii="Times New Roman" w:hAnsi="Times New Roman" w:cs="Times New Roman"/>
          <w:lang w:val="en-GB"/>
        </w:rPr>
        <w:t xml:space="preserve">The calculation of the CCB guide shall be carried out taking into account the </w:t>
      </w:r>
      <w:r w:rsidR="00E033E2">
        <w:rPr>
          <w:rFonts w:ascii="Times New Roman" w:hAnsi="Times New Roman" w:cs="Times New Roman"/>
          <w:lang w:val="en-GB"/>
        </w:rPr>
        <w:t xml:space="preserve">deviation of </w:t>
      </w:r>
      <w:r w:rsidR="00E033E2" w:rsidRPr="00910E03">
        <w:rPr>
          <w:rFonts w:ascii="Times New Roman" w:hAnsi="Times New Roman" w:cs="Times New Roman"/>
          <w:lang w:val="en-GB"/>
        </w:rPr>
        <w:t>the credit (issued to the Latvian reside</w:t>
      </w:r>
      <w:r w:rsidR="00E033E2">
        <w:rPr>
          <w:rFonts w:ascii="Times New Roman" w:hAnsi="Times New Roman" w:cs="Times New Roman"/>
          <w:lang w:val="en-GB"/>
        </w:rPr>
        <w:t xml:space="preserve">nts) </w:t>
      </w:r>
      <w:r w:rsidR="00E033E2" w:rsidRPr="00910E03">
        <w:rPr>
          <w:rFonts w:ascii="Times New Roman" w:hAnsi="Times New Roman" w:cs="Times New Roman"/>
          <w:lang w:val="en-GB"/>
        </w:rPr>
        <w:t>to</w:t>
      </w:r>
      <w:r w:rsidR="00570731">
        <w:rPr>
          <w:rFonts w:ascii="Times New Roman" w:hAnsi="Times New Roman" w:cs="Times New Roman"/>
          <w:lang w:val="en-GB"/>
        </w:rPr>
        <w:t xml:space="preserve"> </w:t>
      </w:r>
      <w:r w:rsidR="00E033E2" w:rsidRPr="00910E03">
        <w:rPr>
          <w:rFonts w:ascii="Times New Roman" w:hAnsi="Times New Roman" w:cs="Times New Roman"/>
          <w:lang w:val="en-GB"/>
        </w:rPr>
        <w:t xml:space="preserve">GDP ratio </w:t>
      </w:r>
      <w:r w:rsidR="00E033E2">
        <w:rPr>
          <w:rFonts w:ascii="Times New Roman" w:hAnsi="Times New Roman" w:cs="Times New Roman"/>
          <w:lang w:val="en-GB"/>
        </w:rPr>
        <w:t>from</w:t>
      </w:r>
      <w:r w:rsidR="00E033E2" w:rsidRPr="00910E03">
        <w:rPr>
          <w:rFonts w:ascii="Times New Roman" w:hAnsi="Times New Roman" w:cs="Times New Roman"/>
          <w:lang w:val="en-GB"/>
        </w:rPr>
        <w:t xml:space="preserve"> its long-run trend</w:t>
      </w:r>
      <w:r w:rsidR="00E033E2" w:rsidRPr="00910E03">
        <w:rPr>
          <w:rFonts w:ascii="Times New Roman" w:eastAsia="Times New Roman" w:hAnsi="Times New Roman" w:cs="Times New Roman"/>
          <w:kern w:val="28"/>
          <w:lang w:val="en-GB"/>
        </w:rPr>
        <w:t xml:space="preserve"> (hereinafter</w:t>
      </w:r>
      <w:r w:rsidR="00E033E2">
        <w:rPr>
          <w:rFonts w:ascii="Times New Roman" w:eastAsia="Times New Roman" w:hAnsi="Times New Roman" w:cs="Times New Roman"/>
          <w:kern w:val="28"/>
          <w:lang w:val="en-GB"/>
        </w:rPr>
        <w:t>,</w:t>
      </w:r>
      <w:r w:rsidR="00E033E2" w:rsidRPr="00910E03">
        <w:rPr>
          <w:rFonts w:ascii="Times New Roman" w:eastAsia="Times New Roman" w:hAnsi="Times New Roman" w:cs="Times New Roman"/>
          <w:kern w:val="28"/>
          <w:lang w:val="en-GB"/>
        </w:rPr>
        <w:t xml:space="preserve"> the credit-to-GDP gap).</w:t>
      </w:r>
      <w:r w:rsidRPr="0032368D">
        <w:rPr>
          <w:rFonts w:ascii="Times New Roman" w:eastAsia="Times New Roman" w:hAnsi="Times New Roman" w:cs="Times New Roman"/>
          <w:kern w:val="28"/>
          <w:szCs w:val="20"/>
        </w:rPr>
        <w:t xml:space="preserv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570731" w:rsidRDefault="0032368D" w:rsidP="0032368D">
      <w:pPr>
        <w:keepNext/>
        <w:keepLines/>
        <w:spacing w:before="120" w:after="0" w:line="240" w:lineRule="auto"/>
        <w:jc w:val="both"/>
        <w:outlineLvl w:val="0"/>
        <w:rPr>
          <w:rFonts w:ascii="Times New Roman" w:eastAsia="Times New Roman" w:hAnsi="Times New Roman" w:cs="Times New Roman"/>
          <w:kern w:val="28"/>
          <w:szCs w:val="20"/>
          <w:lang w:val="en-US"/>
        </w:rPr>
      </w:pPr>
      <w:r w:rsidRPr="00570731">
        <w:rPr>
          <w:rFonts w:ascii="Times New Roman" w:eastAsia="Times New Roman" w:hAnsi="Times New Roman" w:cs="Times New Roman"/>
          <w:b/>
          <w:kern w:val="28"/>
          <w:szCs w:val="20"/>
          <w:lang w:val="en-US"/>
        </w:rPr>
        <w:t>4</w:t>
      </w:r>
      <w:r w:rsidRPr="00570731">
        <w:rPr>
          <w:rFonts w:ascii="Times New Roman" w:eastAsia="Times New Roman" w:hAnsi="Times New Roman" w:cs="Times New Roman"/>
          <w:kern w:val="28"/>
          <w:szCs w:val="20"/>
          <w:lang w:val="en-US"/>
        </w:rPr>
        <w:t xml:space="preserve">. </w:t>
      </w:r>
      <w:r w:rsidR="00E033E2" w:rsidRPr="00570731">
        <w:rPr>
          <w:rFonts w:ascii="Times New Roman" w:eastAsia="Times New Roman" w:hAnsi="Times New Roman" w:cs="Times New Roman"/>
          <w:kern w:val="28"/>
          <w:szCs w:val="20"/>
          <w:lang w:val="en-US"/>
        </w:rPr>
        <w:t xml:space="preserve">In accordance with </w:t>
      </w:r>
      <w:r w:rsidR="00E033E2" w:rsidRPr="00570731">
        <w:rPr>
          <w:rFonts w:ascii="Times New Roman" w:hAnsi="Times New Roman" w:cs="Times New Roman"/>
          <w:lang w:val="en-US"/>
        </w:rPr>
        <w:t>the ESRB Recommendation</w:t>
      </w:r>
      <w:r w:rsidRPr="00570731">
        <w:rPr>
          <w:rFonts w:ascii="Times New Roman" w:eastAsia="Times New Roman" w:hAnsi="Times New Roman" w:cs="Times New Roman"/>
          <w:kern w:val="28"/>
          <w:szCs w:val="20"/>
          <w:vertAlign w:val="superscript"/>
          <w:lang w:val="en-US"/>
        </w:rPr>
        <w:footnoteReference w:id="1"/>
      </w:r>
      <w:r w:rsidRPr="00570731">
        <w:rPr>
          <w:rFonts w:ascii="Times New Roman" w:eastAsia="Times New Roman" w:hAnsi="Times New Roman" w:cs="Times New Roman"/>
          <w:kern w:val="28"/>
          <w:szCs w:val="20"/>
          <w:lang w:val="en-US"/>
        </w:rPr>
        <w:t xml:space="preserve"> (</w:t>
      </w:r>
      <w:r w:rsidR="00E033E2" w:rsidRPr="00570731">
        <w:rPr>
          <w:rFonts w:ascii="Times New Roman" w:eastAsia="Times New Roman" w:hAnsi="Times New Roman" w:cs="Times New Roman"/>
          <w:kern w:val="28"/>
          <w:szCs w:val="20"/>
          <w:lang w:val="en-US"/>
        </w:rPr>
        <w:t>hereinafter, the Recommendation</w:t>
      </w:r>
      <w:r w:rsidRPr="00570731">
        <w:rPr>
          <w:rFonts w:ascii="Times New Roman" w:eastAsia="Times New Roman" w:hAnsi="Times New Roman" w:cs="Times New Roman"/>
          <w:kern w:val="28"/>
          <w:szCs w:val="20"/>
          <w:lang w:val="en-US"/>
        </w:rPr>
        <w:t xml:space="preserve">), </w:t>
      </w:r>
      <w:r w:rsidR="00570731" w:rsidRPr="00570731">
        <w:rPr>
          <w:rFonts w:ascii="Times New Roman" w:eastAsia="Times New Roman" w:hAnsi="Times New Roman" w:cs="Times New Roman"/>
          <w:kern w:val="28"/>
          <w:szCs w:val="20"/>
          <w:lang w:val="en-US"/>
        </w:rPr>
        <w:t xml:space="preserve">the CCB guide </w:t>
      </w:r>
      <w:r w:rsidR="00570731">
        <w:rPr>
          <w:rFonts w:ascii="Times New Roman" w:eastAsia="Times New Roman" w:hAnsi="Times New Roman" w:cs="Times New Roman"/>
          <w:kern w:val="28"/>
          <w:szCs w:val="20"/>
          <w:lang w:val="en-US"/>
        </w:rPr>
        <w:t xml:space="preserve">may be calculated using the data of broad and narrow definition time series. The broad credit definition (recommended by the Basel Committee on Banking Supervision (BCBS)) covers banking loans and loans issued by non-bank financial institutions to the domestic private non-financial sector. The </w:t>
      </w:r>
      <w:r w:rsidR="00570731" w:rsidRPr="00570731">
        <w:rPr>
          <w:rFonts w:ascii="Times New Roman" w:eastAsia="Times New Roman" w:hAnsi="Times New Roman" w:cs="Times New Roman"/>
          <w:b/>
          <w:kern w:val="28"/>
          <w:szCs w:val="20"/>
          <w:lang w:val="en-US"/>
        </w:rPr>
        <w:t>standardized credit-to-GDP gap</w:t>
      </w:r>
      <w:r w:rsidR="00570731">
        <w:rPr>
          <w:rFonts w:ascii="Times New Roman" w:eastAsia="Times New Roman" w:hAnsi="Times New Roman" w:cs="Times New Roman"/>
          <w:kern w:val="28"/>
          <w:szCs w:val="20"/>
          <w:lang w:val="en-US"/>
        </w:rPr>
        <w:t xml:space="preserve"> has been assessed using the broad definition time series. The narrow credit definition, which is allowed by the Recommendation, in the case of Latvia does not include loans from non-bank financial institutions. </w:t>
      </w:r>
      <w:r w:rsidR="009E6E97">
        <w:rPr>
          <w:rFonts w:ascii="Times New Roman" w:eastAsia="Times New Roman" w:hAnsi="Times New Roman" w:cs="Times New Roman"/>
          <w:kern w:val="28"/>
          <w:szCs w:val="20"/>
          <w:lang w:val="en-US"/>
        </w:rPr>
        <w:t xml:space="preserve">The </w:t>
      </w:r>
      <w:r w:rsidR="009E6E97" w:rsidRPr="009E6E97">
        <w:rPr>
          <w:rFonts w:ascii="Times New Roman" w:eastAsia="Times New Roman" w:hAnsi="Times New Roman" w:cs="Times New Roman"/>
          <w:b/>
          <w:kern w:val="28"/>
          <w:szCs w:val="20"/>
          <w:lang w:val="en-US"/>
        </w:rPr>
        <w:t>additional credit-to-GDP gap</w:t>
      </w:r>
      <w:r w:rsidR="009E6E97">
        <w:rPr>
          <w:rFonts w:ascii="Times New Roman" w:eastAsia="Times New Roman" w:hAnsi="Times New Roman" w:cs="Times New Roman"/>
          <w:kern w:val="28"/>
          <w:szCs w:val="20"/>
          <w:lang w:val="en-US"/>
        </w:rPr>
        <w:t xml:space="preserve"> was assessed based on the narrow credit definition time series. </w:t>
      </w:r>
      <w:r w:rsidR="00570731">
        <w:rPr>
          <w:rFonts w:ascii="Times New Roman" w:eastAsia="Times New Roman" w:hAnsi="Times New Roman" w:cs="Times New Roman"/>
          <w:kern w:val="28"/>
          <w:szCs w:val="20"/>
          <w:lang w:val="en-US"/>
        </w:rPr>
        <w:t xml:space="preserve"> </w:t>
      </w:r>
    </w:p>
    <w:p w:rsidR="00570731" w:rsidRPr="00570731" w:rsidRDefault="00570731" w:rsidP="0032368D">
      <w:pPr>
        <w:keepNext/>
        <w:keepLines/>
        <w:spacing w:before="120" w:after="0" w:line="240" w:lineRule="auto"/>
        <w:jc w:val="both"/>
        <w:outlineLvl w:val="0"/>
        <w:rPr>
          <w:rFonts w:ascii="Times New Roman" w:eastAsia="Times New Roman" w:hAnsi="Times New Roman" w:cs="Times New Roman"/>
          <w:kern w:val="28"/>
          <w:szCs w:val="20"/>
          <w:lang w:val="en-US"/>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5.</w:t>
      </w:r>
      <w:r w:rsidRPr="0032368D">
        <w:rPr>
          <w:rFonts w:ascii="Times New Roman" w:eastAsia="Times New Roman" w:hAnsi="Times New Roman" w:cs="Times New Roman"/>
          <w:kern w:val="28"/>
          <w:szCs w:val="20"/>
        </w:rPr>
        <w:t xml:space="preserve"> </w:t>
      </w:r>
      <w:r w:rsidR="002836F2" w:rsidRPr="00910E03">
        <w:rPr>
          <w:rFonts w:ascii="Times New Roman" w:eastAsia="Times New Roman" w:hAnsi="Times New Roman" w:cs="Times New Roman"/>
          <w:kern w:val="28"/>
          <w:lang w:val="en-GB"/>
        </w:rPr>
        <w:t>In Latvia, using the broad credit definition</w:t>
      </w:r>
      <w:r w:rsidR="002836F2">
        <w:rPr>
          <w:rFonts w:ascii="Times New Roman" w:eastAsia="Times New Roman" w:hAnsi="Times New Roman" w:cs="Times New Roman"/>
          <w:kern w:val="28"/>
          <w:lang w:val="en-GB"/>
        </w:rPr>
        <w:t>,</w:t>
      </w:r>
      <w:r w:rsidR="002836F2" w:rsidRPr="00910E03">
        <w:rPr>
          <w:rFonts w:ascii="Times New Roman" w:eastAsia="Times New Roman" w:hAnsi="Times New Roman" w:cs="Times New Roman"/>
          <w:kern w:val="28"/>
          <w:lang w:val="en-GB"/>
        </w:rPr>
        <w:t xml:space="preserve"> the credit-to-GDP ratio was 100% in Q4 2014</w:t>
      </w:r>
      <w:r w:rsidR="002836F2">
        <w:rPr>
          <w:rFonts w:ascii="Times New Roman" w:eastAsia="Times New Roman" w:hAnsi="Times New Roman" w:cs="Times New Roman"/>
          <w:kern w:val="28"/>
          <w:lang w:val="en-GB"/>
        </w:rPr>
        <w:t xml:space="preserve"> </w:t>
      </w:r>
      <w:r w:rsidR="002836F2" w:rsidRPr="00910E03">
        <w:rPr>
          <w:rFonts w:ascii="Times New Roman" w:eastAsia="Times New Roman" w:hAnsi="Times New Roman" w:cs="Times New Roman"/>
          <w:kern w:val="28"/>
          <w:lang w:val="en-GB"/>
        </w:rPr>
        <w:t>while its standardized gap was -43%</w:t>
      </w:r>
      <w:r w:rsidRPr="0032368D">
        <w:rPr>
          <w:rFonts w:ascii="Times New Roman" w:eastAsia="Times New Roman" w:hAnsi="Times New Roman" w:cs="Times New Roman"/>
          <w:kern w:val="28"/>
          <w:szCs w:val="20"/>
        </w:rPr>
        <w:t>.</w:t>
      </w:r>
      <w:r w:rsidRPr="0032368D">
        <w:rPr>
          <w:rFonts w:ascii="Times New Roman" w:eastAsia="Times New Roman" w:hAnsi="Times New Roman" w:cs="Times New Roman"/>
          <w:kern w:val="28"/>
          <w:szCs w:val="20"/>
          <w:vertAlign w:val="superscript"/>
        </w:rPr>
        <w:footnoteReference w:id="2"/>
      </w:r>
      <w:r w:rsidRPr="0032368D">
        <w:rPr>
          <w:rFonts w:ascii="Times New Roman" w:eastAsia="Times New Roman" w:hAnsi="Times New Roman" w:cs="Times New Roman"/>
          <w:kern w:val="28"/>
          <w:szCs w:val="20"/>
        </w:rPr>
        <w:t xml:space="preserve"> </w:t>
      </w:r>
      <w:r w:rsidR="0041107E">
        <w:rPr>
          <w:rFonts w:ascii="Times New Roman" w:eastAsia="Times New Roman" w:hAnsi="Times New Roman" w:cs="Times New Roman"/>
          <w:kern w:val="28"/>
          <w:lang w:val="en-GB"/>
        </w:rPr>
        <w:t xml:space="preserve">In case </w:t>
      </w:r>
      <w:r w:rsidR="0041107E" w:rsidRPr="00910E03">
        <w:rPr>
          <w:rFonts w:ascii="Times New Roman" w:eastAsia="Times New Roman" w:hAnsi="Times New Roman" w:cs="Times New Roman"/>
          <w:kern w:val="28"/>
          <w:lang w:val="en-GB"/>
        </w:rPr>
        <w:t>the total credit-to-GDP gap exceeds the long-run trend by 2 percent points</w:t>
      </w:r>
      <w:r w:rsidR="0041107E">
        <w:rPr>
          <w:rFonts w:ascii="Times New Roman" w:eastAsia="Times New Roman" w:hAnsi="Times New Roman" w:cs="Times New Roman"/>
          <w:kern w:val="28"/>
          <w:lang w:val="en-GB"/>
        </w:rPr>
        <w:t xml:space="preserve">, </w:t>
      </w:r>
      <w:r w:rsidR="0041107E" w:rsidRPr="00910E03">
        <w:rPr>
          <w:rFonts w:ascii="Times New Roman" w:hAnsi="Times New Roman" w:cs="Times New Roman"/>
          <w:lang w:val="en-GB"/>
        </w:rPr>
        <w:t>the benchmark buffer rate will increase linearly</w:t>
      </w:r>
      <w:r w:rsidRPr="0032368D">
        <w:rPr>
          <w:rFonts w:ascii="Times New Roman" w:eastAsia="Times New Roman" w:hAnsi="Times New Roman" w:cs="Times New Roman"/>
          <w:kern w:val="28"/>
          <w:szCs w:val="20"/>
          <w:vertAlign w:val="superscript"/>
        </w:rPr>
        <w:footnoteReference w:id="3"/>
      </w:r>
      <w:r w:rsidRPr="0032368D">
        <w:rPr>
          <w:rFonts w:ascii="Times New Roman" w:eastAsia="Times New Roman" w:hAnsi="Times New Roman" w:cs="Times New Roman"/>
          <w:kern w:val="28"/>
          <w:szCs w:val="20"/>
        </w:rPr>
        <w:t xml:space="preserve"> </w:t>
      </w:r>
      <w:r w:rsidR="0041107E" w:rsidRPr="00910E03">
        <w:rPr>
          <w:rFonts w:ascii="Times New Roman" w:hAnsi="Times New Roman" w:cs="Times New Roman"/>
          <w:lang w:val="en-GB"/>
        </w:rPr>
        <w:t>from zero to the upper threshold</w:t>
      </w:r>
      <w:r w:rsidR="0041107E">
        <w:rPr>
          <w:rFonts w:ascii="Times New Roman" w:hAnsi="Times New Roman" w:cs="Times New Roman"/>
          <w:lang w:val="en-GB"/>
        </w:rPr>
        <w:t xml:space="preserve"> </w:t>
      </w:r>
      <w:r w:rsidR="0041107E" w:rsidRPr="00910E03">
        <w:rPr>
          <w:rFonts w:ascii="Times New Roman" w:eastAsia="Times New Roman" w:hAnsi="Times New Roman" w:cs="Times New Roman"/>
          <w:kern w:val="28"/>
          <w:lang w:val="en-GB"/>
        </w:rPr>
        <w:t xml:space="preserve">of </w:t>
      </w:r>
      <w:r w:rsidR="0041107E" w:rsidRPr="00910E03">
        <w:rPr>
          <w:rFonts w:ascii="Times New Roman" w:hAnsi="Times New Roman" w:cs="Times New Roman"/>
          <w:lang w:val="en-GB"/>
        </w:rPr>
        <w:t xml:space="preserve">risk-weighted assets </w:t>
      </w:r>
      <w:r w:rsidR="0041107E">
        <w:rPr>
          <w:rFonts w:ascii="Times New Roman" w:hAnsi="Times New Roman" w:cs="Times New Roman"/>
          <w:lang w:val="en-GB"/>
        </w:rPr>
        <w:t>at</w:t>
      </w:r>
      <w:r w:rsidR="0041107E" w:rsidRPr="00910E03">
        <w:rPr>
          <w:rFonts w:ascii="Times New Roman" w:eastAsia="Times New Roman" w:hAnsi="Times New Roman" w:cs="Times New Roman"/>
          <w:kern w:val="28"/>
          <w:lang w:val="en-GB"/>
        </w:rPr>
        <w:t xml:space="preserve"> 2.5%, </w:t>
      </w:r>
      <w:r w:rsidR="0041107E">
        <w:rPr>
          <w:rFonts w:ascii="Times New Roman" w:eastAsia="Times New Roman" w:hAnsi="Times New Roman" w:cs="Times New Roman"/>
          <w:kern w:val="28"/>
          <w:lang w:val="en-GB"/>
        </w:rPr>
        <w:t>where</w:t>
      </w:r>
      <w:r w:rsidR="0041107E" w:rsidRPr="00910E03">
        <w:rPr>
          <w:rFonts w:ascii="Times New Roman" w:eastAsia="Times New Roman" w:hAnsi="Times New Roman" w:cs="Times New Roman"/>
          <w:kern w:val="28"/>
          <w:lang w:val="en-GB"/>
        </w:rPr>
        <w:t xml:space="preserve"> the credit-to-GDP gap reaches 10 percent points. </w:t>
      </w:r>
      <w:r w:rsidR="0041107E" w:rsidRPr="00910E03">
        <w:rPr>
          <w:rFonts w:ascii="Times New Roman" w:hAnsi="Times New Roman" w:cs="Times New Roman"/>
          <w:lang w:val="en-GB"/>
        </w:rPr>
        <w:t>Where the gap is at -43%, the benchmark buffer rate will be 0%</w:t>
      </w:r>
      <w:r w:rsidR="0041107E">
        <w:rPr>
          <w:rFonts w:ascii="Times New Roman" w:hAnsi="Times New Roman" w:cs="Times New Roman"/>
          <w:lang w:val="en-GB"/>
        </w:rPr>
        <w:t>.</w:t>
      </w:r>
    </w:p>
    <w:p w:rsidR="0058384E" w:rsidRDefault="0058384E" w:rsidP="0032368D">
      <w:pPr>
        <w:spacing w:after="0" w:line="240" w:lineRule="auto"/>
        <w:jc w:val="both"/>
        <w:rPr>
          <w:rFonts w:ascii="Times New Roman" w:eastAsia="Times New Roman" w:hAnsi="Times New Roman" w:cs="Times New Roman"/>
          <w:b/>
          <w:szCs w:val="24"/>
        </w:rPr>
      </w:pPr>
    </w:p>
    <w:p w:rsidR="0032368D" w:rsidRPr="0032368D" w:rsidRDefault="0032368D" w:rsidP="0032368D">
      <w:pPr>
        <w:spacing w:after="0" w:line="240" w:lineRule="auto"/>
        <w:jc w:val="both"/>
        <w:rPr>
          <w:rFonts w:ascii="Times New Roman" w:eastAsia="Times New Roman" w:hAnsi="Times New Roman" w:cs="Times New Roman"/>
          <w:szCs w:val="24"/>
        </w:rPr>
      </w:pPr>
      <w:r w:rsidRPr="0032368D">
        <w:rPr>
          <w:rFonts w:ascii="Times New Roman" w:eastAsia="Times New Roman" w:hAnsi="Times New Roman" w:cs="Times New Roman"/>
          <w:b/>
          <w:szCs w:val="24"/>
        </w:rPr>
        <w:t>6.</w:t>
      </w:r>
      <w:r w:rsidRPr="0032368D">
        <w:rPr>
          <w:rFonts w:ascii="Times New Roman" w:eastAsia="Times New Roman" w:hAnsi="Times New Roman" w:cs="Times New Roman"/>
          <w:szCs w:val="24"/>
        </w:rPr>
        <w:t xml:space="preserve"> </w:t>
      </w:r>
      <w:r w:rsidR="0058384E" w:rsidRPr="00910E03">
        <w:rPr>
          <w:rFonts w:ascii="Times New Roman" w:eastAsia="Times New Roman" w:hAnsi="Times New Roman" w:cs="Times New Roman"/>
          <w:lang w:val="en-GB"/>
        </w:rPr>
        <w:t xml:space="preserve">Applying the narrow </w:t>
      </w:r>
      <w:r w:rsidR="0058384E" w:rsidRPr="00910E03">
        <w:rPr>
          <w:rFonts w:ascii="Times New Roman" w:eastAsia="Times New Roman" w:hAnsi="Times New Roman" w:cs="Times New Roman"/>
          <w:kern w:val="28"/>
          <w:lang w:val="en-GB"/>
        </w:rPr>
        <w:t xml:space="preserve">credit definition the credit-to-GDP ratio was </w:t>
      </w:r>
      <w:r w:rsidR="0058384E" w:rsidRPr="00910E03">
        <w:rPr>
          <w:rFonts w:ascii="Times New Roman" w:eastAsia="Times New Roman" w:hAnsi="Times New Roman" w:cs="Times New Roman"/>
          <w:lang w:val="en-GB"/>
        </w:rPr>
        <w:t>46%, but the additional gap was -35%</w:t>
      </w:r>
      <w:r w:rsidRPr="0032368D">
        <w:rPr>
          <w:rFonts w:ascii="Times New Roman" w:eastAsia="Times New Roman" w:hAnsi="Times New Roman" w:cs="Times New Roman"/>
          <w:szCs w:val="24"/>
          <w:vertAlign w:val="superscript"/>
        </w:rPr>
        <w:footnoteReference w:id="4"/>
      </w:r>
      <w:r w:rsidR="0058384E">
        <w:rPr>
          <w:rFonts w:ascii="Times New Roman" w:eastAsia="Times New Roman" w:hAnsi="Times New Roman" w:cs="Times New Roman"/>
          <w:lang w:val="en-GB"/>
        </w:rPr>
        <w:t xml:space="preserve"> </w:t>
      </w:r>
      <w:r w:rsidR="0058384E" w:rsidRPr="00910E03">
        <w:rPr>
          <w:rFonts w:ascii="Times New Roman" w:eastAsia="Times New Roman" w:hAnsi="Times New Roman" w:cs="Times New Roman"/>
          <w:lang w:val="en-GB"/>
        </w:rPr>
        <w:t xml:space="preserve">in Q1 2015, as a result the </w:t>
      </w:r>
      <w:r w:rsidR="0058384E" w:rsidRPr="00910E03">
        <w:rPr>
          <w:rFonts w:ascii="Times New Roman" w:hAnsi="Times New Roman" w:cs="Times New Roman"/>
          <w:lang w:val="en-GB"/>
        </w:rPr>
        <w:t>benchmark buffer rate</w:t>
      </w:r>
      <w:r w:rsidR="0058384E" w:rsidRPr="00910E03">
        <w:rPr>
          <w:rFonts w:ascii="Times New Roman" w:eastAsia="Times New Roman" w:hAnsi="Times New Roman" w:cs="Times New Roman"/>
          <w:lang w:val="en-GB"/>
        </w:rPr>
        <w:t xml:space="preserve"> calculated </w:t>
      </w:r>
      <w:r w:rsidR="0058384E" w:rsidRPr="00910E03">
        <w:rPr>
          <w:rFonts w:ascii="Times New Roman" w:hAnsi="Times New Roman" w:cs="Times New Roman"/>
          <w:lang w:val="en-GB"/>
        </w:rPr>
        <w:t xml:space="preserve">under the </w:t>
      </w:r>
      <w:r w:rsidR="0058384E" w:rsidRPr="00910E03">
        <w:rPr>
          <w:rFonts w:ascii="Times New Roman" w:hAnsi="Times New Roman" w:cs="Times New Roman"/>
          <w:lang w:val="en-GB"/>
        </w:rPr>
        <w:lastRenderedPageBreak/>
        <w:t xml:space="preserve">additional </w:t>
      </w:r>
      <w:r w:rsidR="0058384E">
        <w:rPr>
          <w:rFonts w:ascii="Times New Roman" w:hAnsi="Times New Roman" w:cs="Times New Roman"/>
          <w:lang w:val="en-GB"/>
        </w:rPr>
        <w:t xml:space="preserve">credit-to-GDP gap </w:t>
      </w:r>
      <w:r w:rsidR="0058384E" w:rsidRPr="00910E03">
        <w:rPr>
          <w:rFonts w:ascii="Times New Roman" w:hAnsi="Times New Roman" w:cs="Times New Roman"/>
          <w:lang w:val="en-GB"/>
        </w:rPr>
        <w:t xml:space="preserve">was </w:t>
      </w:r>
      <w:r w:rsidR="0058384E" w:rsidRPr="00910E03">
        <w:rPr>
          <w:rFonts w:ascii="Times New Roman" w:eastAsia="Times New Roman" w:hAnsi="Times New Roman" w:cs="Times New Roman"/>
          <w:lang w:val="en-GB"/>
        </w:rPr>
        <w:t xml:space="preserve">0%. </w:t>
      </w:r>
      <w:r w:rsidR="0058384E" w:rsidRPr="00910E03">
        <w:rPr>
          <w:rFonts w:ascii="Times New Roman" w:hAnsi="Times New Roman" w:cs="Times New Roman"/>
          <w:lang w:val="en-GB"/>
        </w:rPr>
        <w:t xml:space="preserve">In accordance with </w:t>
      </w:r>
      <w:r w:rsidR="0058384E">
        <w:rPr>
          <w:rFonts w:ascii="Times New Roman" w:hAnsi="Times New Roman" w:cs="Times New Roman"/>
          <w:lang w:val="en-GB"/>
        </w:rPr>
        <w:t xml:space="preserve">the </w:t>
      </w:r>
      <w:r w:rsidR="00B07BD8">
        <w:rPr>
          <w:rFonts w:ascii="Times New Roman" w:hAnsi="Times New Roman" w:cs="Times New Roman"/>
          <w:lang w:val="en-GB"/>
        </w:rPr>
        <w:t>Recommendation</w:t>
      </w:r>
      <w:r w:rsidR="0058384E" w:rsidRPr="00910E03">
        <w:rPr>
          <w:rFonts w:ascii="Times New Roman" w:hAnsi="Times New Roman" w:cs="Times New Roman"/>
          <w:lang w:val="en-GB"/>
        </w:rPr>
        <w:t xml:space="preserve"> the benchmark buffer rate that best reflects the specificities of the national economy shall be selected as the CCB guide</w:t>
      </w:r>
      <w:r w:rsidR="0058384E" w:rsidRPr="00910E03">
        <w:rPr>
          <w:rFonts w:ascii="Times New Roman" w:eastAsia="Times New Roman" w:hAnsi="Times New Roman" w:cs="Times New Roman"/>
          <w:lang w:val="en-GB"/>
        </w:rPr>
        <w:t xml:space="preserve">. For Latvia, </w:t>
      </w:r>
      <w:r w:rsidR="0058384E" w:rsidRPr="00910E03">
        <w:rPr>
          <w:rFonts w:ascii="Times New Roman" w:hAnsi="Times New Roman" w:cs="Times New Roman"/>
          <w:lang w:val="en-GB"/>
        </w:rPr>
        <w:t>the results obtained from the calculations of the benchmark buffer rate under the narrow definition are more justified than using the broad credit definition</w:t>
      </w:r>
      <w:r w:rsidR="0058384E">
        <w:rPr>
          <w:rFonts w:ascii="Times New Roman" w:hAnsi="Times New Roman" w:cs="Times New Roman"/>
          <w:lang w:val="en-GB"/>
        </w:rPr>
        <w:t xml:space="preserve"> results</w:t>
      </w:r>
      <w:r w:rsidR="0058384E" w:rsidRPr="00910E03">
        <w:rPr>
          <w:rFonts w:ascii="Times New Roman" w:eastAsia="Times New Roman" w:hAnsi="Times New Roman" w:cs="Times New Roman"/>
          <w:lang w:val="en-GB"/>
        </w:rPr>
        <w:t>. T</w:t>
      </w:r>
      <w:r w:rsidR="0058384E" w:rsidRPr="00910E03">
        <w:rPr>
          <w:rFonts w:ascii="Times New Roman" w:hAnsi="Times New Roman" w:cs="Times New Roman"/>
          <w:lang w:val="en-GB"/>
        </w:rPr>
        <w:t xml:space="preserve">he data of the narrow credit time series are more stable (they are not retrospectively adjusted) and they become available sooner. Therefore, in Latvia the benchmark buffer rate that is calculated based on </w:t>
      </w:r>
      <w:r w:rsidR="0058384E" w:rsidRPr="0058384E">
        <w:rPr>
          <w:rFonts w:ascii="Times New Roman" w:hAnsi="Times New Roman" w:cs="Times New Roman"/>
          <w:lang w:val="en-GB"/>
        </w:rPr>
        <w:t>the additional credit-to-GDP gap</w:t>
      </w:r>
      <w:r w:rsidR="0058384E" w:rsidRPr="00910E03">
        <w:rPr>
          <w:rFonts w:ascii="Times New Roman" w:hAnsi="Times New Roman" w:cs="Times New Roman"/>
          <w:lang w:val="en-GB"/>
        </w:rPr>
        <w:t xml:space="preserve"> </w:t>
      </w:r>
      <w:r w:rsidR="0058384E">
        <w:rPr>
          <w:rFonts w:ascii="Times New Roman" w:hAnsi="Times New Roman" w:cs="Times New Roman"/>
          <w:lang w:val="en-GB"/>
        </w:rPr>
        <w:t xml:space="preserve">has been </w:t>
      </w:r>
      <w:r w:rsidR="0058384E" w:rsidRPr="00910E03">
        <w:rPr>
          <w:rFonts w:ascii="Times New Roman" w:hAnsi="Times New Roman" w:cs="Times New Roman"/>
          <w:lang w:val="en-GB"/>
        </w:rPr>
        <w:t>selected as the CCB guide</w:t>
      </w:r>
      <w:r w:rsidRPr="0032368D">
        <w:rPr>
          <w:rFonts w:ascii="Times New Roman" w:eastAsia="Times New Roman" w:hAnsi="Times New Roman" w:cs="Times New Roman"/>
          <w:szCs w:val="24"/>
        </w:rPr>
        <w:t>.</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7.</w:t>
      </w:r>
      <w:r w:rsidRPr="0032368D">
        <w:rPr>
          <w:rFonts w:ascii="Times New Roman" w:eastAsia="Times New Roman" w:hAnsi="Times New Roman" w:cs="Times New Roman"/>
          <w:kern w:val="28"/>
          <w:szCs w:val="20"/>
        </w:rPr>
        <w:t xml:space="preserve"> </w:t>
      </w:r>
      <w:r w:rsidR="0058384E" w:rsidRPr="00910E03">
        <w:rPr>
          <w:rFonts w:ascii="Times New Roman" w:eastAsia="Times New Roman" w:hAnsi="Times New Roman" w:cs="Times New Roman"/>
          <w:kern w:val="28"/>
          <w:lang w:val="en-GB"/>
        </w:rPr>
        <w:t xml:space="preserve">Credit dynamics in Latvia remain sluggish and </w:t>
      </w:r>
      <w:r w:rsidR="0058384E">
        <w:rPr>
          <w:rFonts w:ascii="Times New Roman" w:eastAsia="Times New Roman" w:hAnsi="Times New Roman" w:cs="Times New Roman"/>
          <w:kern w:val="28"/>
          <w:lang w:val="en-GB"/>
        </w:rPr>
        <w:t xml:space="preserve">reduction in </w:t>
      </w:r>
      <w:r w:rsidR="0058384E" w:rsidRPr="00910E03">
        <w:rPr>
          <w:rFonts w:ascii="Times New Roman" w:eastAsia="Times New Roman" w:hAnsi="Times New Roman" w:cs="Times New Roman"/>
          <w:kern w:val="28"/>
          <w:lang w:val="en-GB"/>
        </w:rPr>
        <w:t xml:space="preserve">the total </w:t>
      </w:r>
      <w:r w:rsidR="0058384E">
        <w:rPr>
          <w:rFonts w:ascii="Times New Roman" w:eastAsia="Times New Roman" w:hAnsi="Times New Roman" w:cs="Times New Roman"/>
          <w:kern w:val="28"/>
          <w:lang w:val="en-GB"/>
        </w:rPr>
        <w:t xml:space="preserve">outstanding </w:t>
      </w:r>
      <w:r w:rsidR="0058384E" w:rsidRPr="00910E03">
        <w:rPr>
          <w:rFonts w:ascii="Times New Roman" w:eastAsia="Times New Roman" w:hAnsi="Times New Roman" w:cs="Times New Roman"/>
          <w:kern w:val="28"/>
          <w:lang w:val="en-GB"/>
        </w:rPr>
        <w:t>loan balance continues. The annual rate of decline, though slowed down, still exceeds 4%. T</w:t>
      </w:r>
      <w:r w:rsidR="0058384E" w:rsidRPr="00910E03">
        <w:rPr>
          <w:rFonts w:ascii="Times New Roman" w:hAnsi="Times New Roman" w:cs="Times New Roman"/>
          <w:lang w:val="en-GB"/>
        </w:rPr>
        <w:t xml:space="preserve">he balance of </w:t>
      </w:r>
      <w:r w:rsidR="0058384E">
        <w:rPr>
          <w:rFonts w:ascii="Times New Roman" w:hAnsi="Times New Roman" w:cs="Times New Roman"/>
          <w:lang w:val="en-GB"/>
        </w:rPr>
        <w:t xml:space="preserve">outstanding </w:t>
      </w:r>
      <w:r w:rsidR="0058384E" w:rsidRPr="00910E03">
        <w:rPr>
          <w:rFonts w:ascii="Times New Roman" w:hAnsi="Times New Roman" w:cs="Times New Roman"/>
          <w:lang w:val="en-GB"/>
        </w:rPr>
        <w:t xml:space="preserve">loans granted to the domestic private non-financial sector by credit institutions has decreased by 40% since Q4 </w:t>
      </w:r>
      <w:r w:rsidR="0058384E" w:rsidRPr="00910E03">
        <w:rPr>
          <w:rFonts w:ascii="Times New Roman" w:eastAsia="Times New Roman" w:hAnsi="Times New Roman" w:cs="Times New Roman"/>
          <w:kern w:val="28"/>
          <w:lang w:val="en-GB"/>
        </w:rPr>
        <w:t xml:space="preserve">2008 (when the loan portfolio had </w:t>
      </w:r>
      <w:r w:rsidR="0058384E">
        <w:rPr>
          <w:rFonts w:ascii="Times New Roman" w:eastAsia="Times New Roman" w:hAnsi="Times New Roman" w:cs="Times New Roman"/>
          <w:kern w:val="28"/>
          <w:lang w:val="en-GB"/>
        </w:rPr>
        <w:t xml:space="preserve">reached a </w:t>
      </w:r>
      <w:r w:rsidR="0058384E" w:rsidRPr="00910E03">
        <w:rPr>
          <w:rFonts w:ascii="Times New Roman" w:eastAsia="Times New Roman" w:hAnsi="Times New Roman" w:cs="Times New Roman"/>
          <w:kern w:val="28"/>
          <w:lang w:val="en-GB"/>
        </w:rPr>
        <w:t xml:space="preserve">peak). </w:t>
      </w:r>
      <w:r w:rsidR="0058384E" w:rsidRPr="00910E03">
        <w:rPr>
          <w:rFonts w:ascii="Times New Roman" w:hAnsi="Times New Roman" w:cs="Times New Roman"/>
          <w:lang w:val="en-GB"/>
        </w:rPr>
        <w:t>Following a 40% decrease in 2009, housing prices continue gradual recovering</w:t>
      </w:r>
      <w:r w:rsidR="0058384E" w:rsidRPr="00910E03">
        <w:rPr>
          <w:rFonts w:ascii="Times New Roman" w:eastAsia="Times New Roman" w:hAnsi="Times New Roman" w:cs="Times New Roman"/>
          <w:kern w:val="28"/>
          <w:lang w:val="en-GB"/>
        </w:rPr>
        <w:t xml:space="preserve">; </w:t>
      </w:r>
      <w:r w:rsidR="0058384E">
        <w:rPr>
          <w:rFonts w:ascii="Times New Roman" w:eastAsia="Times New Roman" w:hAnsi="Times New Roman" w:cs="Times New Roman"/>
          <w:kern w:val="28"/>
          <w:lang w:val="en-GB"/>
        </w:rPr>
        <w:t xml:space="preserve">however, they are </w:t>
      </w:r>
      <w:r w:rsidR="0058384E" w:rsidRPr="00910E03">
        <w:rPr>
          <w:rFonts w:ascii="Times New Roman" w:eastAsia="Times New Roman" w:hAnsi="Times New Roman" w:cs="Times New Roman"/>
          <w:kern w:val="28"/>
          <w:lang w:val="en-GB"/>
        </w:rPr>
        <w:t xml:space="preserve">still </w:t>
      </w:r>
      <w:r w:rsidR="0058384E">
        <w:rPr>
          <w:rFonts w:ascii="Times New Roman" w:eastAsia="Times New Roman" w:hAnsi="Times New Roman" w:cs="Times New Roman"/>
          <w:kern w:val="28"/>
          <w:lang w:val="en-GB"/>
        </w:rPr>
        <w:t xml:space="preserve">substantially </w:t>
      </w:r>
      <w:r w:rsidR="0058384E" w:rsidRPr="00910E03">
        <w:rPr>
          <w:rFonts w:ascii="Times New Roman" w:eastAsia="Times New Roman" w:hAnsi="Times New Roman" w:cs="Times New Roman"/>
          <w:kern w:val="28"/>
          <w:lang w:val="en-GB"/>
        </w:rPr>
        <w:t xml:space="preserve">lower than before the crisis. As the loan portfolio </w:t>
      </w:r>
      <w:r w:rsidR="0058384E">
        <w:rPr>
          <w:rFonts w:ascii="Times New Roman" w:eastAsia="Times New Roman" w:hAnsi="Times New Roman" w:cs="Times New Roman"/>
          <w:kern w:val="28"/>
          <w:lang w:val="en-GB"/>
        </w:rPr>
        <w:t>had shru</w:t>
      </w:r>
      <w:r w:rsidR="0058384E" w:rsidRPr="00910E03">
        <w:rPr>
          <w:rFonts w:ascii="Times New Roman" w:eastAsia="Times New Roman" w:hAnsi="Times New Roman" w:cs="Times New Roman"/>
          <w:kern w:val="28"/>
          <w:lang w:val="en-GB"/>
        </w:rPr>
        <w:t>nk</w:t>
      </w:r>
      <w:r w:rsidR="0058384E">
        <w:rPr>
          <w:rFonts w:ascii="Times New Roman" w:eastAsia="Times New Roman" w:hAnsi="Times New Roman" w:cs="Times New Roman"/>
          <w:kern w:val="28"/>
          <w:lang w:val="en-GB"/>
        </w:rPr>
        <w:t>,</w:t>
      </w:r>
      <w:r w:rsidR="0058384E" w:rsidRPr="00910E03">
        <w:rPr>
          <w:rFonts w:ascii="Times New Roman" w:eastAsia="Times New Roman" w:hAnsi="Times New Roman" w:cs="Times New Roman"/>
          <w:kern w:val="28"/>
          <w:lang w:val="en-GB"/>
        </w:rPr>
        <w:t xml:space="preserve"> the loan balance to GDP </w:t>
      </w:r>
      <w:r w:rsidR="007652BC">
        <w:rPr>
          <w:rFonts w:ascii="Times New Roman" w:eastAsia="Times New Roman" w:hAnsi="Times New Roman" w:cs="Times New Roman"/>
          <w:kern w:val="28"/>
          <w:lang w:val="en-GB"/>
        </w:rPr>
        <w:t xml:space="preserve">ratio </w:t>
      </w:r>
      <w:r w:rsidR="0058384E" w:rsidRPr="00910E03">
        <w:rPr>
          <w:rFonts w:ascii="Times New Roman" w:eastAsia="Times New Roman" w:hAnsi="Times New Roman" w:cs="Times New Roman"/>
          <w:kern w:val="28"/>
          <w:lang w:val="en-GB"/>
        </w:rPr>
        <w:t xml:space="preserve">decreased from 51% in Q1 2014 to 46% in Q1 2015. </w:t>
      </w:r>
      <w:r w:rsidR="0058384E">
        <w:rPr>
          <w:rFonts w:ascii="Times New Roman" w:eastAsia="Times New Roman" w:hAnsi="Times New Roman" w:cs="Times New Roman"/>
          <w:kern w:val="28"/>
          <w:lang w:val="en-GB"/>
        </w:rPr>
        <w:t>The</w:t>
      </w:r>
      <w:r w:rsidR="0058384E" w:rsidRPr="00910E03">
        <w:rPr>
          <w:rFonts w:ascii="Times New Roman" w:eastAsia="Times New Roman" w:hAnsi="Times New Roman" w:cs="Times New Roman"/>
          <w:kern w:val="28"/>
          <w:lang w:val="en-GB"/>
        </w:rPr>
        <w:t xml:space="preserve"> Latvian economic growth</w:t>
      </w:r>
      <w:r w:rsidR="0058384E">
        <w:rPr>
          <w:rFonts w:ascii="Times New Roman" w:eastAsia="Times New Roman" w:hAnsi="Times New Roman" w:cs="Times New Roman"/>
          <w:kern w:val="28"/>
          <w:lang w:val="en-GB"/>
        </w:rPr>
        <w:t xml:space="preserve"> has been affected by a</w:t>
      </w:r>
      <w:r w:rsidR="0058384E" w:rsidRPr="00910E03">
        <w:rPr>
          <w:rFonts w:ascii="Times New Roman" w:eastAsia="Times New Roman" w:hAnsi="Times New Roman" w:cs="Times New Roman"/>
          <w:kern w:val="28"/>
          <w:lang w:val="en-GB"/>
        </w:rPr>
        <w:t xml:space="preserve">dverse external factors and it is demonstrated by a slightly moderate </w:t>
      </w:r>
      <w:r w:rsidR="0058384E" w:rsidRPr="00910E03">
        <w:rPr>
          <w:rFonts w:ascii="Times New Roman" w:hAnsi="Times New Roman" w:cs="Times New Roman"/>
          <w:lang w:val="en-GB"/>
        </w:rPr>
        <w:t xml:space="preserve">GDP annual growth </w:t>
      </w:r>
      <w:r w:rsidR="0058384E" w:rsidRPr="00910E03">
        <w:rPr>
          <w:rFonts w:ascii="Times New Roman" w:eastAsia="Times New Roman" w:hAnsi="Times New Roman" w:cs="Times New Roman"/>
          <w:kern w:val="28"/>
          <w:lang w:val="en-GB"/>
        </w:rPr>
        <w:t>(2% in Q1 2015). Inflation rate is below 1%</w:t>
      </w:r>
      <w:r w:rsidRPr="0032368D">
        <w:rPr>
          <w:rFonts w:ascii="Times New Roman" w:eastAsia="Times New Roman" w:hAnsi="Times New Roman" w:cs="Times New Roman"/>
          <w:kern w:val="28"/>
          <w:szCs w:val="20"/>
        </w:rPr>
        <w:t xml:space="preserv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 xml:space="preserve">8. </w:t>
      </w:r>
      <w:bookmarkEnd w:id="0"/>
      <w:r w:rsidR="0058384E" w:rsidRPr="00910E03">
        <w:rPr>
          <w:rFonts w:ascii="Times New Roman" w:hAnsi="Times New Roman" w:cs="Times New Roman"/>
          <w:lang w:val="en-GB"/>
        </w:rPr>
        <w:t xml:space="preserve">None of other additional ratios indicate that there would be the necessity to set a higher CCB rate as well. The current account balance, after major fluctuations (-25% in Q1 2007 and 13% in Q2 2009), since the beginning of 2011 has </w:t>
      </w:r>
      <w:r w:rsidR="0058384E">
        <w:rPr>
          <w:rFonts w:ascii="Times New Roman" w:hAnsi="Times New Roman" w:cs="Times New Roman"/>
          <w:lang w:val="en-GB"/>
        </w:rPr>
        <w:t xml:space="preserve">been levelled off </w:t>
      </w:r>
      <w:r w:rsidR="0058384E" w:rsidRPr="00910E03">
        <w:rPr>
          <w:rFonts w:ascii="Times New Roman" w:hAnsi="Times New Roman" w:cs="Times New Roman"/>
          <w:lang w:val="en-GB"/>
        </w:rPr>
        <w:t>ranging from 0% to</w:t>
      </w:r>
      <w:r w:rsidR="0058384E">
        <w:rPr>
          <w:rFonts w:ascii="Times New Roman" w:hAnsi="Times New Roman" w:cs="Times New Roman"/>
          <w:lang w:val="en-GB"/>
        </w:rPr>
        <w:t xml:space="preserve"> -</w:t>
      </w:r>
      <w:r w:rsidR="0058384E" w:rsidRPr="00910E03">
        <w:rPr>
          <w:rFonts w:ascii="Times New Roman" w:hAnsi="Times New Roman" w:cs="Times New Roman"/>
          <w:lang w:val="en-GB"/>
        </w:rPr>
        <w:t xml:space="preserve">5%. </w:t>
      </w:r>
      <w:r w:rsidR="0058384E">
        <w:rPr>
          <w:rFonts w:ascii="Times New Roman" w:hAnsi="Times New Roman" w:cs="Times New Roman"/>
          <w:lang w:val="en-GB"/>
        </w:rPr>
        <w:t>The ratio of a</w:t>
      </w:r>
      <w:r w:rsidR="0058384E" w:rsidRPr="00910E03">
        <w:rPr>
          <w:rFonts w:ascii="Times New Roman" w:hAnsi="Times New Roman" w:cs="Times New Roman"/>
          <w:lang w:val="en-GB"/>
        </w:rPr>
        <w:t>nnual interest payments by the private sector to GDP ha</w:t>
      </w:r>
      <w:r w:rsidR="0058384E">
        <w:rPr>
          <w:rFonts w:ascii="Times New Roman" w:hAnsi="Times New Roman" w:cs="Times New Roman"/>
          <w:lang w:val="en-GB"/>
        </w:rPr>
        <w:t>s</w:t>
      </w:r>
      <w:r w:rsidR="0058384E" w:rsidRPr="00910E03">
        <w:rPr>
          <w:rFonts w:ascii="Times New Roman" w:hAnsi="Times New Roman" w:cs="Times New Roman"/>
          <w:lang w:val="en-GB"/>
        </w:rPr>
        <w:t xml:space="preserve"> </w:t>
      </w:r>
      <w:r w:rsidR="0058384E">
        <w:rPr>
          <w:rFonts w:ascii="Times New Roman" w:hAnsi="Times New Roman" w:cs="Times New Roman"/>
          <w:lang w:val="en-GB"/>
        </w:rPr>
        <w:t xml:space="preserve">contracted </w:t>
      </w:r>
      <w:r w:rsidR="0058384E" w:rsidRPr="00910E03">
        <w:rPr>
          <w:rFonts w:ascii="Times New Roman" w:hAnsi="Times New Roman" w:cs="Times New Roman"/>
          <w:lang w:val="en-GB"/>
        </w:rPr>
        <w:t xml:space="preserve">from 5% to less than 2% </w:t>
      </w:r>
      <w:r w:rsidR="0058384E">
        <w:rPr>
          <w:rFonts w:ascii="Times New Roman" w:hAnsi="Times New Roman" w:cs="Times New Roman"/>
          <w:lang w:val="en-GB"/>
        </w:rPr>
        <w:t xml:space="preserve">since </w:t>
      </w:r>
      <w:r w:rsidR="0058384E" w:rsidRPr="00910E03">
        <w:rPr>
          <w:rFonts w:ascii="Times New Roman" w:hAnsi="Times New Roman" w:cs="Times New Roman"/>
          <w:lang w:val="en-GB"/>
        </w:rPr>
        <w:t>the beginning of 2010 (to a great extent it is due to the historically low level of EURIBOR interbank rates).</w:t>
      </w:r>
      <w:r w:rsidRPr="0032368D">
        <w:rPr>
          <w:rFonts w:ascii="Times New Roman" w:eastAsia="Times New Roman" w:hAnsi="Times New Roman" w:cs="Times New Roman"/>
          <w:kern w:val="28"/>
          <w:szCs w:val="20"/>
        </w:rPr>
        <w:t xml:space="preserv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9.</w:t>
      </w:r>
      <w:r w:rsidRPr="0032368D">
        <w:rPr>
          <w:rFonts w:ascii="Times New Roman" w:eastAsia="Times New Roman" w:hAnsi="Times New Roman" w:cs="Times New Roman"/>
          <w:kern w:val="28"/>
          <w:szCs w:val="20"/>
        </w:rPr>
        <w:t xml:space="preserve"> </w:t>
      </w:r>
      <w:r w:rsidR="0006079E" w:rsidRPr="00910E03">
        <w:rPr>
          <w:rFonts w:ascii="Times New Roman" w:hAnsi="Times New Roman" w:cs="Times New Roman"/>
          <w:lang w:val="en-GB"/>
        </w:rPr>
        <w:t>In general, the indicators show that the financial cycle</w:t>
      </w:r>
      <w:r w:rsidR="0006079E">
        <w:rPr>
          <w:rFonts w:ascii="Times New Roman" w:hAnsi="Times New Roman" w:cs="Times New Roman"/>
          <w:lang w:val="en-GB"/>
        </w:rPr>
        <w:t xml:space="preserve"> in the national economy</w:t>
      </w:r>
      <w:r w:rsidR="0006079E" w:rsidRPr="00910E03">
        <w:rPr>
          <w:rFonts w:ascii="Times New Roman" w:hAnsi="Times New Roman" w:cs="Times New Roman"/>
          <w:lang w:val="en-GB"/>
        </w:rPr>
        <w:t xml:space="preserve"> is at the stage of moderate recovery. Notwithstanding the GDP growth and low interest rates, the credit growth rates </w:t>
      </w:r>
      <w:r w:rsidR="0006079E">
        <w:rPr>
          <w:rFonts w:ascii="Times New Roman" w:hAnsi="Times New Roman" w:cs="Times New Roman"/>
          <w:lang w:val="en-GB"/>
        </w:rPr>
        <w:t>remain</w:t>
      </w:r>
      <w:r w:rsidR="0006079E" w:rsidRPr="00910E03">
        <w:rPr>
          <w:rFonts w:ascii="Times New Roman" w:hAnsi="Times New Roman" w:cs="Times New Roman"/>
          <w:lang w:val="en-GB"/>
        </w:rPr>
        <w:t xml:space="preserve"> negative for the sixth year in a row, and the borrowers' vision of the future is not rather optimistic. At the current stage of the cycle, excessive crediting risk is low</w:t>
      </w:r>
      <w:r w:rsidR="0006079E" w:rsidRPr="00910E03">
        <w:rPr>
          <w:rFonts w:ascii="Times New Roman" w:eastAsia="Times New Roman" w:hAnsi="Times New Roman" w:cs="Times New Roman"/>
          <w:kern w:val="28"/>
          <w:lang w:val="en-GB"/>
        </w:rPr>
        <w:t>.</w:t>
      </w:r>
      <w:r w:rsidRPr="0032368D">
        <w:rPr>
          <w:rFonts w:ascii="Times New Roman" w:eastAsia="Times New Roman" w:hAnsi="Times New Roman" w:cs="Times New Roman"/>
          <w:kern w:val="28"/>
          <w:szCs w:val="20"/>
        </w:rPr>
        <w:t xml:space="preserv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06079E"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06079E">
        <w:rPr>
          <w:rFonts w:ascii="Times New Roman" w:eastAsia="Times New Roman" w:hAnsi="Times New Roman" w:cs="Times New Roman"/>
          <w:b/>
          <w:kern w:val="28"/>
          <w:szCs w:val="20"/>
        </w:rPr>
        <w:t>10.</w:t>
      </w:r>
      <w:r w:rsidRPr="0006079E">
        <w:rPr>
          <w:rFonts w:ascii="Times New Roman" w:eastAsia="Times New Roman" w:hAnsi="Times New Roman" w:cs="Times New Roman"/>
          <w:kern w:val="28"/>
          <w:szCs w:val="20"/>
        </w:rPr>
        <w:t xml:space="preserve"> </w:t>
      </w:r>
      <w:r w:rsidR="0006079E" w:rsidRPr="0006079E">
        <w:rPr>
          <w:rFonts w:ascii="Times New Roman" w:hAnsi="Times New Roman" w:cs="Times New Roman"/>
          <w:kern w:val="28"/>
          <w:lang w:val="en-GB"/>
        </w:rPr>
        <w:t xml:space="preserve">Considering above, </w:t>
      </w:r>
      <w:r w:rsidR="0006079E" w:rsidRPr="0006079E">
        <w:rPr>
          <w:rFonts w:ascii="Times New Roman" w:hAnsi="Times New Roman" w:cs="Times New Roman"/>
          <w:lang w:val="en-GB"/>
        </w:rPr>
        <w:t>the Commission sets the CCB rate of 0%. In accordance with the current lending and GDP growth rate forecasts, no increase in the CCB rate would be required in the next two years</w:t>
      </w:r>
      <w:r w:rsidRPr="0006079E">
        <w:rPr>
          <w:rFonts w:ascii="Times New Roman" w:eastAsia="Times New Roman" w:hAnsi="Times New Roman" w:cs="Times New Roman"/>
          <w:kern w:val="28"/>
          <w:szCs w:val="20"/>
        </w:rPr>
        <w:t xml:space="preserv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11.</w:t>
      </w:r>
      <w:r w:rsidRPr="0032368D">
        <w:rPr>
          <w:rFonts w:ascii="Times New Roman" w:eastAsia="Times New Roman" w:hAnsi="Times New Roman" w:cs="Times New Roman"/>
          <w:kern w:val="28"/>
          <w:szCs w:val="20"/>
        </w:rPr>
        <w:t xml:space="preserve"> </w:t>
      </w:r>
      <w:r w:rsidR="0006079E" w:rsidRPr="00910E03">
        <w:rPr>
          <w:rFonts w:ascii="Times New Roman" w:eastAsia="Times New Roman" w:hAnsi="Times New Roman" w:cs="Times New Roman"/>
          <w:kern w:val="28"/>
          <w:lang w:val="en-GB"/>
        </w:rPr>
        <w:t>On 11 June 2015</w:t>
      </w:r>
      <w:r w:rsidR="0006079E">
        <w:rPr>
          <w:rFonts w:ascii="Times New Roman" w:eastAsia="Times New Roman" w:hAnsi="Times New Roman" w:cs="Times New Roman"/>
          <w:kern w:val="28"/>
          <w:lang w:val="en-GB"/>
        </w:rPr>
        <w:t>,</w:t>
      </w:r>
      <w:r w:rsidR="0006079E" w:rsidRPr="00910E03">
        <w:rPr>
          <w:rFonts w:ascii="Times New Roman" w:eastAsia="Times New Roman" w:hAnsi="Times New Roman" w:cs="Times New Roman"/>
          <w:kern w:val="28"/>
          <w:lang w:val="en-GB"/>
        </w:rPr>
        <w:t xml:space="preserve"> the Commission </w:t>
      </w:r>
      <w:r w:rsidR="0006079E" w:rsidRPr="00910E03">
        <w:rPr>
          <w:rFonts w:ascii="Times New Roman" w:hAnsi="Times New Roman" w:cs="Times New Roman"/>
          <w:lang w:val="en-GB"/>
        </w:rPr>
        <w:t xml:space="preserve">sent </w:t>
      </w:r>
      <w:r w:rsidR="0006079E">
        <w:rPr>
          <w:rFonts w:ascii="Times New Roman" w:hAnsi="Times New Roman" w:cs="Times New Roman"/>
          <w:lang w:val="en-GB"/>
        </w:rPr>
        <w:t xml:space="preserve">a </w:t>
      </w:r>
      <w:r w:rsidR="0006079E" w:rsidRPr="00910E03">
        <w:rPr>
          <w:rFonts w:ascii="Times New Roman" w:hAnsi="Times New Roman" w:cs="Times New Roman"/>
          <w:lang w:val="en-GB"/>
        </w:rPr>
        <w:t xml:space="preserve">letter to other </w:t>
      </w:r>
      <w:r w:rsidR="0006079E">
        <w:rPr>
          <w:rFonts w:ascii="Times New Roman" w:hAnsi="Times New Roman" w:cs="Times New Roman"/>
          <w:lang w:val="en-GB"/>
        </w:rPr>
        <w:t xml:space="preserve">members </w:t>
      </w:r>
      <w:r w:rsidR="0006079E" w:rsidRPr="00910E03">
        <w:rPr>
          <w:rFonts w:ascii="Times New Roman" w:hAnsi="Times New Roman" w:cs="Times New Roman"/>
          <w:lang w:val="en-GB"/>
        </w:rPr>
        <w:t>of the Macroprudential Council (</w:t>
      </w:r>
      <w:r w:rsidR="0006079E" w:rsidRPr="000B1941">
        <w:rPr>
          <w:rFonts w:ascii="Times New Roman" w:hAnsi="Times New Roman" w:cs="Times New Roman"/>
          <w:lang w:val="en-GB"/>
        </w:rPr>
        <w:t>the Bank of Latvia</w:t>
      </w:r>
      <w:r w:rsidR="0006079E" w:rsidRPr="00910E03">
        <w:rPr>
          <w:rFonts w:ascii="Times New Roman" w:hAnsi="Times New Roman" w:cs="Times New Roman"/>
          <w:lang w:val="en-GB"/>
        </w:rPr>
        <w:t xml:space="preserve"> and the Ministry of Finance),</w:t>
      </w:r>
      <w:r w:rsidR="0006079E">
        <w:rPr>
          <w:rFonts w:ascii="Times New Roman" w:hAnsi="Times New Roman" w:cs="Times New Roman"/>
          <w:lang w:val="en-GB"/>
        </w:rPr>
        <w:t xml:space="preserve"> notifying them of </w:t>
      </w:r>
      <w:r w:rsidR="0006079E" w:rsidRPr="00910E03">
        <w:rPr>
          <w:rFonts w:ascii="Times New Roman" w:hAnsi="Times New Roman" w:cs="Times New Roman"/>
          <w:lang w:val="en-GB"/>
        </w:rPr>
        <w:t>intention to set the CCB rate at 0%; both institutions responded that they did not object</w:t>
      </w:r>
      <w:r w:rsidR="0006079E">
        <w:rPr>
          <w:rFonts w:ascii="Times New Roman" w:hAnsi="Times New Roman" w:cs="Times New Roman"/>
          <w:lang w:val="en-GB"/>
        </w:rPr>
        <w:t xml:space="preserve"> to</w:t>
      </w:r>
      <w:r w:rsidR="0006079E" w:rsidRPr="00910E03">
        <w:rPr>
          <w:rFonts w:ascii="Times New Roman" w:hAnsi="Times New Roman" w:cs="Times New Roman"/>
          <w:lang w:val="en-GB"/>
        </w:rPr>
        <w:t xml:space="preserve"> such intention</w:t>
      </w:r>
      <w:r w:rsidRPr="0032368D">
        <w:rPr>
          <w:rFonts w:ascii="Times New Roman" w:eastAsia="Times New Roman" w:hAnsi="Times New Roman" w:cs="Times New Roman"/>
          <w:kern w:val="28"/>
          <w:szCs w:val="20"/>
        </w:rPr>
        <w:t xml:space="preserv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12.</w:t>
      </w:r>
      <w:r w:rsidRPr="0032368D">
        <w:rPr>
          <w:rFonts w:ascii="Times New Roman" w:eastAsia="Times New Roman" w:hAnsi="Times New Roman" w:cs="Times New Roman"/>
          <w:kern w:val="28"/>
          <w:szCs w:val="20"/>
        </w:rPr>
        <w:t xml:space="preserve"> </w:t>
      </w:r>
      <w:r w:rsidR="000B1941" w:rsidRPr="00910E03">
        <w:rPr>
          <w:rFonts w:ascii="Times New Roman" w:eastAsia="Times New Roman" w:hAnsi="Times New Roman" w:cs="Times New Roman"/>
          <w:kern w:val="28"/>
          <w:lang w:val="en-GB"/>
        </w:rPr>
        <w:t>On 15 July 2015, the Commission submitted to the ECB notification of intention to set the CCB rate at 0%; the ECB's reply was that it had no objections to that intention</w:t>
      </w:r>
      <w:r w:rsidRPr="0032368D">
        <w:rPr>
          <w:rFonts w:ascii="Times New Roman" w:eastAsia="Times New Roman" w:hAnsi="Times New Roman" w:cs="Times New Roman"/>
          <w:kern w:val="28"/>
          <w:szCs w:val="20"/>
        </w:rPr>
        <w:t xml:space="preserve">. </w:t>
      </w:r>
    </w:p>
    <w:p w:rsidR="00A63FA3" w:rsidRDefault="00A63FA3"/>
    <w:sectPr w:rsidR="00A63FA3" w:rsidSect="005A139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F2C" w:rsidRDefault="00575F2C" w:rsidP="0032368D">
      <w:pPr>
        <w:spacing w:after="0" w:line="240" w:lineRule="auto"/>
      </w:pPr>
      <w:r>
        <w:separator/>
      </w:r>
    </w:p>
  </w:endnote>
  <w:endnote w:type="continuationSeparator" w:id="0">
    <w:p w:rsidR="00575F2C" w:rsidRDefault="00575F2C"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F2C" w:rsidRDefault="00575F2C" w:rsidP="0032368D">
      <w:pPr>
        <w:spacing w:after="0" w:line="240" w:lineRule="auto"/>
      </w:pPr>
      <w:r>
        <w:separator/>
      </w:r>
    </w:p>
  </w:footnote>
  <w:footnote w:type="continuationSeparator" w:id="0">
    <w:p w:rsidR="00575F2C" w:rsidRDefault="00575F2C" w:rsidP="0032368D">
      <w:pPr>
        <w:spacing w:after="0" w:line="240" w:lineRule="auto"/>
      </w:pPr>
      <w:r>
        <w:continuationSeparator/>
      </w:r>
    </w:p>
  </w:footnote>
  <w:footnote w:id="1">
    <w:p w:rsidR="0041107E" w:rsidRPr="0041107E" w:rsidRDefault="0041107E" w:rsidP="0058384E">
      <w:pPr>
        <w:spacing w:after="0" w:line="240" w:lineRule="auto"/>
        <w:jc w:val="both"/>
        <w:rPr>
          <w:rFonts w:ascii="Times New Roman" w:hAnsi="Times New Roman" w:cs="Times New Roman"/>
          <w:sz w:val="20"/>
          <w:szCs w:val="20"/>
          <w:lang w:val="en-GB"/>
        </w:rPr>
      </w:pPr>
      <w:r w:rsidRPr="0041107E">
        <w:rPr>
          <w:rStyle w:val="FootnoteReference"/>
          <w:rFonts w:ascii="Times New Roman" w:hAnsi="Times New Roman"/>
          <w:sz w:val="20"/>
          <w:szCs w:val="20"/>
          <w:lang w:val="en-GB"/>
        </w:rPr>
        <w:footnoteRef/>
      </w:r>
      <w:r w:rsidRPr="0041107E">
        <w:rPr>
          <w:rFonts w:ascii="Times New Roman" w:hAnsi="Times New Roman" w:cs="Times New Roman"/>
          <w:sz w:val="20"/>
          <w:szCs w:val="20"/>
          <w:lang w:val="en-GB"/>
        </w:rPr>
        <w:t xml:space="preserve"> Recommendation of the European Systemic Risk Board of 18 June 2014 on guidance for setting countercyclical buffer rates (ESRB/2014/1).</w:t>
      </w:r>
    </w:p>
  </w:footnote>
  <w:footnote w:id="2">
    <w:p w:rsidR="0041107E" w:rsidRPr="0041107E" w:rsidRDefault="0041107E" w:rsidP="0032368D">
      <w:pPr>
        <w:pStyle w:val="FootnoteText"/>
        <w:rPr>
          <w:rFonts w:ascii="Times New Roman" w:hAnsi="Times New Roman" w:cs="Times New Roman"/>
          <w:lang w:val="en-GB"/>
        </w:rPr>
      </w:pPr>
      <w:r w:rsidRPr="0041107E">
        <w:rPr>
          <w:rStyle w:val="FootnoteReference"/>
          <w:rFonts w:ascii="Times New Roman" w:hAnsi="Times New Roman"/>
          <w:lang w:val="en-GB"/>
        </w:rPr>
        <w:footnoteRef/>
      </w:r>
      <w:r w:rsidRPr="0041107E">
        <w:rPr>
          <w:rFonts w:ascii="Times New Roman" w:hAnsi="Times New Roman" w:cs="Times New Roman"/>
          <w:lang w:val="en-GB"/>
        </w:rPr>
        <w:t xml:space="preserve"> Credit time series from Q4 1995 to Q4 2014.</w:t>
      </w:r>
    </w:p>
  </w:footnote>
  <w:footnote w:id="3">
    <w:p w:rsidR="0041107E" w:rsidRPr="000270E4" w:rsidRDefault="0041107E" w:rsidP="0032368D">
      <w:pPr>
        <w:pStyle w:val="FootnoteText"/>
        <w:rPr>
          <w:rFonts w:ascii="Times New Roman" w:hAnsi="Times New Roman" w:cs="Times New Roman"/>
          <w:lang w:val="en-GB"/>
        </w:rPr>
      </w:pPr>
      <w:r w:rsidRPr="0041107E">
        <w:rPr>
          <w:rStyle w:val="FootnoteReference"/>
          <w:rFonts w:ascii="Times New Roman" w:hAnsi="Times New Roman"/>
          <w:lang w:val="en-GB"/>
        </w:rPr>
        <w:footnoteRef/>
      </w:r>
      <w:r w:rsidRPr="0041107E">
        <w:rPr>
          <w:rFonts w:ascii="Times New Roman" w:hAnsi="Times New Roman" w:cs="Times New Roman"/>
          <w:lang w:val="en-GB"/>
        </w:rPr>
        <w:t xml:space="preserve"> In accordance with references in Annex 2 to the Recommendation.</w:t>
      </w:r>
    </w:p>
  </w:footnote>
  <w:footnote w:id="4">
    <w:p w:rsidR="0041107E" w:rsidRPr="0041107E" w:rsidRDefault="0041107E" w:rsidP="0032368D">
      <w:pPr>
        <w:pStyle w:val="FootnoteText"/>
        <w:rPr>
          <w:rFonts w:ascii="Times New Roman" w:hAnsi="Times New Roman" w:cs="Times New Roman"/>
        </w:rPr>
      </w:pPr>
      <w:r w:rsidRPr="0041107E">
        <w:rPr>
          <w:rStyle w:val="FootnoteReference"/>
          <w:rFonts w:ascii="Times New Roman" w:hAnsi="Times New Roman"/>
        </w:rPr>
        <w:footnoteRef/>
      </w:r>
      <w:r w:rsidRPr="0041107E">
        <w:rPr>
          <w:rFonts w:ascii="Times New Roman" w:hAnsi="Times New Roman" w:cs="Times New Roman"/>
        </w:rPr>
        <w:t xml:space="preserve"> </w:t>
      </w:r>
      <w:r w:rsidRPr="0041107E">
        <w:rPr>
          <w:rFonts w:ascii="Times New Roman" w:hAnsi="Times New Roman" w:cs="Times New Roman"/>
          <w:lang w:val="en-GB"/>
        </w:rPr>
        <w:t>Credit time series from Q1 1999 to Q1 2015.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8D"/>
    <w:rsid w:val="000270E4"/>
    <w:rsid w:val="0006079E"/>
    <w:rsid w:val="000B1941"/>
    <w:rsid w:val="000F4555"/>
    <w:rsid w:val="00174F2D"/>
    <w:rsid w:val="00200774"/>
    <w:rsid w:val="00203F20"/>
    <w:rsid w:val="00234123"/>
    <w:rsid w:val="002836F2"/>
    <w:rsid w:val="0032368D"/>
    <w:rsid w:val="0041107E"/>
    <w:rsid w:val="00570731"/>
    <w:rsid w:val="00575F2C"/>
    <w:rsid w:val="0058384E"/>
    <w:rsid w:val="005A139C"/>
    <w:rsid w:val="006046AF"/>
    <w:rsid w:val="00624A7D"/>
    <w:rsid w:val="006A3619"/>
    <w:rsid w:val="00732145"/>
    <w:rsid w:val="007652BC"/>
    <w:rsid w:val="009E6E97"/>
    <w:rsid w:val="00A63FA3"/>
    <w:rsid w:val="00AA5148"/>
    <w:rsid w:val="00B01FA2"/>
    <w:rsid w:val="00B07BD8"/>
    <w:rsid w:val="00D31215"/>
    <w:rsid w:val="00D46D2A"/>
    <w:rsid w:val="00DD4257"/>
    <w:rsid w:val="00DE4C0D"/>
    <w:rsid w:val="00DF45EE"/>
    <w:rsid w:val="00E033E2"/>
    <w:rsid w:val="00F179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character" w:styleId="Strong">
    <w:name w:val="Strong"/>
    <w:basedOn w:val="DefaultParagraphFont"/>
    <w:uiPriority w:val="22"/>
    <w:qFormat/>
    <w:rsid w:val="00E033E2"/>
    <w:rPr>
      <w:b/>
      <w:bCs/>
    </w:rPr>
  </w:style>
  <w:style w:type="character" w:customStyle="1" w:styleId="apple-converted-space">
    <w:name w:val="apple-converted-space"/>
    <w:basedOn w:val="DefaultParagraphFont"/>
    <w:rsid w:val="00E033E2"/>
  </w:style>
  <w:style w:type="character" w:customStyle="1" w:styleId="st1">
    <w:name w:val="st1"/>
    <w:basedOn w:val="DefaultParagraphFont"/>
    <w:rsid w:val="00E033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character" w:styleId="Strong">
    <w:name w:val="Strong"/>
    <w:basedOn w:val="DefaultParagraphFont"/>
    <w:uiPriority w:val="22"/>
    <w:qFormat/>
    <w:rsid w:val="00E033E2"/>
    <w:rPr>
      <w:b/>
      <w:bCs/>
    </w:rPr>
  </w:style>
  <w:style w:type="character" w:customStyle="1" w:styleId="apple-converted-space">
    <w:name w:val="apple-converted-space"/>
    <w:basedOn w:val="DefaultParagraphFont"/>
    <w:rsid w:val="00E033E2"/>
  </w:style>
  <w:style w:type="character" w:customStyle="1" w:styleId="st1">
    <w:name w:val="st1"/>
    <w:basedOn w:val="DefaultParagraphFont"/>
    <w:rsid w:val="00E033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3639</Words>
  <Characters>2075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Agnese Licite</cp:lastModifiedBy>
  <cp:revision>2</cp:revision>
  <cp:lastPrinted>2015-07-24T11:13:00Z</cp:lastPrinted>
  <dcterms:created xsi:type="dcterms:W3CDTF">2017-07-28T09:19:00Z</dcterms:created>
  <dcterms:modified xsi:type="dcterms:W3CDTF">2017-07-28T09:19:00Z</dcterms:modified>
</cp:coreProperties>
</file>