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7401" w14:textId="0A568123" w:rsidR="00CB71C9" w:rsidRPr="00F46617" w:rsidRDefault="00CB71C9" w:rsidP="00C95213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</w:p>
    <w:p w14:paraId="03DA9E51" w14:textId="3E3F8337" w:rsidR="00314282" w:rsidRPr="00F46617" w:rsidRDefault="003A2C48" w:rsidP="003A2C48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661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Riga, </w:t>
      </w:r>
      <w:r w:rsidR="009A0914" w:rsidRPr="00F4661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21 December </w:t>
      </w:r>
      <w:r w:rsidR="00314282" w:rsidRPr="00F46617">
        <w:rPr>
          <w:rFonts w:ascii="Times New Roman" w:eastAsia="Times New Roman" w:hAnsi="Times New Roman" w:cs="Times New Roman"/>
          <w:sz w:val="24"/>
          <w:szCs w:val="24"/>
          <w:lang w:val="en-GB"/>
        </w:rPr>
        <w:t>20</w:t>
      </w:r>
      <w:r w:rsidR="00F33B9F" w:rsidRPr="00F46617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 w:rsidR="00314282" w:rsidRPr="00F46617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r w:rsidRPr="00F4661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</w:t>
      </w:r>
      <w:r w:rsidR="009A0914" w:rsidRPr="00F4661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6D3346" w:rsidRPr="00F46617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4661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Regulations </w:t>
      </w:r>
      <w:r w:rsidR="00314282" w:rsidRPr="00F46617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Pr="00F46617">
        <w:rPr>
          <w:rFonts w:ascii="Times New Roman" w:eastAsia="Times New Roman" w:hAnsi="Times New Roman" w:cs="Times New Roman"/>
          <w:sz w:val="24"/>
          <w:szCs w:val="24"/>
          <w:lang w:val="en-GB"/>
        </w:rPr>
        <w:t>o</w:t>
      </w:r>
      <w:r w:rsidR="00F33B9F" w:rsidRPr="00F4661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7180B" w:rsidRPr="00F46617">
        <w:rPr>
          <w:rFonts w:ascii="Times New Roman" w:eastAsia="Times New Roman" w:hAnsi="Times New Roman" w:cs="Times New Roman"/>
          <w:sz w:val="24"/>
          <w:szCs w:val="24"/>
          <w:lang w:val="en-GB"/>
        </w:rPr>
        <w:t>168</w:t>
      </w:r>
    </w:p>
    <w:p w14:paraId="7489E177" w14:textId="5EA044E1" w:rsidR="00314282" w:rsidRPr="00F46617" w:rsidRDefault="00314282" w:rsidP="003A2C48">
      <w:pPr>
        <w:tabs>
          <w:tab w:val="left" w:pos="6660"/>
        </w:tabs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val="en-GB"/>
        </w:rPr>
      </w:pPr>
      <w:r w:rsidRPr="00F4661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</w:t>
      </w:r>
      <w:r w:rsidR="003A2C48" w:rsidRPr="00F4661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</w:t>
      </w:r>
      <w:r w:rsidRPr="00F4661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r w:rsidR="003A2C48" w:rsidRPr="00F4661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Min. No 57, item 4 of the meeting                  of the Board of the </w:t>
      </w:r>
      <w:r w:rsidRPr="00F46617">
        <w:rPr>
          <w:rFonts w:ascii="Times New Roman" w:eastAsia="Times New Roman" w:hAnsi="Times New Roman" w:cs="Times New Roman"/>
          <w:sz w:val="24"/>
          <w:szCs w:val="24"/>
          <w:lang w:val="en-GB"/>
        </w:rPr>
        <w:t>Finan</w:t>
      </w:r>
      <w:r w:rsidR="003A2C48" w:rsidRPr="00F4661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cial and </w:t>
      </w:r>
      <w:r w:rsidR="00DB27EF" w:rsidRPr="00F46617">
        <w:rPr>
          <w:rFonts w:ascii="Times New Roman" w:eastAsia="Times New Roman" w:hAnsi="Times New Roman" w:cs="Times New Roman"/>
          <w:sz w:val="24"/>
          <w:szCs w:val="24"/>
          <w:lang w:val="en-GB"/>
        </w:rPr>
        <w:t>C</w:t>
      </w:r>
      <w:r w:rsidR="003A2C48" w:rsidRPr="00F4661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apital </w:t>
      </w:r>
      <w:r w:rsidR="00DB27EF" w:rsidRPr="00F46617"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r w:rsidR="003A2C48" w:rsidRPr="00F46617">
        <w:rPr>
          <w:rFonts w:ascii="Times New Roman" w:eastAsia="Times New Roman" w:hAnsi="Times New Roman" w:cs="Times New Roman"/>
          <w:sz w:val="24"/>
          <w:szCs w:val="24"/>
          <w:lang w:val="en-GB"/>
        </w:rPr>
        <w:t>arket Commission</w:t>
      </w:r>
      <w:r w:rsidRPr="00F46617">
        <w:rPr>
          <w:rFonts w:ascii="Times New Roman" w:eastAsia="Arial Unicode MS" w:hAnsi="Times New Roman" w:cs="Times New Roman"/>
          <w:sz w:val="24"/>
          <w:szCs w:val="24"/>
          <w:lang w:val="en-GB"/>
        </w:rPr>
        <w:t>)</w:t>
      </w:r>
    </w:p>
    <w:p w14:paraId="689B7728" w14:textId="77777777" w:rsidR="00B378DC" w:rsidRPr="00F46617" w:rsidRDefault="00B378DC" w:rsidP="0031428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F372D26" w14:textId="2E93861A" w:rsidR="00314282" w:rsidRPr="00F46617" w:rsidRDefault="00173184" w:rsidP="00314282">
      <w:pPr>
        <w:spacing w:after="28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_Hlk76119886"/>
      <w:r w:rsidRPr="00F46617">
        <w:rPr>
          <w:rFonts w:ascii="Times New Roman" w:hAnsi="Times New Roman" w:cs="Times New Roman"/>
          <w:sz w:val="28"/>
          <w:szCs w:val="28"/>
          <w:lang w:val="en-GB"/>
        </w:rPr>
        <w:t xml:space="preserve">Regulations on the Preparation and Submission of Supervisory Reports </w:t>
      </w:r>
      <w:r w:rsidR="00DE731E" w:rsidRPr="00F46617">
        <w:rPr>
          <w:rFonts w:ascii="Times New Roman" w:hAnsi="Times New Roman" w:cs="Times New Roman"/>
          <w:sz w:val="28"/>
          <w:szCs w:val="28"/>
          <w:lang w:val="en-GB"/>
        </w:rPr>
        <w:t xml:space="preserve">of Central Securities Depositories  </w:t>
      </w:r>
      <w:bookmarkEnd w:id="0"/>
    </w:p>
    <w:p w14:paraId="72CBC8B1" w14:textId="5196248B" w:rsidR="0087729E" w:rsidRPr="00F46617" w:rsidRDefault="003A2C48" w:rsidP="0087729E">
      <w:pPr>
        <w:spacing w:after="0"/>
        <w:jc w:val="right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F46617">
        <w:rPr>
          <w:rFonts w:ascii="Times New Roman" w:hAnsi="Times New Roman" w:cs="Times New Roman"/>
          <w:sz w:val="20"/>
          <w:szCs w:val="20"/>
          <w:lang w:val="en-GB"/>
        </w:rPr>
        <w:t xml:space="preserve">Issued in accordance with </w:t>
      </w:r>
      <w:r w:rsidR="0087729E" w:rsidRPr="00F46617">
        <w:rPr>
          <w:rFonts w:ascii="Times New Roman" w:hAnsi="Times New Roman" w:cs="Times New Roman"/>
          <w:sz w:val="20"/>
          <w:szCs w:val="20"/>
          <w:lang w:val="en-GB"/>
        </w:rPr>
        <w:t xml:space="preserve">Section </w:t>
      </w:r>
      <w:r w:rsidR="0087729E" w:rsidRPr="00F46617">
        <w:rPr>
          <w:rFonts w:ascii="Times New Roman" w:eastAsia="Times New Roman" w:hAnsi="Times New Roman" w:cs="Times New Roman"/>
          <w:sz w:val="20"/>
          <w:szCs w:val="24"/>
          <w:lang w:val="en-GB"/>
        </w:rPr>
        <w:t>100.</w:t>
      </w:r>
      <w:r w:rsidR="0087729E" w:rsidRPr="00F46617">
        <w:rPr>
          <w:rFonts w:ascii="Times New Roman" w:eastAsia="Times New Roman" w:hAnsi="Times New Roman" w:cs="Times New Roman"/>
          <w:sz w:val="20"/>
          <w:szCs w:val="24"/>
          <w:vertAlign w:val="superscript"/>
          <w:lang w:val="en-GB"/>
        </w:rPr>
        <w:t>4</w:t>
      </w:r>
      <w:r w:rsidR="0087729E" w:rsidRPr="00F46617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(1) (5)</w:t>
      </w:r>
      <w:r w:rsidR="0087729E" w:rsidRPr="00F4661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0EDF2FDB" w14:textId="5CAF71BE" w:rsidR="00314282" w:rsidRPr="00F46617" w:rsidRDefault="0087729E" w:rsidP="00695C70">
      <w:pPr>
        <w:spacing w:after="0"/>
        <w:jc w:val="right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F46617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of the Financial Instrument Market Law </w:t>
      </w:r>
    </w:p>
    <w:p w14:paraId="233B9A49" w14:textId="77777777" w:rsidR="00314282" w:rsidRPr="00F46617" w:rsidRDefault="00314282" w:rsidP="00695C70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GB"/>
        </w:rPr>
      </w:pPr>
    </w:p>
    <w:p w14:paraId="409A9F10" w14:textId="6875DD96" w:rsidR="00314282" w:rsidRPr="00F46617" w:rsidRDefault="00314282" w:rsidP="00C952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F46617">
        <w:rPr>
          <w:rFonts w:ascii="Times New Roman" w:hAnsi="Times New Roman" w:cs="Times New Roman"/>
          <w:b/>
          <w:sz w:val="26"/>
          <w:szCs w:val="26"/>
          <w:lang w:val="en-GB"/>
        </w:rPr>
        <w:t xml:space="preserve">I. </w:t>
      </w:r>
      <w:r w:rsidR="0087729E" w:rsidRPr="00F46617">
        <w:rPr>
          <w:rFonts w:ascii="Times New Roman" w:hAnsi="Times New Roman" w:cs="Times New Roman"/>
          <w:b/>
          <w:sz w:val="26"/>
          <w:szCs w:val="26"/>
          <w:lang w:val="en-GB"/>
        </w:rPr>
        <w:t xml:space="preserve">General Provisions </w:t>
      </w:r>
    </w:p>
    <w:p w14:paraId="06D4F9AA" w14:textId="77777777" w:rsidR="00314282" w:rsidRPr="00F46617" w:rsidRDefault="00314282" w:rsidP="00C95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37AA1DC" w14:textId="3E30C81E" w:rsidR="006662FE" w:rsidRPr="00F46617" w:rsidRDefault="006662FE" w:rsidP="009A0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="00C25EE1" w:rsidRPr="00F46617">
        <w:rPr>
          <w:rFonts w:ascii="Times New Roman" w:hAnsi="Times New Roman" w:cs="Times New Roman"/>
          <w:sz w:val="24"/>
          <w:szCs w:val="24"/>
          <w:lang w:val="en-GB"/>
        </w:rPr>
        <w:t>Regulations on the Preparation and Submission of Supervisory Reports of Central Securities Depositories</w:t>
      </w:r>
      <w:r w:rsidR="00695C70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9A0914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hereinafter </w:t>
      </w:r>
      <w:r w:rsidR="00695C70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="009A0914" w:rsidRPr="00F46617">
        <w:rPr>
          <w:rFonts w:ascii="Times New Roman" w:hAnsi="Times New Roman" w:cs="Times New Roman"/>
          <w:sz w:val="24"/>
          <w:szCs w:val="24"/>
          <w:lang w:val="en-GB"/>
        </w:rPr>
        <w:t>the Regulations</w:t>
      </w:r>
      <w:r w:rsidR="00695C70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9A0914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shall be binding on central securities </w:t>
      </w:r>
      <w:r w:rsidR="003A2C48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depositories </w:t>
      </w:r>
      <w:r w:rsidR="009A0914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registered in the Republic of </w:t>
      </w:r>
      <w:r w:rsidR="00695C70" w:rsidRPr="00F46617">
        <w:rPr>
          <w:rFonts w:ascii="Times New Roman" w:hAnsi="Times New Roman" w:cs="Times New Roman"/>
          <w:sz w:val="24"/>
          <w:szCs w:val="24"/>
          <w:lang w:val="en-GB"/>
        </w:rPr>
        <w:t>Latvia</w:t>
      </w:r>
      <w:r w:rsidR="00A2361D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9A0914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hereinafter </w:t>
      </w:r>
      <w:r w:rsidR="00A2361D" w:rsidRPr="00F46617">
        <w:rPr>
          <w:rFonts w:ascii="Times New Roman" w:hAnsi="Times New Roman" w:cs="Times New Roman"/>
          <w:sz w:val="24"/>
          <w:szCs w:val="24"/>
          <w:lang w:val="en-GB"/>
        </w:rPr>
        <w:t>– C</w:t>
      </w:r>
      <w:r w:rsidR="009A0914" w:rsidRPr="00F4661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2361D" w:rsidRPr="00F46617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3A2C48" w:rsidRPr="00F4661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2361D" w:rsidRPr="00F4661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127F43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A0914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which in accordance with </w:t>
      </w:r>
      <w:r w:rsidR="009A0914" w:rsidRPr="00F46617">
        <w:rPr>
          <w:rFonts w:ascii="Times New Roman" w:hAnsi="Times New Roman"/>
          <w:sz w:val="24"/>
          <w:szCs w:val="24"/>
          <w:lang w:val="en"/>
        </w:rPr>
        <w:t xml:space="preserve">Regulation (EU) No 909/2014 of the European Parliament  and of the Council of 23 July 2014 on improving securities settlement in the European Union and on central securities depositories and amending Directives 98/26/EC and 2014/65/EU and Regulation (EU) No 236/2012 </w:t>
      </w:r>
      <w:r w:rsidR="00BE2C2A">
        <w:rPr>
          <w:rFonts w:ascii="Times New Roman" w:hAnsi="Times New Roman"/>
          <w:sz w:val="24"/>
          <w:szCs w:val="24"/>
          <w:lang w:val="en"/>
        </w:rPr>
        <w:t xml:space="preserve">(hereinafter – Regulation </w:t>
      </w:r>
      <w:r w:rsidR="00BE2C2A" w:rsidRPr="00F46617">
        <w:rPr>
          <w:rFonts w:ascii="Times New Roman" w:hAnsi="Times New Roman" w:cs="Times New Roman"/>
          <w:sz w:val="24"/>
          <w:szCs w:val="24"/>
          <w:lang w:val="en-GB"/>
        </w:rPr>
        <w:t>(EU) No 909/2014</w:t>
      </w:r>
      <w:r w:rsidR="00BE2C2A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9A0914" w:rsidRPr="00F46617">
        <w:rPr>
          <w:rFonts w:ascii="Times New Roman" w:hAnsi="Times New Roman"/>
          <w:sz w:val="24"/>
          <w:szCs w:val="24"/>
          <w:lang w:val="en"/>
        </w:rPr>
        <w:t>do not provide banking-type ancillary services listed in Section C of the Annex to this Regulation</w:t>
      </w:r>
      <w:r w:rsidR="001F6714" w:rsidRPr="00F4661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2A04A1F" w14:textId="77777777" w:rsidR="0003134A" w:rsidRPr="00F46617" w:rsidRDefault="0003134A" w:rsidP="00C95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A482887" w14:textId="126D300E" w:rsidR="006662FE" w:rsidRPr="00F46617" w:rsidRDefault="006662FE" w:rsidP="00A7705C">
      <w:pPr>
        <w:spacing w:after="0" w:line="240" w:lineRule="auto"/>
        <w:jc w:val="both"/>
        <w:rPr>
          <w:lang w:val="en-GB"/>
        </w:rPr>
      </w:pPr>
      <w:r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="0087729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The Regulations lay down the requirements for the preparation of the supervisory reports </w:t>
      </w:r>
      <w:r w:rsidR="00A7705C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necessary for monitoring compliance with requirements specified in Title I of </w:t>
      </w:r>
      <w:r w:rsidR="00A7705C" w:rsidRPr="00F46617">
        <w:rPr>
          <w:rFonts w:ascii="Times New Roman" w:hAnsi="Times New Roman" w:cs="Times New Roman"/>
          <w:sz w:val="24"/>
          <w:szCs w:val="24"/>
          <w:lang w:val="en"/>
        </w:rPr>
        <w:t>Commission Delegated Regulation (EU) 2017/390 of 11 November 2016 supplementing Regulation (EU) No 909/2014 of the European Parliament and of the Council with regard to regulatory technical standards on certain prudential requirements for central securities depositories and designated credit institutions offering banking-type ancillary services</w:t>
      </w:r>
      <w:r w:rsidR="008D0ED1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65AA8" w:rsidRPr="00F4661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A7705C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hereinafter </w:t>
      </w:r>
      <w:r w:rsidR="00965AA8" w:rsidRPr="00F4661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A7705C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4546B" w:rsidRPr="00F46617">
        <w:rPr>
          <w:rFonts w:ascii="Times New Roman" w:hAnsi="Times New Roman" w:cs="Times New Roman"/>
          <w:sz w:val="24"/>
          <w:szCs w:val="24"/>
          <w:lang w:val="en-GB"/>
        </w:rPr>
        <w:t>Regula</w:t>
      </w:r>
      <w:r w:rsidR="00A7705C" w:rsidRPr="00F46617">
        <w:rPr>
          <w:rFonts w:ascii="Times New Roman" w:hAnsi="Times New Roman" w:cs="Times New Roman"/>
          <w:sz w:val="24"/>
          <w:szCs w:val="24"/>
          <w:lang w:val="en-GB"/>
        </w:rPr>
        <w:t>tion (EU)</w:t>
      </w:r>
      <w:r w:rsidR="00A4546B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N</w:t>
      </w:r>
      <w:r w:rsidR="00A7705C" w:rsidRPr="00F46617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F4661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A4546B" w:rsidRPr="00F46617">
        <w:rPr>
          <w:rFonts w:ascii="Times New Roman" w:hAnsi="Times New Roman" w:cs="Times New Roman"/>
          <w:sz w:val="24"/>
          <w:szCs w:val="24"/>
          <w:lang w:val="en-GB"/>
        </w:rPr>
        <w:t>2017/390</w:t>
      </w:r>
      <w:r w:rsidR="00965AA8" w:rsidRPr="00F4661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EA3DE2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7705C" w:rsidRPr="00F46617">
        <w:rPr>
          <w:rFonts w:ascii="Times New Roman" w:hAnsi="Times New Roman" w:cs="Times New Roman"/>
          <w:sz w:val="24"/>
          <w:szCs w:val="24"/>
          <w:lang w:val="en-GB"/>
        </w:rPr>
        <w:t>as well as the procedure</w:t>
      </w:r>
      <w:r w:rsidR="005E2F4F" w:rsidRPr="00F4661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7705C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and time limits for the submission of these reports</w:t>
      </w:r>
      <w:r w:rsidR="0026550E" w:rsidRPr="00F4661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D47B5C3" w14:textId="77777777" w:rsidR="00965AA8" w:rsidRPr="00F46617" w:rsidRDefault="00965AA8" w:rsidP="00C95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314C7D7" w14:textId="0E6EA7F6" w:rsidR="00A75F38" w:rsidRPr="00F46617" w:rsidRDefault="00CE5C66" w:rsidP="00DE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661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767EA0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DE731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The terms used in the Regulations correspond to those used in </w:t>
      </w:r>
      <w:r w:rsidR="00A34365" w:rsidRPr="00F46617">
        <w:rPr>
          <w:rFonts w:ascii="Times New Roman" w:hAnsi="Times New Roman" w:cs="Times New Roman"/>
          <w:sz w:val="24"/>
          <w:szCs w:val="24"/>
          <w:lang w:val="en-GB"/>
        </w:rPr>
        <w:t>Regul</w:t>
      </w:r>
      <w:r w:rsidR="00DE731E" w:rsidRPr="00F46617">
        <w:rPr>
          <w:rFonts w:ascii="Times New Roman" w:hAnsi="Times New Roman" w:cs="Times New Roman"/>
          <w:sz w:val="24"/>
          <w:szCs w:val="24"/>
          <w:lang w:val="en-GB"/>
        </w:rPr>
        <w:t>ation (EU)</w:t>
      </w:r>
      <w:r w:rsidR="006415D2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N</w:t>
      </w:r>
      <w:r w:rsidR="00DE731E" w:rsidRPr="00F46617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6415D2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909/2014,</w:t>
      </w:r>
      <w:r w:rsidR="00A33AE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Finan</w:t>
      </w:r>
      <w:r w:rsidR="00DE731E" w:rsidRPr="00F46617">
        <w:rPr>
          <w:rFonts w:ascii="Times New Roman" w:hAnsi="Times New Roman" w:cs="Times New Roman"/>
          <w:sz w:val="24"/>
          <w:szCs w:val="24"/>
          <w:lang w:val="en-GB"/>
        </w:rPr>
        <w:t>cial I</w:t>
      </w:r>
      <w:r w:rsidR="00A33AEE" w:rsidRPr="00F46617">
        <w:rPr>
          <w:rFonts w:ascii="Times New Roman" w:hAnsi="Times New Roman" w:cs="Times New Roman"/>
          <w:sz w:val="24"/>
          <w:szCs w:val="24"/>
          <w:lang w:val="en-GB"/>
        </w:rPr>
        <w:t>nstrument</w:t>
      </w:r>
      <w:r w:rsidR="00DE731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Market Law</w:t>
      </w:r>
      <w:r w:rsidR="00A34365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E731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Credit Institution Law and </w:t>
      </w:r>
      <w:r w:rsidR="00DE731E" w:rsidRPr="00F46617">
        <w:rPr>
          <w:rFonts w:ascii="Times New Roman" w:hAnsi="Times New Roman"/>
          <w:bCs/>
          <w:sz w:val="24"/>
          <w:szCs w:val="24"/>
          <w:lang w:val="en" w:eastAsia="lv-LV"/>
        </w:rPr>
        <w:t>Law on the Annual Financial Statements and Consolidated Financial Statements</w:t>
      </w:r>
      <w:r w:rsidR="00A33AEE" w:rsidRPr="00F4661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322EC32" w14:textId="77777777" w:rsidR="00A76F86" w:rsidRPr="00F46617" w:rsidRDefault="00A76F86" w:rsidP="00C952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2245CDF7" w14:textId="1DF989E9" w:rsidR="008A524E" w:rsidRPr="00F46617" w:rsidRDefault="008A524E" w:rsidP="00C952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F46617">
        <w:rPr>
          <w:rFonts w:ascii="Times New Roman" w:hAnsi="Times New Roman" w:cs="Times New Roman"/>
          <w:b/>
          <w:sz w:val="26"/>
          <w:szCs w:val="26"/>
          <w:lang w:val="en-GB"/>
        </w:rPr>
        <w:t xml:space="preserve">II. </w:t>
      </w:r>
      <w:r w:rsidR="004E500F" w:rsidRPr="00F46617">
        <w:rPr>
          <w:rFonts w:ascii="Times New Roman" w:hAnsi="Times New Roman" w:cs="Times New Roman"/>
          <w:b/>
          <w:sz w:val="26"/>
          <w:szCs w:val="26"/>
          <w:lang w:val="en-GB"/>
        </w:rPr>
        <w:t xml:space="preserve">List of </w:t>
      </w:r>
      <w:r w:rsidR="00C25EE1" w:rsidRPr="00F46617">
        <w:rPr>
          <w:rFonts w:ascii="Times New Roman" w:hAnsi="Times New Roman" w:cs="Times New Roman"/>
          <w:b/>
          <w:sz w:val="26"/>
          <w:szCs w:val="26"/>
          <w:lang w:val="en-GB"/>
        </w:rPr>
        <w:t xml:space="preserve">Supervisory Reports to be Submitted </w:t>
      </w:r>
    </w:p>
    <w:p w14:paraId="6AFB3573" w14:textId="77777777" w:rsidR="008A524E" w:rsidRPr="00F46617" w:rsidRDefault="008A524E" w:rsidP="00C952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423E69E0" w14:textId="6768D777" w:rsidR="008A524E" w:rsidRPr="00F46617" w:rsidRDefault="00CE5C66" w:rsidP="009943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6617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8A524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25EE1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A524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CVD </w:t>
      </w:r>
      <w:r w:rsidR="00C25EE1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shall submit to the </w:t>
      </w:r>
      <w:r w:rsidR="008A524E" w:rsidRPr="00F46617">
        <w:rPr>
          <w:rFonts w:ascii="Times New Roman" w:hAnsi="Times New Roman" w:cs="Times New Roman"/>
          <w:sz w:val="24"/>
          <w:szCs w:val="24"/>
          <w:lang w:val="en-GB"/>
        </w:rPr>
        <w:t>Finan</w:t>
      </w:r>
      <w:r w:rsidR="00C25EE1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cial and Capital Market Commission </w:t>
      </w:r>
      <w:r w:rsidR="008A524E" w:rsidRPr="00F4661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25EE1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hereinafter </w:t>
      </w:r>
      <w:r w:rsidR="008A524E" w:rsidRPr="00F4661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C25EE1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FCMC</w:t>
      </w:r>
      <w:r w:rsidR="008A524E" w:rsidRPr="00F4661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5560EF" w:rsidRPr="00F46617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F707BD5" w14:textId="0BE91009" w:rsidR="005560EF" w:rsidRPr="00F46617" w:rsidRDefault="00CE5C66" w:rsidP="00BB1A19">
      <w:pPr>
        <w:pStyle w:val="Bezatstarpm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6617">
        <w:rPr>
          <w:rFonts w:ascii="Times New Roman" w:hAnsi="Times New Roman" w:cs="Times New Roman"/>
          <w:sz w:val="24"/>
          <w:szCs w:val="24"/>
          <w:lang w:val="en-GB"/>
        </w:rPr>
        <w:lastRenderedPageBreak/>
        <w:t>4</w:t>
      </w:r>
      <w:r w:rsidR="005560EF" w:rsidRPr="00F46617">
        <w:rPr>
          <w:rFonts w:ascii="Times New Roman" w:hAnsi="Times New Roman" w:cs="Times New Roman"/>
          <w:sz w:val="24"/>
          <w:szCs w:val="24"/>
          <w:lang w:val="en-GB"/>
        </w:rPr>
        <w:t>.1</w:t>
      </w:r>
      <w:r w:rsidR="006436E1" w:rsidRPr="00F4661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25EE1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9430C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25EE1" w:rsidRPr="00F46617">
        <w:rPr>
          <w:rFonts w:ascii="Times New Roman" w:hAnsi="Times New Roman" w:cs="Times New Roman"/>
          <w:sz w:val="24"/>
          <w:szCs w:val="24"/>
          <w:lang w:val="en-GB"/>
        </w:rPr>
        <w:t>reports C 07.00, C 13.01, C 14.00, C 14.01, C 16.00, C 18.00, C 19.00, C 20.00, C</w:t>
      </w:r>
      <w:r w:rsidR="00A265F6" w:rsidRPr="00F4661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C25EE1" w:rsidRPr="00F46617">
        <w:rPr>
          <w:rFonts w:ascii="Times New Roman" w:hAnsi="Times New Roman" w:cs="Times New Roman"/>
          <w:sz w:val="24"/>
          <w:szCs w:val="24"/>
          <w:lang w:val="en-GB"/>
        </w:rPr>
        <w:t>21.00, C 22.00, C 23.00, C 34.01, C 34.02, C 34.03, C 34.04, C 34.06, C 34.08, C 34.09 and C 34.10 referred to in Annex I to Commission Implementing Regulation (EU) 2021/451 of 17</w:t>
      </w:r>
      <w:r w:rsidR="00F4661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C25EE1" w:rsidRPr="00F46617">
        <w:rPr>
          <w:rFonts w:ascii="Times New Roman" w:hAnsi="Times New Roman" w:cs="Times New Roman"/>
          <w:sz w:val="24"/>
          <w:szCs w:val="24"/>
          <w:lang w:val="en-GB"/>
        </w:rPr>
        <w:t>December 2020 laying down implementing technical standards for the application of Regulation (EU) No 575/2013 of the European Parliament and of the Council with regard to supervisory reporting of institutions and repealing Implementing Regulation (EU) No</w:t>
      </w:r>
      <w:r w:rsidR="00F4661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C25EE1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680/2014, </w:t>
      </w:r>
      <w:r w:rsidR="00C25EE1" w:rsidRPr="00B15361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BB1A19">
        <w:rPr>
          <w:rFonts w:ascii="Times New Roman" w:hAnsi="Times New Roman" w:cs="Times New Roman"/>
          <w:sz w:val="24"/>
          <w:szCs w:val="24"/>
          <w:lang w:val="en-GB"/>
        </w:rPr>
        <w:t>repared</w:t>
      </w:r>
      <w:r w:rsidR="00C25EE1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in accordance with instructions specified in Annex II to this Regulation</w:t>
      </w:r>
      <w:r w:rsidR="00890ECE" w:rsidRPr="00F46617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94B82D4" w14:textId="0718E7EA" w:rsidR="005560EF" w:rsidRPr="00F46617" w:rsidRDefault="00CE5C66" w:rsidP="00C95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6617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5560EF" w:rsidRPr="00F46617">
        <w:rPr>
          <w:rFonts w:ascii="Times New Roman" w:hAnsi="Times New Roman" w:cs="Times New Roman"/>
          <w:sz w:val="24"/>
          <w:szCs w:val="24"/>
          <w:lang w:val="en-GB"/>
        </w:rPr>
        <w:t>.2.</w:t>
      </w:r>
      <w:r w:rsidR="006001F0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9430C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25EE1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balance sheet </w:t>
      </w:r>
      <w:r w:rsidR="0099430C" w:rsidRPr="00F46617">
        <w:rPr>
          <w:rFonts w:ascii="Times New Roman" w:hAnsi="Times New Roman" w:cs="Times New Roman"/>
          <w:sz w:val="24"/>
          <w:szCs w:val="24"/>
          <w:lang w:val="en-GB"/>
        </w:rPr>
        <w:t>report</w:t>
      </w:r>
      <w:r w:rsidR="00C25EE1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referred to in Annex </w:t>
      </w:r>
      <w:r w:rsidR="00842D6D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C25EE1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to th</w:t>
      </w:r>
      <w:r w:rsidR="00A265F6" w:rsidRPr="00F4661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C25EE1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Regulation</w:t>
      </w:r>
      <w:r w:rsidR="00A265F6" w:rsidRPr="00F4661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890ECE" w:rsidRPr="00F46617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70E6E0F2" w14:textId="026B0016" w:rsidR="005560EF" w:rsidRPr="00F46617" w:rsidRDefault="00CE5C66" w:rsidP="00C95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6617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5560EF" w:rsidRPr="00F46617">
        <w:rPr>
          <w:rFonts w:ascii="Times New Roman" w:hAnsi="Times New Roman" w:cs="Times New Roman"/>
          <w:sz w:val="24"/>
          <w:szCs w:val="24"/>
          <w:lang w:val="en-GB"/>
        </w:rPr>
        <w:t>.3.</w:t>
      </w:r>
      <w:r w:rsidR="006001F0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9430C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24247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reports referred to in Annexes </w:t>
      </w:r>
      <w:r w:rsidR="006001F0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2–4 </w:t>
      </w:r>
      <w:r w:rsidR="003D0C02" w:rsidRPr="00F46617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C24247" w:rsidRPr="00F46617">
        <w:rPr>
          <w:rFonts w:ascii="Times New Roman" w:hAnsi="Times New Roman" w:cs="Times New Roman"/>
          <w:sz w:val="24"/>
          <w:szCs w:val="24"/>
          <w:lang w:val="en-GB"/>
        </w:rPr>
        <w:t>o th</w:t>
      </w:r>
      <w:r w:rsidR="00A265F6" w:rsidRPr="00F4661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C24247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Regulation</w:t>
      </w:r>
      <w:r w:rsidR="00A265F6" w:rsidRPr="00F4661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24247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, drawn up in accordance with requirements of </w:t>
      </w:r>
      <w:r w:rsidR="006001F0" w:rsidRPr="00F46617">
        <w:rPr>
          <w:rFonts w:ascii="Times New Roman" w:hAnsi="Times New Roman" w:cs="Times New Roman"/>
          <w:sz w:val="24"/>
          <w:szCs w:val="24"/>
          <w:lang w:val="en-GB"/>
        </w:rPr>
        <w:t>Regula</w:t>
      </w:r>
      <w:r w:rsidR="00C24247" w:rsidRPr="00F46617">
        <w:rPr>
          <w:rFonts w:ascii="Times New Roman" w:hAnsi="Times New Roman" w:cs="Times New Roman"/>
          <w:sz w:val="24"/>
          <w:szCs w:val="24"/>
          <w:lang w:val="en-GB"/>
        </w:rPr>
        <w:t>tion (EU)</w:t>
      </w:r>
      <w:r w:rsidR="006001F0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N</w:t>
      </w:r>
      <w:r w:rsidR="00C24247" w:rsidRPr="00F46617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6001F0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2017/390</w:t>
      </w:r>
      <w:r w:rsidR="00890ECE" w:rsidRPr="00F46617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64508D43" w14:textId="6D9BA2D7" w:rsidR="00566434" w:rsidRPr="00BB1A19" w:rsidRDefault="00566434" w:rsidP="003D0C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6617">
        <w:rPr>
          <w:rFonts w:ascii="Times New Roman" w:hAnsi="Times New Roman" w:cs="Times New Roman"/>
          <w:sz w:val="24"/>
          <w:szCs w:val="24"/>
          <w:lang w:val="en-GB"/>
        </w:rPr>
        <w:t>4.4.</w:t>
      </w:r>
      <w:r w:rsidR="0039331B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D0C02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the incident report referred to in Annex </w:t>
      </w:r>
      <w:r w:rsidR="0039331B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5 </w:t>
      </w:r>
      <w:r w:rsidR="003D0C02" w:rsidRPr="00F46617">
        <w:rPr>
          <w:rFonts w:ascii="Times New Roman" w:hAnsi="Times New Roman" w:cs="Times New Roman"/>
          <w:sz w:val="24"/>
          <w:szCs w:val="24"/>
          <w:lang w:val="en-GB"/>
        </w:rPr>
        <w:t>to th</w:t>
      </w:r>
      <w:r w:rsidR="00A265F6" w:rsidRPr="00F4661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3D0C02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Regulation</w:t>
      </w:r>
      <w:r w:rsidR="00A265F6" w:rsidRPr="00F4661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F4661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066A3" w:rsidRPr="00F46617">
        <w:rPr>
          <w:lang w:val="en-GB"/>
        </w:rPr>
        <w:t xml:space="preserve"> </w:t>
      </w:r>
      <w:r w:rsidR="003D0C02" w:rsidRPr="00F46617">
        <w:rPr>
          <w:rFonts w:ascii="Times New Roman" w:hAnsi="Times New Roman" w:cs="Times New Roman"/>
          <w:sz w:val="24"/>
          <w:szCs w:val="24"/>
          <w:lang w:val="en-GB"/>
        </w:rPr>
        <w:t>An incident is an event which causes or is likely to cause interruptions o</w:t>
      </w:r>
      <w:r w:rsidR="004066A3" w:rsidRPr="00F46617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3D0C02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disruptions in the provision of core CSD services</w:t>
      </w:r>
      <w:r w:rsidR="004066A3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D0C02" w:rsidRPr="00F46617">
        <w:rPr>
          <w:rFonts w:ascii="Times New Roman" w:hAnsi="Times New Roman" w:cs="Times New Roman"/>
          <w:sz w:val="24"/>
          <w:szCs w:val="24"/>
          <w:lang w:val="en-GB"/>
        </w:rPr>
        <w:t>losses</w:t>
      </w:r>
      <w:r w:rsidR="004066A3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D0C02" w:rsidRPr="00F46617">
        <w:rPr>
          <w:rFonts w:ascii="Times New Roman" w:hAnsi="Times New Roman" w:cs="Times New Roman"/>
          <w:sz w:val="24"/>
          <w:szCs w:val="24"/>
          <w:lang w:val="en-GB"/>
        </w:rPr>
        <w:t>emergency</w:t>
      </w:r>
      <w:r w:rsidR="004066A3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D0C02" w:rsidRPr="00F46617">
        <w:rPr>
          <w:rFonts w:ascii="Times New Roman" w:hAnsi="Times New Roman" w:cs="Times New Roman"/>
          <w:sz w:val="24"/>
          <w:szCs w:val="24"/>
          <w:lang w:val="en-GB"/>
        </w:rPr>
        <w:t>crisis</w:t>
      </w:r>
      <w:r w:rsidR="004066A3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D0C02" w:rsidRPr="00F46617">
        <w:rPr>
          <w:rFonts w:ascii="Times New Roman" w:hAnsi="Times New Roman" w:cs="Times New Roman"/>
          <w:sz w:val="24"/>
          <w:szCs w:val="24"/>
          <w:lang w:val="en-GB"/>
        </w:rPr>
        <w:t>disaster or c</w:t>
      </w:r>
      <w:r w:rsidR="004066A3" w:rsidRPr="00F46617">
        <w:rPr>
          <w:rFonts w:ascii="Times New Roman" w:hAnsi="Times New Roman" w:cs="Times New Roman"/>
          <w:sz w:val="24"/>
          <w:szCs w:val="24"/>
          <w:lang w:val="en-GB"/>
        </w:rPr>
        <w:t>atastro</w:t>
      </w:r>
      <w:r w:rsidR="003D0C02" w:rsidRPr="00F46617">
        <w:rPr>
          <w:rFonts w:ascii="Times New Roman" w:hAnsi="Times New Roman" w:cs="Times New Roman"/>
          <w:sz w:val="24"/>
          <w:szCs w:val="24"/>
          <w:lang w:val="en-GB"/>
        </w:rPr>
        <w:t>phe</w:t>
      </w:r>
      <w:r w:rsidR="004066A3" w:rsidRPr="00F46617">
        <w:rPr>
          <w:rFonts w:ascii="Times New Roman" w:hAnsi="Times New Roman" w:cs="Times New Roman"/>
          <w:sz w:val="24"/>
          <w:szCs w:val="24"/>
          <w:lang w:val="en-GB"/>
        </w:rPr>
        <w:t>. T</w:t>
      </w:r>
      <w:r w:rsidR="003D0C02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his includes situations </w:t>
      </w:r>
      <w:r w:rsidR="00B16605">
        <w:rPr>
          <w:rFonts w:ascii="Times New Roman" w:hAnsi="Times New Roman" w:cs="Times New Roman"/>
          <w:sz w:val="24"/>
          <w:szCs w:val="24"/>
          <w:lang w:val="en-GB"/>
        </w:rPr>
        <w:t xml:space="preserve">where there is a threat </w:t>
      </w:r>
      <w:r w:rsidR="00530856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to the solvency of </w:t>
      </w:r>
      <w:r w:rsidR="004066A3" w:rsidRPr="00F46617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530856" w:rsidRPr="00F4661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066A3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D </w:t>
      </w:r>
      <w:r w:rsidR="00530856" w:rsidRPr="00BB1A19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="00BB1A19" w:rsidRPr="00BB1A1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participants of securities settlement system</w:t>
      </w:r>
      <w:r w:rsidR="004066A3" w:rsidRPr="00BB1A1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8D32584" w14:textId="77777777" w:rsidR="008A524E" w:rsidRPr="00BB1A19" w:rsidRDefault="008A524E" w:rsidP="00C95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753261F" w14:textId="5EB2CD07" w:rsidR="00965AA8" w:rsidRPr="00F46617" w:rsidRDefault="00591C8B" w:rsidP="00C9521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val="lv-LV"/>
        </w:rPr>
      </w:pPr>
      <w:r w:rsidRPr="00F46617">
        <w:rPr>
          <w:rFonts w:ascii="Times New Roman" w:hAnsi="Times New Roman" w:cs="Times New Roman"/>
          <w:b/>
          <w:noProof/>
          <w:sz w:val="26"/>
          <w:szCs w:val="26"/>
          <w:lang w:val="lv-LV"/>
        </w:rPr>
        <w:t>III</w:t>
      </w:r>
      <w:r w:rsidR="00965AA8" w:rsidRPr="00F46617">
        <w:rPr>
          <w:rFonts w:ascii="Times New Roman" w:hAnsi="Times New Roman" w:cs="Times New Roman"/>
          <w:b/>
          <w:noProof/>
          <w:sz w:val="26"/>
          <w:szCs w:val="26"/>
          <w:lang w:val="lv-LV"/>
        </w:rPr>
        <w:t>. P</w:t>
      </w:r>
      <w:r w:rsidR="009F622D" w:rsidRPr="00F46617">
        <w:rPr>
          <w:rFonts w:ascii="Times New Roman" w:hAnsi="Times New Roman" w:cs="Times New Roman"/>
          <w:b/>
          <w:noProof/>
          <w:sz w:val="26"/>
          <w:szCs w:val="26"/>
          <w:lang w:val="lv-LV"/>
        </w:rPr>
        <w:t xml:space="preserve">rocedures for the Submission of Reports </w:t>
      </w:r>
    </w:p>
    <w:p w14:paraId="7BEA7183" w14:textId="77777777" w:rsidR="00591C8B" w:rsidRPr="00F46617" w:rsidRDefault="00591C8B" w:rsidP="008D16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6C11B143" w14:textId="3E4F60D8" w:rsidR="003644F2" w:rsidRPr="00F46617" w:rsidRDefault="00686D43" w:rsidP="00C95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6617">
        <w:rPr>
          <w:rFonts w:ascii="Times New Roman" w:hAnsi="Times New Roman" w:cs="Times New Roman"/>
          <w:noProof/>
          <w:sz w:val="24"/>
          <w:szCs w:val="24"/>
          <w:lang w:val="lv-LV"/>
        </w:rPr>
        <w:t>5</w:t>
      </w:r>
      <w:r w:rsidR="00F700D5" w:rsidRPr="00F46617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. </w:t>
      </w:r>
      <w:r w:rsidR="005C34E6" w:rsidRPr="00F46617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The </w:t>
      </w:r>
      <w:r w:rsidR="00F700D5" w:rsidRPr="00F46617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700D5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D 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>shall prepare the reports referred to in paragraph 4.1 of t</w:t>
      </w:r>
      <w:r w:rsidR="0053612D" w:rsidRPr="00F46617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Regulation</w:t>
      </w:r>
      <w:r w:rsidR="0053612D" w:rsidRPr="00F4661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electronically using the </w:t>
      </w:r>
      <w:bookmarkStart w:id="1" w:name="_Hlk92363683"/>
      <w:r w:rsidR="003E76A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XBRL (Extensible Business Reporting Language) </w:t>
      </w:r>
      <w:bookmarkEnd w:id="1"/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file format in accordance with the taxonomy drawn up by the </w:t>
      </w:r>
      <w:r w:rsidR="00FE72F7" w:rsidRPr="00F4661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uropean </w:t>
      </w:r>
      <w:r w:rsidR="00FE72F7" w:rsidRPr="00F46617">
        <w:rPr>
          <w:rFonts w:ascii="Times New Roman" w:hAnsi="Times New Roman" w:cs="Times New Roman"/>
          <w:sz w:val="24"/>
          <w:szCs w:val="24"/>
          <w:lang w:val="en-GB"/>
        </w:rPr>
        <w:t>Bank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ing Authority </w:t>
      </w:r>
      <w:r w:rsidR="00FE72F7" w:rsidRPr="00F4661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hereinafter </w:t>
      </w:r>
      <w:r w:rsidR="00FE72F7" w:rsidRPr="00F46617">
        <w:rPr>
          <w:rFonts w:ascii="Times New Roman" w:hAnsi="Times New Roman" w:cs="Times New Roman"/>
          <w:sz w:val="24"/>
          <w:szCs w:val="24"/>
          <w:lang w:val="en-GB"/>
        </w:rPr>
        <w:t>– EB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E72F7" w:rsidRPr="00F4661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3E76A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published on the </w:t>
      </w:r>
      <w:r w:rsidR="00FE72F7" w:rsidRPr="00F46617">
        <w:rPr>
          <w:rFonts w:ascii="Times New Roman" w:hAnsi="Times New Roman" w:cs="Times New Roman"/>
          <w:sz w:val="24"/>
          <w:szCs w:val="24"/>
          <w:lang w:val="en-GB"/>
        </w:rPr>
        <w:t>EB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A website </w:t>
      </w:r>
      <w:r w:rsidR="003E76AE" w:rsidRPr="00F4661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5423D" w:rsidRPr="00F46617">
        <w:rPr>
          <w:rFonts w:ascii="Times New Roman" w:hAnsi="Times New Roman" w:cs="Times New Roman"/>
          <w:sz w:val="24"/>
          <w:szCs w:val="24"/>
          <w:lang w:val="en-GB"/>
        </w:rPr>
        <w:t>www.eba.europa.eu</w:t>
      </w:r>
      <w:r w:rsidR="003E76A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If the </w:t>
      </w:r>
      <w:r w:rsidR="003E76AE" w:rsidRPr="00F46617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E76A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D 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reports cannot be prepared in the </w:t>
      </w:r>
      <w:r w:rsidR="003E76AE" w:rsidRPr="00F46617">
        <w:rPr>
          <w:rFonts w:ascii="Times New Roman" w:hAnsi="Times New Roman" w:cs="Times New Roman"/>
          <w:sz w:val="24"/>
          <w:szCs w:val="24"/>
          <w:lang w:val="en-GB"/>
        </w:rPr>
        <w:t>XBRL fil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3E76A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form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3E76A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t, 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they shall be submitted using </w:t>
      </w:r>
      <w:bookmarkStart w:id="2" w:name="_Hlk92363701"/>
      <w:r w:rsidR="003E76A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XLSX (Microsoft Excel Open XML) </w:t>
      </w:r>
      <w:bookmarkEnd w:id="2"/>
      <w:r w:rsidR="003E76AE" w:rsidRPr="00F46617">
        <w:rPr>
          <w:rFonts w:ascii="Times New Roman" w:hAnsi="Times New Roman" w:cs="Times New Roman"/>
          <w:sz w:val="24"/>
          <w:szCs w:val="24"/>
          <w:lang w:val="en-GB"/>
        </w:rPr>
        <w:t>fil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3E76A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form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>at,</w:t>
      </w:r>
      <w:r w:rsidR="003E76A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16605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completing the </w:t>
      </w:r>
      <w:r w:rsidR="003E76AE" w:rsidRPr="00F46617">
        <w:rPr>
          <w:rFonts w:ascii="Times New Roman" w:hAnsi="Times New Roman" w:cs="Times New Roman"/>
          <w:sz w:val="24"/>
          <w:szCs w:val="24"/>
          <w:lang w:val="en-GB"/>
        </w:rPr>
        <w:t>XLSX fil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>e drawn up by the FCMC</w:t>
      </w:r>
      <w:r w:rsidR="003E76A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published in the </w:t>
      </w:r>
      <w:r w:rsidR="003E76AE" w:rsidRPr="00F46617">
        <w:rPr>
          <w:rFonts w:ascii="Times New Roman" w:hAnsi="Times New Roman" w:cs="Times New Roman"/>
          <w:sz w:val="24"/>
          <w:szCs w:val="24"/>
          <w:lang w:val="en-GB"/>
        </w:rPr>
        <w:t>Dat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3E76A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Reporting System </w:t>
      </w:r>
      <w:r w:rsidR="003E76AE" w:rsidRPr="00F4661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51638" w:rsidRPr="00F46617">
        <w:rPr>
          <w:rFonts w:ascii="Times New Roman" w:hAnsi="Times New Roman" w:cs="Times New Roman"/>
          <w:sz w:val="24"/>
          <w:szCs w:val="24"/>
          <w:lang w:val="en-GB"/>
        </w:rPr>
        <w:t>https://dzs.fktk.lv</w:t>
      </w:r>
      <w:r w:rsidR="003E76AE" w:rsidRPr="00F4661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E76A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C34E6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and shall be sent to the FCMC in accordance with the procedures specified in the FCMC regulatory provisions on the submission of </w:t>
      </w:r>
      <w:r w:rsidR="00CA5774" w:rsidRPr="00F46617">
        <w:rPr>
          <w:rFonts w:ascii="Times New Roman" w:hAnsi="Times New Roman" w:cs="Times New Roman"/>
          <w:sz w:val="24"/>
          <w:szCs w:val="24"/>
          <w:lang w:val="en-GB"/>
        </w:rPr>
        <w:t>reports drawn up electronically</w:t>
      </w:r>
      <w:r w:rsidR="003E76AE" w:rsidRPr="00F4661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A5C55FF" w14:textId="435C1451" w:rsidR="00F33B9F" w:rsidRPr="00F46617" w:rsidRDefault="00F33B9F" w:rsidP="00C95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E844ADB" w14:textId="6441F027" w:rsidR="00F33B9F" w:rsidRPr="00F46617" w:rsidRDefault="00F33B9F" w:rsidP="00C95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6. </w:t>
      </w:r>
      <w:r w:rsidR="009F400D" w:rsidRPr="00F46617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The </w:t>
      </w:r>
      <w:r w:rsidR="009F400D" w:rsidRPr="00F46617">
        <w:rPr>
          <w:rFonts w:ascii="Times New Roman" w:hAnsi="Times New Roman" w:cs="Times New Roman"/>
          <w:sz w:val="24"/>
          <w:szCs w:val="24"/>
          <w:lang w:val="en-GB"/>
        </w:rPr>
        <w:t>CSD shall prepare the reports referred to in paragraphs 4.2 and 4.3 of th</w:t>
      </w:r>
      <w:r w:rsidR="0053612D" w:rsidRPr="00F4661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9F400D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Regulation</w:t>
      </w:r>
      <w:r w:rsidR="0053612D" w:rsidRPr="00F4661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F400D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electronically using the </w:t>
      </w:r>
      <w:r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XBRL </w:t>
      </w:r>
      <w:r w:rsidR="009F400D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file format in accordance with the taxonomy drawn up by the </w:t>
      </w:r>
      <w:r w:rsidRPr="00F46617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9F400D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CMC, published on the </w:t>
      </w:r>
      <w:r w:rsidRPr="00F46617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9F400D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CMC website </w:t>
      </w:r>
      <w:r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(www.fktk.lv). </w:t>
      </w:r>
      <w:r w:rsidR="009F400D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If the CSD reports cannot be prepared in the XBRL file format, they shall be submitted using XLSX file format, </w:t>
      </w:r>
      <w:r w:rsidR="00B16605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="009F400D" w:rsidRPr="00F46617">
        <w:rPr>
          <w:rFonts w:ascii="Times New Roman" w:hAnsi="Times New Roman" w:cs="Times New Roman"/>
          <w:sz w:val="24"/>
          <w:szCs w:val="24"/>
          <w:lang w:val="en-GB"/>
        </w:rPr>
        <w:t>completing the XLSX file drawn up by the FCMC, published in the Data Reporting System (https://dzs.fktk.lv), and shall be sent to the FCMC in accordance with the procedures specified in the FCMC regulatory provisions on the submission of reports drawn up electronically.</w:t>
      </w:r>
    </w:p>
    <w:p w14:paraId="7DCA4F26" w14:textId="77777777" w:rsidR="008408D3" w:rsidRPr="00F46617" w:rsidRDefault="008408D3" w:rsidP="00C95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54B4FBA" w14:textId="30D6A824" w:rsidR="008408D3" w:rsidRPr="00F46617" w:rsidRDefault="00F33B9F" w:rsidP="00C95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6617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8408D3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3612D" w:rsidRPr="00F46617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The </w:t>
      </w:r>
      <w:r w:rsidR="0053612D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CSD shall prepare the reports referred to in paragraph </w:t>
      </w:r>
      <w:r w:rsidR="008408D3" w:rsidRPr="00F46617">
        <w:rPr>
          <w:rFonts w:ascii="Times New Roman" w:hAnsi="Times New Roman" w:cs="Times New Roman"/>
          <w:sz w:val="24"/>
          <w:szCs w:val="24"/>
          <w:lang w:val="en-GB"/>
        </w:rPr>
        <w:t>4.4</w:t>
      </w:r>
      <w:r w:rsidR="0053612D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of the Regulations using the </w:t>
      </w:r>
      <w:r w:rsidR="008408D3" w:rsidRPr="00F46617">
        <w:rPr>
          <w:rFonts w:ascii="Times New Roman" w:hAnsi="Times New Roman" w:cs="Times New Roman"/>
          <w:iCs/>
          <w:sz w:val="24"/>
          <w:szCs w:val="24"/>
          <w:lang w:val="en-GB"/>
        </w:rPr>
        <w:t>Excel</w:t>
      </w:r>
      <w:r w:rsidR="008408D3" w:rsidRPr="00F4661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8408D3" w:rsidRPr="00F46617">
        <w:rPr>
          <w:rFonts w:ascii="Times New Roman" w:hAnsi="Times New Roman" w:cs="Times New Roman"/>
          <w:sz w:val="24"/>
          <w:szCs w:val="24"/>
          <w:lang w:val="en-GB"/>
        </w:rPr>
        <w:t>fil</w:t>
      </w:r>
      <w:r w:rsidR="0053612D" w:rsidRPr="00F4661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8408D3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for</w:t>
      </w:r>
      <w:r w:rsidR="0053612D" w:rsidRPr="00F46617">
        <w:rPr>
          <w:rFonts w:ascii="Times New Roman" w:hAnsi="Times New Roman" w:cs="Times New Roman"/>
          <w:sz w:val="24"/>
          <w:szCs w:val="24"/>
          <w:lang w:val="en-GB"/>
        </w:rPr>
        <w:t>ma</w:t>
      </w:r>
      <w:r w:rsidR="008408D3" w:rsidRPr="00F46617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D87BA9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2023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according to </w:t>
      </w:r>
      <w:r w:rsidR="0053612D" w:rsidRPr="00F46617">
        <w:rPr>
          <w:rFonts w:ascii="Times New Roman" w:hAnsi="Times New Roman" w:cs="Times New Roman"/>
          <w:sz w:val="24"/>
          <w:szCs w:val="24"/>
          <w:lang w:val="en-GB"/>
        </w:rPr>
        <w:t>the Excel file drawn up by the FCMC</w:t>
      </w:r>
      <w:r w:rsidR="00D87BA9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2023E" w:rsidRPr="00F46617">
        <w:rPr>
          <w:rFonts w:ascii="Times New Roman" w:hAnsi="Times New Roman" w:cs="Times New Roman"/>
          <w:sz w:val="24"/>
          <w:szCs w:val="24"/>
          <w:lang w:val="en-GB"/>
        </w:rPr>
        <w:t>published in the Data Reporting System (https://dzs.fktk.lv), and shall be sent to the FCMC in accordance with the procedures specified in the FCMC regulatory provisions on the submission of reports drawn up electronically</w:t>
      </w:r>
      <w:r w:rsidR="006E1BC1" w:rsidRPr="00F4661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53E7434" w14:textId="77777777" w:rsidR="00591C8B" w:rsidRPr="00F46617" w:rsidRDefault="00591C8B" w:rsidP="00C95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FCBC5F" w14:textId="3012B501" w:rsidR="00FA05FB" w:rsidRPr="00F46617" w:rsidRDefault="00F33B9F" w:rsidP="00C95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6617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FA05FB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2023E" w:rsidRPr="00F46617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The </w:t>
      </w:r>
      <w:r w:rsidR="00E2023E" w:rsidRPr="00F46617">
        <w:rPr>
          <w:rFonts w:ascii="Times New Roman" w:hAnsi="Times New Roman" w:cs="Times New Roman"/>
          <w:sz w:val="24"/>
          <w:szCs w:val="24"/>
          <w:lang w:val="en-GB"/>
        </w:rPr>
        <w:t>CSD shall prepare the reports referred to in paragraphs 4.1 and 4.2 of the Regulations</w:t>
      </w:r>
      <w:r w:rsidR="00E23042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2023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as well as reports referred to in paragraph </w:t>
      </w:r>
      <w:r w:rsidR="006001F0" w:rsidRPr="00F46617">
        <w:rPr>
          <w:rFonts w:ascii="Times New Roman" w:hAnsi="Times New Roman" w:cs="Times New Roman"/>
          <w:sz w:val="24"/>
          <w:szCs w:val="24"/>
          <w:lang w:val="en-GB"/>
        </w:rPr>
        <w:t>4.3</w:t>
      </w:r>
      <w:r w:rsidR="00811CFE" w:rsidRPr="00F4661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E2023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in accordance with Annex 2 to the Regulations </w:t>
      </w:r>
      <w:r w:rsidR="0070524E" w:rsidRPr="00F46617">
        <w:rPr>
          <w:rFonts w:ascii="Times New Roman" w:hAnsi="Times New Roman" w:cs="Times New Roman"/>
          <w:sz w:val="24"/>
          <w:szCs w:val="24"/>
          <w:lang w:val="en-GB"/>
        </w:rPr>
        <w:t>regarding the situation on the last date of the reporting quarter and shall submit by the 11</w:t>
      </w:r>
      <w:r w:rsidR="0070524E" w:rsidRPr="00F4661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70524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of the second month following the reporting quarter</w:t>
      </w:r>
      <w:r w:rsidR="00FA05FB" w:rsidRPr="00F4661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66434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1167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The reports referred to in paragraph </w:t>
      </w:r>
      <w:r w:rsidR="00E23042" w:rsidRPr="00F46617">
        <w:rPr>
          <w:rFonts w:ascii="Times New Roman" w:hAnsi="Times New Roman" w:cs="Times New Roman"/>
          <w:sz w:val="24"/>
          <w:szCs w:val="24"/>
          <w:lang w:val="en-GB"/>
        </w:rPr>
        <w:t>4.</w:t>
      </w:r>
      <w:r w:rsidR="00007B24" w:rsidRPr="00F4661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F11167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of the Regulations shall be prepared for the situation on 31 December in conformity with Annexes </w:t>
      </w:r>
      <w:r w:rsidR="00E23042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3 </w:t>
      </w:r>
      <w:r w:rsidR="00F11167" w:rsidRPr="00F46617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E23042" w:rsidRPr="00F46617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F11167" w:rsidRPr="00F46617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E23042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4 </w:t>
      </w:r>
      <w:r w:rsidR="00F11167" w:rsidRPr="00F46617">
        <w:rPr>
          <w:rFonts w:ascii="Times New Roman" w:hAnsi="Times New Roman" w:cs="Times New Roman"/>
          <w:sz w:val="24"/>
          <w:szCs w:val="24"/>
          <w:lang w:val="en-GB"/>
        </w:rPr>
        <w:t>of the Regulations and shall be submitted to the FCMC by 11 February of the year following the reporting date</w:t>
      </w:r>
      <w:r w:rsidR="00E23042" w:rsidRPr="00F4661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90ECE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1167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The incident report referred to in paragraph </w:t>
      </w:r>
      <w:r w:rsidR="00D543CF" w:rsidRPr="00F46617">
        <w:rPr>
          <w:rFonts w:ascii="Times New Roman" w:hAnsi="Times New Roman" w:cs="Times New Roman"/>
          <w:sz w:val="24"/>
          <w:szCs w:val="24"/>
          <w:lang w:val="en-GB"/>
        </w:rPr>
        <w:t>4.4</w:t>
      </w:r>
      <w:r w:rsidR="00F11167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of the Regulations shall be submitted no later than the next working day </w:t>
      </w:r>
      <w:r w:rsidR="009C251E" w:rsidRPr="00F46617">
        <w:rPr>
          <w:rFonts w:ascii="Times New Roman" w:hAnsi="Times New Roman" w:cs="Times New Roman"/>
          <w:sz w:val="24"/>
          <w:szCs w:val="24"/>
          <w:lang w:val="en-GB"/>
        </w:rPr>
        <w:t>following the incident detection</w:t>
      </w:r>
      <w:r w:rsidR="00D543CF" w:rsidRPr="00F4661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66434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5D334F3" w14:textId="77777777" w:rsidR="00FA05FB" w:rsidRPr="00F46617" w:rsidRDefault="00FA05FB" w:rsidP="00C95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2A2F6BE" w14:textId="15B744D1" w:rsidR="003D252C" w:rsidRPr="00F46617" w:rsidRDefault="00F33B9F" w:rsidP="00C95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6617">
        <w:rPr>
          <w:rFonts w:ascii="Times New Roman" w:hAnsi="Times New Roman" w:cs="Times New Roman"/>
          <w:sz w:val="24"/>
          <w:szCs w:val="24"/>
          <w:lang w:val="en-GB"/>
        </w:rPr>
        <w:lastRenderedPageBreak/>
        <w:t>9</w:t>
      </w:r>
      <w:r w:rsidR="003D252C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D3412" w:rsidRPr="00F46617">
        <w:rPr>
          <w:rFonts w:ascii="Times New Roman" w:hAnsi="Times New Roman" w:cs="Times New Roman"/>
          <w:sz w:val="24"/>
          <w:szCs w:val="24"/>
          <w:lang w:val="en-GB"/>
        </w:rPr>
        <w:t>If the FCMC finds that the report has been prepared erroneously, it shall be notified to the author</w:t>
      </w:r>
      <w:r w:rsidR="00B16605">
        <w:rPr>
          <w:rFonts w:ascii="Times New Roman" w:hAnsi="Times New Roman" w:cs="Times New Roman"/>
          <w:sz w:val="24"/>
          <w:szCs w:val="24"/>
          <w:lang w:val="en-GB"/>
        </w:rPr>
        <w:t xml:space="preserve"> of the report</w:t>
      </w:r>
      <w:r w:rsidR="003644F2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D3412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If the FCMC has not specified another time limit, </w:t>
      </w:r>
      <w:r w:rsidR="00DE75D0" w:rsidRPr="00F46617">
        <w:rPr>
          <w:rFonts w:ascii="Times New Roman" w:hAnsi="Times New Roman" w:cs="Times New Roman"/>
          <w:sz w:val="24"/>
          <w:szCs w:val="24"/>
          <w:lang w:val="en-GB"/>
        </w:rPr>
        <w:t>the CSD shall submit the modified report no later than the second working day following receipt of the notification from the FCMC of the existence of errors</w:t>
      </w:r>
      <w:r w:rsidR="003644F2" w:rsidRPr="00F4661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48C8B10" w14:textId="7EBFE17D" w:rsidR="0030080A" w:rsidRPr="00F46617" w:rsidRDefault="0030080A" w:rsidP="00C95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76C810C" w14:textId="0AA36278" w:rsidR="0030080A" w:rsidRPr="00F46617" w:rsidRDefault="00F33B9F" w:rsidP="00C95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6617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="0030080A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65093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The CSD </w:t>
      </w:r>
      <w:r w:rsidR="00956F4B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may submit the reports referred to in paragraph </w:t>
      </w:r>
      <w:r w:rsidR="006D1D63" w:rsidRPr="00F46617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956F4B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of the Regulations on the basis of non-audited data</w:t>
      </w:r>
      <w:r w:rsidR="006D1D63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56F4B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Non-audited </w:t>
      </w:r>
      <w:r w:rsidR="006D1D63" w:rsidRPr="00F46617">
        <w:rPr>
          <w:rFonts w:ascii="Times New Roman" w:hAnsi="Times New Roman" w:cs="Times New Roman"/>
          <w:sz w:val="24"/>
          <w:szCs w:val="24"/>
          <w:lang w:val="en-GB"/>
        </w:rPr>
        <w:t>dat</w:t>
      </w:r>
      <w:r w:rsidR="00956F4B" w:rsidRPr="00F46617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6D1D63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56F4B" w:rsidRPr="00F46617">
        <w:rPr>
          <w:rFonts w:ascii="Times New Roman" w:hAnsi="Times New Roman" w:cs="Times New Roman"/>
          <w:sz w:val="24"/>
          <w:szCs w:val="24"/>
          <w:lang w:val="en-GB"/>
        </w:rPr>
        <w:t>means data for the preparation of which information from a sworn auditor has not been used in accordance with approved financial statements specified in the Law on Audit Services</w:t>
      </w:r>
      <w:r w:rsidR="006D1D63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771C6" w:rsidRPr="00F46617">
        <w:rPr>
          <w:rFonts w:ascii="Times New Roman" w:hAnsi="Times New Roman" w:cs="Times New Roman"/>
          <w:sz w:val="24"/>
          <w:szCs w:val="24"/>
          <w:lang w:val="en-GB"/>
        </w:rPr>
        <w:t>If the data, which are obtained from the audited financial statements</w:t>
      </w:r>
      <w:r w:rsidR="00C741E9" w:rsidRPr="00F4661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D1D63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771C6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differs from </w:t>
      </w:r>
      <w:r w:rsidR="002E2870" w:rsidRPr="00F46617">
        <w:rPr>
          <w:rFonts w:ascii="Times New Roman" w:hAnsi="Times New Roman" w:cs="Times New Roman"/>
          <w:sz w:val="24"/>
          <w:szCs w:val="24"/>
          <w:lang w:val="en-GB"/>
        </w:rPr>
        <w:t>the non-audited data already submitted to the FCMC</w:t>
      </w:r>
      <w:r w:rsidR="006D1D63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E2870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the CSD shall prepare the reports referred to in paragraph </w:t>
      </w:r>
      <w:r w:rsidR="006D1D63" w:rsidRPr="00F46617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2E2870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of the Regulations on the basis of the audited data of financial statements</w:t>
      </w:r>
      <w:r w:rsidR="00C741E9" w:rsidRPr="00F4661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D1D63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E2870" w:rsidRPr="00F46617">
        <w:rPr>
          <w:rFonts w:ascii="Times New Roman" w:hAnsi="Times New Roman" w:cs="Times New Roman"/>
          <w:sz w:val="24"/>
          <w:szCs w:val="24"/>
          <w:lang w:val="en-GB"/>
        </w:rPr>
        <w:t>and shall resubmit the reports to the FCMC without delay</w:t>
      </w:r>
      <w:r w:rsidR="006D1D63" w:rsidRPr="00F46617">
        <w:rPr>
          <w:rFonts w:ascii="Times New Roman" w:hAnsi="Times New Roman" w:cs="Times New Roman"/>
          <w:sz w:val="24"/>
          <w:szCs w:val="24"/>
          <w:lang w:val="en-GB"/>
        </w:rPr>
        <w:t>, b</w:t>
      </w:r>
      <w:r w:rsidR="002E2870" w:rsidRPr="00F46617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6D1D63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t </w:t>
      </w:r>
      <w:r w:rsidR="002E2870" w:rsidRPr="00F46617">
        <w:rPr>
          <w:rFonts w:ascii="Times New Roman" w:hAnsi="Times New Roman" w:cs="Times New Roman"/>
          <w:sz w:val="24"/>
          <w:szCs w:val="24"/>
          <w:lang w:val="en-GB"/>
        </w:rPr>
        <w:t>no later than within five working days after the approval of the audited data</w:t>
      </w:r>
      <w:r w:rsidR="006D1D63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409A988B" w14:textId="77777777" w:rsidR="006D1D63" w:rsidRPr="00F46617" w:rsidRDefault="006D1D63" w:rsidP="00C95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B699558" w14:textId="02986C73" w:rsidR="00E27C0A" w:rsidRPr="00F46617" w:rsidRDefault="00327E50" w:rsidP="00C95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661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F33B9F" w:rsidRPr="00F4661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30080A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65093" w:rsidRPr="00F46617">
        <w:rPr>
          <w:rFonts w:ascii="Times New Roman" w:hAnsi="Times New Roman" w:cs="Times New Roman"/>
          <w:sz w:val="24"/>
          <w:szCs w:val="24"/>
          <w:lang w:val="en-GB"/>
        </w:rPr>
        <w:t>If the CSD finds that the report has been prepared erroneously, the CSD shall immediately notify the FCMC of it</w:t>
      </w:r>
      <w:r w:rsidR="00451638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65093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The CSD shall submit the </w:t>
      </w:r>
      <w:r w:rsidR="00B16605">
        <w:rPr>
          <w:rFonts w:ascii="Times New Roman" w:hAnsi="Times New Roman" w:cs="Times New Roman"/>
          <w:sz w:val="24"/>
          <w:szCs w:val="24"/>
          <w:lang w:val="en-GB"/>
        </w:rPr>
        <w:t xml:space="preserve">amended </w:t>
      </w:r>
      <w:r w:rsidR="00865093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report no later than the second working day following the detection </w:t>
      </w:r>
      <w:r w:rsidR="00B16605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865093" w:rsidRPr="00F46617">
        <w:rPr>
          <w:rFonts w:ascii="Times New Roman" w:hAnsi="Times New Roman" w:cs="Times New Roman"/>
          <w:sz w:val="24"/>
          <w:szCs w:val="24"/>
          <w:lang w:val="en-GB"/>
        </w:rPr>
        <w:t>error</w:t>
      </w:r>
      <w:r w:rsidR="00451638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56F4B" w:rsidRPr="00F46617">
        <w:rPr>
          <w:rFonts w:ascii="Times New Roman" w:hAnsi="Times New Roman" w:cs="Times New Roman"/>
          <w:sz w:val="24"/>
          <w:szCs w:val="24"/>
          <w:lang w:val="en-GB"/>
        </w:rPr>
        <w:t>If it is not possible to submit the report within the specified deadline</w:t>
      </w:r>
      <w:r w:rsidR="00451638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56F4B" w:rsidRPr="00F46617">
        <w:rPr>
          <w:rFonts w:ascii="Times New Roman" w:hAnsi="Times New Roman" w:cs="Times New Roman"/>
          <w:sz w:val="24"/>
          <w:szCs w:val="24"/>
          <w:lang w:val="en-GB"/>
        </w:rPr>
        <w:t>the CSD shall agree with the FCMC on the deadline for submitting the report</w:t>
      </w:r>
      <w:r w:rsidR="00451638" w:rsidRPr="00F4661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70334BC" w14:textId="77777777" w:rsidR="00A76F86" w:rsidRPr="00F46617" w:rsidRDefault="00A76F86" w:rsidP="00C952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noProof/>
          <w:sz w:val="26"/>
          <w:szCs w:val="26"/>
          <w:lang w:val="lv-LV"/>
        </w:rPr>
      </w:pPr>
    </w:p>
    <w:p w14:paraId="11AC9C7C" w14:textId="4C7AF869" w:rsidR="0070660F" w:rsidRPr="00F46617" w:rsidRDefault="00591C8B" w:rsidP="00C952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F46617">
        <w:rPr>
          <w:rFonts w:ascii="Times New Roman" w:hAnsi="Times New Roman" w:cs="Times New Roman"/>
          <w:b/>
          <w:sz w:val="26"/>
          <w:szCs w:val="26"/>
          <w:lang w:val="en-GB"/>
        </w:rPr>
        <w:t>I</w:t>
      </w:r>
      <w:r w:rsidR="006001F0" w:rsidRPr="00F46617">
        <w:rPr>
          <w:rFonts w:ascii="Times New Roman" w:hAnsi="Times New Roman" w:cs="Times New Roman"/>
          <w:b/>
          <w:sz w:val="26"/>
          <w:szCs w:val="26"/>
          <w:lang w:val="en-GB"/>
        </w:rPr>
        <w:t xml:space="preserve">V. </w:t>
      </w:r>
      <w:r w:rsidR="00C25EE1" w:rsidRPr="00F46617">
        <w:rPr>
          <w:rFonts w:ascii="Times New Roman" w:hAnsi="Times New Roman" w:cs="Times New Roman"/>
          <w:b/>
          <w:sz w:val="26"/>
          <w:szCs w:val="26"/>
          <w:lang w:val="en-GB"/>
        </w:rPr>
        <w:t>Closing Provision</w:t>
      </w:r>
    </w:p>
    <w:p w14:paraId="25FBFE91" w14:textId="77777777" w:rsidR="00C858D9" w:rsidRPr="00F46617" w:rsidRDefault="00C858D9" w:rsidP="008D1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303E56E" w14:textId="3F7214E7" w:rsidR="00CD493E" w:rsidRPr="00F46617" w:rsidRDefault="00327E50" w:rsidP="00C95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661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F33B9F" w:rsidRPr="00F4661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70660F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25EE1" w:rsidRPr="00F46617">
        <w:rPr>
          <w:rFonts w:ascii="Times New Roman" w:hAnsi="Times New Roman" w:cs="Times New Roman"/>
          <w:sz w:val="24"/>
          <w:szCs w:val="24"/>
          <w:lang w:val="en-GB"/>
        </w:rPr>
        <w:t>With the coming into force of the Regulations</w:t>
      </w:r>
      <w:r w:rsidR="000407C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25EE1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the FCMC's Regulations </w:t>
      </w:r>
      <w:r w:rsidR="00A265F6" w:rsidRPr="00F4661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25EE1" w:rsidRPr="00F46617">
        <w:rPr>
          <w:rFonts w:ascii="Times New Roman" w:hAnsi="Times New Roman" w:cs="Times New Roman"/>
          <w:sz w:val="24"/>
          <w:szCs w:val="24"/>
          <w:lang w:val="en-GB"/>
        </w:rPr>
        <w:t>No 171</w:t>
      </w:r>
      <w:r w:rsidR="00A265F6" w:rsidRPr="00F4661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C25EE1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B27EF" w:rsidRPr="00F46617">
        <w:rPr>
          <w:rFonts w:ascii="Times New Roman" w:hAnsi="Times New Roman" w:cs="Times New Roman"/>
          <w:sz w:val="24"/>
          <w:szCs w:val="24"/>
          <w:lang w:val="en-GB"/>
        </w:rPr>
        <w:t>on the Preparation and Submission of Supervisory Reports of Central Securities Depositories</w:t>
      </w:r>
      <w:r w:rsidR="00C25EE1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of 30 October 2018</w:t>
      </w:r>
      <w:r w:rsidR="00DB27EF" w:rsidRPr="00F46617">
        <w:rPr>
          <w:rFonts w:ascii="Times New Roman" w:hAnsi="Times New Roman" w:cs="Times New Roman"/>
          <w:sz w:val="24"/>
          <w:szCs w:val="24"/>
          <w:lang w:val="en-GB"/>
        </w:rPr>
        <w:t xml:space="preserve"> shall expire.</w:t>
      </w:r>
    </w:p>
    <w:p w14:paraId="7785AD63" w14:textId="77777777" w:rsidR="00CD493E" w:rsidRPr="00F46617" w:rsidRDefault="00CD493E" w:rsidP="008D1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17502173" w14:textId="77777777" w:rsidR="00C25EE1" w:rsidRPr="00F46617" w:rsidRDefault="00C25EE1" w:rsidP="00C25EE1">
      <w:pPr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F46617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S. </w:t>
      </w:r>
      <w:proofErr w:type="spellStart"/>
      <w:r w:rsidRPr="00F46617">
        <w:rPr>
          <w:rFonts w:ascii="Times New Roman" w:eastAsia="Times New Roman" w:hAnsi="Times New Roman" w:cs="Times New Roman"/>
          <w:sz w:val="24"/>
          <w:szCs w:val="20"/>
          <w:lang w:val="en-GB"/>
        </w:rPr>
        <w:t>Purgaile</w:t>
      </w:r>
      <w:proofErr w:type="spellEnd"/>
    </w:p>
    <w:p w14:paraId="22BDB420" w14:textId="26502155" w:rsidR="00C25EE1" w:rsidRPr="00F46617" w:rsidRDefault="00C25EE1" w:rsidP="002D75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F46617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Chairperson </w:t>
      </w:r>
    </w:p>
    <w:p w14:paraId="332511AF" w14:textId="7A7B1982" w:rsidR="00C25EE1" w:rsidRPr="00F46617" w:rsidRDefault="00CD493E" w:rsidP="00C25EE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F46617">
        <w:rPr>
          <w:rFonts w:ascii="Times New Roman" w:eastAsia="Times New Roman" w:hAnsi="Times New Roman" w:cs="Times New Roman"/>
          <w:sz w:val="24"/>
          <w:szCs w:val="20"/>
          <w:lang w:val="en-GB"/>
        </w:rPr>
        <w:t>Finan</w:t>
      </w:r>
      <w:r w:rsidR="00C25EE1" w:rsidRPr="00F46617">
        <w:rPr>
          <w:rFonts w:ascii="Times New Roman" w:eastAsia="Times New Roman" w:hAnsi="Times New Roman" w:cs="Times New Roman"/>
          <w:sz w:val="24"/>
          <w:szCs w:val="20"/>
          <w:lang w:val="en-GB"/>
        </w:rPr>
        <w:t>cial and Capital Market Commission</w:t>
      </w:r>
    </w:p>
    <w:p w14:paraId="30242464" w14:textId="3D635211" w:rsidR="00CD493E" w:rsidRPr="00F46617" w:rsidRDefault="00CD493E">
      <w:pPr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lv-LV"/>
        </w:rPr>
      </w:pPr>
      <w:r w:rsidRPr="00F46617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F46617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F46617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F46617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F46617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F46617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F46617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F46617">
        <w:rPr>
          <w:rFonts w:ascii="Times New Roman" w:eastAsia="Times New Roman" w:hAnsi="Times New Roman" w:cs="Times New Roman"/>
          <w:noProof/>
          <w:sz w:val="24"/>
          <w:szCs w:val="20"/>
          <w:lang w:val="lv-LV"/>
        </w:rPr>
        <w:tab/>
      </w:r>
      <w:r w:rsidRPr="00F46617">
        <w:rPr>
          <w:rFonts w:ascii="Times New Roman" w:eastAsia="Times New Roman" w:hAnsi="Times New Roman" w:cs="Times New Roman"/>
          <w:noProof/>
          <w:sz w:val="24"/>
          <w:szCs w:val="20"/>
          <w:lang w:val="lv-LV"/>
        </w:rPr>
        <w:tab/>
        <w:t xml:space="preserve"> </w:t>
      </w:r>
    </w:p>
    <w:p w14:paraId="071FC72F" w14:textId="77777777" w:rsidR="00CD493E" w:rsidRPr="00F46617" w:rsidRDefault="00CD493E" w:rsidP="00CD493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0"/>
          <w:lang w:val="lv-LV"/>
        </w:rPr>
      </w:pPr>
    </w:p>
    <w:p w14:paraId="0FD452DE" w14:textId="4DABD247" w:rsidR="00AE3C48" w:rsidRPr="00F46617" w:rsidRDefault="00AE3C48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53AEC71B" w14:textId="7319446D" w:rsidR="00B7180B" w:rsidRPr="00F46617" w:rsidRDefault="00B7180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2B62FFD6" w14:textId="0FFD807F" w:rsidR="00B7180B" w:rsidRPr="00F46617" w:rsidRDefault="00B7180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0B37541E" w14:textId="64A2BD6A" w:rsidR="00B7180B" w:rsidRPr="00F46617" w:rsidRDefault="00B7180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52498664" w14:textId="69B57FF8" w:rsidR="00B7180B" w:rsidRPr="00F46617" w:rsidRDefault="00B7180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72FB3E88" w14:textId="2B9AE7C3" w:rsidR="00B7180B" w:rsidRPr="00F46617" w:rsidRDefault="00B7180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70B9DD28" w14:textId="25664603" w:rsidR="00B7180B" w:rsidRPr="00F46617" w:rsidRDefault="00B7180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5F98ABF1" w14:textId="7F0927FF" w:rsidR="00B7180B" w:rsidRPr="00F46617" w:rsidRDefault="00B7180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1D504D9C" w14:textId="2CBE29C6" w:rsidR="00B7180B" w:rsidRPr="00F46617" w:rsidRDefault="00B7180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16554B14" w14:textId="612DEFF1" w:rsidR="00B7180B" w:rsidRPr="00F46617" w:rsidRDefault="00B7180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3A5ADACD" w14:textId="4A88B3AD" w:rsidR="00B7180B" w:rsidRPr="00F46617" w:rsidRDefault="00B7180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79D254E1" w14:textId="77777777" w:rsidR="000407CF" w:rsidRDefault="000407CF" w:rsidP="00AE3C48">
      <w:pPr>
        <w:keepLine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noProof/>
          <w:szCs w:val="20"/>
          <w:lang w:val="lv-LV"/>
        </w:rPr>
      </w:pPr>
    </w:p>
    <w:p w14:paraId="026A7619" w14:textId="77777777" w:rsidR="000407CF" w:rsidRDefault="000407CF" w:rsidP="00AE3C48">
      <w:pPr>
        <w:keepLine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noProof/>
          <w:szCs w:val="20"/>
          <w:lang w:val="lv-LV"/>
        </w:rPr>
      </w:pPr>
    </w:p>
    <w:p w14:paraId="695D73E4" w14:textId="77777777" w:rsidR="000407CF" w:rsidRDefault="000407CF" w:rsidP="00AE3C48">
      <w:pPr>
        <w:keepLine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noProof/>
          <w:szCs w:val="20"/>
          <w:lang w:val="lv-LV"/>
        </w:rPr>
      </w:pPr>
    </w:p>
    <w:p w14:paraId="640772EC" w14:textId="49414E16" w:rsidR="00AE3C48" w:rsidRPr="00F46617" w:rsidRDefault="00AE3C48" w:rsidP="00AE3C48">
      <w:pPr>
        <w:keepLine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noProof/>
          <w:szCs w:val="20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Cs w:val="20"/>
          <w:lang w:val="lv-LV"/>
        </w:rPr>
        <w:t>1. pielikums</w:t>
      </w:r>
    </w:p>
    <w:p w14:paraId="0CD0B270" w14:textId="77777777" w:rsidR="00AE3C48" w:rsidRPr="00F46617" w:rsidRDefault="00AE3C48" w:rsidP="00AE3C48">
      <w:pPr>
        <w:keepLine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noProof/>
          <w:szCs w:val="20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Cs w:val="20"/>
          <w:lang w:val="lv-LV"/>
        </w:rPr>
        <w:t xml:space="preserve">Finanšu un kapitāla tirgus komisijas </w:t>
      </w:r>
    </w:p>
    <w:p w14:paraId="7EB22239" w14:textId="77777777" w:rsidR="00DB27EF" w:rsidRPr="00F46617" w:rsidRDefault="00AE3C48" w:rsidP="00AE3C48">
      <w:pPr>
        <w:pStyle w:val="Virsraksts4"/>
      </w:pPr>
      <w:r w:rsidRPr="00F46617">
        <w:t xml:space="preserve"> </w:t>
      </w:r>
      <w:r w:rsidR="00D17FE4" w:rsidRPr="00F46617">
        <w:t>21.12.</w:t>
      </w:r>
      <w:r w:rsidR="0034250E" w:rsidRPr="00F46617">
        <w:t>20</w:t>
      </w:r>
      <w:r w:rsidR="00FE72F7" w:rsidRPr="00F46617">
        <w:t>2</w:t>
      </w:r>
      <w:r w:rsidR="0034250E" w:rsidRPr="00F46617">
        <w:t xml:space="preserve">1. </w:t>
      </w:r>
      <w:r w:rsidRPr="00F46617">
        <w:t xml:space="preserve">normatīvajiem noteikumiem Nr. </w:t>
      </w:r>
      <w:r w:rsidR="00D17FE4" w:rsidRPr="00F46617">
        <w:t>168</w:t>
      </w:r>
    </w:p>
    <w:p w14:paraId="03FD0B02" w14:textId="77777777" w:rsidR="00DB27EF" w:rsidRPr="00F46617" w:rsidRDefault="00DB27EF" w:rsidP="00AE3C48">
      <w:pPr>
        <w:pStyle w:val="Virsraksts4"/>
        <w:rPr>
          <w:szCs w:val="22"/>
        </w:rPr>
      </w:pPr>
      <w:r w:rsidRPr="00F46617">
        <w:rPr>
          <w:szCs w:val="22"/>
        </w:rPr>
        <w:t xml:space="preserve">Annex 1 </w:t>
      </w:r>
    </w:p>
    <w:p w14:paraId="447D01B1" w14:textId="5E65D72F" w:rsidR="00AE3C48" w:rsidRPr="00F46617" w:rsidRDefault="00DB27EF" w:rsidP="00AE3C48">
      <w:pPr>
        <w:pStyle w:val="Virsraksts4"/>
        <w:rPr>
          <w:szCs w:val="22"/>
        </w:rPr>
      </w:pPr>
      <w:r w:rsidRPr="00F46617">
        <w:rPr>
          <w:szCs w:val="22"/>
        </w:rPr>
        <w:t xml:space="preserve">to </w:t>
      </w:r>
      <w:r w:rsidRPr="00F46617">
        <w:rPr>
          <w:szCs w:val="22"/>
          <w:lang w:val="en-GB"/>
        </w:rPr>
        <w:t xml:space="preserve">Regulations No 168 of the Financial and Capital Market Commission of </w:t>
      </w:r>
      <w:r w:rsidRPr="00F46617">
        <w:rPr>
          <w:szCs w:val="22"/>
        </w:rPr>
        <w:t>21.12.2021</w:t>
      </w:r>
      <w:r w:rsidRPr="00F46617">
        <w:rPr>
          <w:szCs w:val="22"/>
          <w:lang w:val="en-GB"/>
        </w:rPr>
        <w:t xml:space="preserve"> </w:t>
      </w:r>
    </w:p>
    <w:p w14:paraId="00D506EF" w14:textId="77777777" w:rsidR="00D17FE4" w:rsidRPr="00F46617" w:rsidRDefault="00D17FE4" w:rsidP="00AE3C48">
      <w:pPr>
        <w:pStyle w:val="Virsraksts4"/>
      </w:pPr>
    </w:p>
    <w:p w14:paraId="0AB6B919" w14:textId="77777777" w:rsidR="00AE3C48" w:rsidRPr="00F46617" w:rsidRDefault="00AE3C48" w:rsidP="00AE3C48">
      <w:pPr>
        <w:pStyle w:val="Virsraksts4"/>
      </w:pPr>
    </w:p>
    <w:p w14:paraId="1EE7A6BC" w14:textId="2B66951A" w:rsidR="00AE3C48" w:rsidRPr="00F46617" w:rsidRDefault="00DB27EF" w:rsidP="00AE3C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>Bilances pārskats/</w:t>
      </w:r>
      <w:r w:rsidR="00AE3C48" w:rsidRPr="00F46617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>B</w:t>
      </w:r>
      <w:r w:rsidRPr="00F46617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>a</w:t>
      </w:r>
      <w:r w:rsidR="00AE3C48" w:rsidRPr="00F46617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>lance</w:t>
      </w:r>
      <w:r w:rsidRPr="00F46617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 xml:space="preserve"> Sheet </w:t>
      </w:r>
      <w:r w:rsidR="00531177" w:rsidRPr="00F46617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>Report</w:t>
      </w:r>
      <w:r w:rsidRPr="00F46617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 xml:space="preserve"> </w:t>
      </w:r>
    </w:p>
    <w:p w14:paraId="37F44C0B" w14:textId="5C8AD8EE" w:rsidR="00AE3C48" w:rsidRPr="00F46617" w:rsidRDefault="00AE3C48" w:rsidP="00AE3C4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 xml:space="preserve">____________. </w:t>
      </w:r>
      <w:r w:rsidR="00DB27EF"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g</w:t>
      </w: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ada</w:t>
      </w:r>
      <w:r w:rsidR="00DB27EF"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/year</w:t>
      </w: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 xml:space="preserve"> _________</w:t>
      </w:r>
    </w:p>
    <w:p w14:paraId="3216225B" w14:textId="7AB0D36E" w:rsidR="00AE3C48" w:rsidRPr="00F46617" w:rsidRDefault="00AE3C48" w:rsidP="00AE3C4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(pārskata perioda pēdējais datums</w:t>
      </w:r>
      <w:r w:rsidR="00DB27EF"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/ the last date of the reporting period</w:t>
      </w: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)</w:t>
      </w:r>
    </w:p>
    <w:p w14:paraId="1630C72A" w14:textId="77445C3E" w:rsidR="00152C85" w:rsidRDefault="00152C85" w:rsidP="00CD493E">
      <w:pPr>
        <w:spacing w:after="0" w:line="240" w:lineRule="auto"/>
        <w:jc w:val="both"/>
        <w:rPr>
          <w:noProof/>
          <w:lang w:val="lv-LV"/>
        </w:rPr>
      </w:pPr>
    </w:p>
    <w:p w14:paraId="1493B049" w14:textId="77777777" w:rsidR="00BB1A19" w:rsidRPr="00F46617" w:rsidRDefault="00BB1A19" w:rsidP="00CD493E">
      <w:pPr>
        <w:spacing w:after="0" w:line="240" w:lineRule="auto"/>
        <w:jc w:val="both"/>
        <w:rPr>
          <w:noProof/>
          <w:lang w:val="lv-LV"/>
        </w:rPr>
      </w:pPr>
    </w:p>
    <w:tbl>
      <w:tblPr>
        <w:tblW w:w="8292" w:type="dxa"/>
        <w:jc w:val="center"/>
        <w:tblLayout w:type="fixed"/>
        <w:tblLook w:val="04A0" w:firstRow="1" w:lastRow="0" w:firstColumn="1" w:lastColumn="0" w:noHBand="0" w:noVBand="1"/>
      </w:tblPr>
      <w:tblGrid>
        <w:gridCol w:w="1312"/>
        <w:gridCol w:w="1134"/>
        <w:gridCol w:w="1134"/>
        <w:gridCol w:w="803"/>
        <w:gridCol w:w="1182"/>
        <w:gridCol w:w="709"/>
        <w:gridCol w:w="2018"/>
      </w:tblGrid>
      <w:tr w:rsidR="00BB1A19" w:rsidRPr="00BB1A19" w14:paraId="71737A01" w14:textId="77777777" w:rsidTr="00845FCE">
        <w:trPr>
          <w:trHeight w:val="450"/>
          <w:jc w:val="center"/>
        </w:trPr>
        <w:tc>
          <w:tcPr>
            <w:tcW w:w="6274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4AFBC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6B250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Pārskata perioda beigās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As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at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the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end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of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the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reporting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period</w:t>
            </w:r>
          </w:p>
        </w:tc>
      </w:tr>
      <w:tr w:rsidR="00BB1A19" w:rsidRPr="00BB1A19" w14:paraId="2D212546" w14:textId="77777777" w:rsidTr="00845FCE">
        <w:trPr>
          <w:trHeight w:val="450"/>
          <w:jc w:val="center"/>
        </w:trPr>
        <w:tc>
          <w:tcPr>
            <w:tcW w:w="6274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C7B7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A3F74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BB1A19" w:rsidRPr="00FD54B1" w14:paraId="79F23F9B" w14:textId="77777777" w:rsidTr="00845FCE">
        <w:trPr>
          <w:trHeight w:val="300"/>
          <w:jc w:val="center"/>
        </w:trPr>
        <w:tc>
          <w:tcPr>
            <w:tcW w:w="6274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FC9FD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4EDC3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</w:t>
            </w:r>
          </w:p>
        </w:tc>
      </w:tr>
      <w:tr w:rsidR="00BB1A19" w:rsidRPr="00FD54B1" w14:paraId="63F64F78" w14:textId="77777777" w:rsidTr="00845FCE">
        <w:trPr>
          <w:trHeight w:val="300"/>
          <w:jc w:val="center"/>
        </w:trPr>
        <w:tc>
          <w:tcPr>
            <w:tcW w:w="1312" w:type="dxa"/>
            <w:vMerge w:val="restart"/>
            <w:tcBorders>
              <w:top w:val="nil"/>
              <w:left w:val="single" w:sz="4" w:space="0" w:color="000000"/>
              <w:right w:val="single" w:sz="4" w:space="0" w:color="FFFFB9"/>
            </w:tcBorders>
            <w:shd w:val="clear" w:color="000000" w:fill="FFFFFF"/>
            <w:hideMark/>
          </w:tcPr>
          <w:p w14:paraId="5D7F218E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AKTĪVI / </w:t>
            </w:r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ASSETS</w:t>
            </w: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B9"/>
            </w:tcBorders>
            <w:shd w:val="clear" w:color="000000" w:fill="FFFFFF"/>
            <w:hideMark/>
          </w:tcPr>
          <w:p w14:paraId="7137355A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E06A5B1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14:paraId="100F7C01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4D9DA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20E76A98" w14:textId="77777777" w:rsidTr="00845FCE">
        <w:trPr>
          <w:trHeight w:val="330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7B538F2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FA8905B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Ilgtermiņa ieguldījumi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Long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-term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investments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6D930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1B6D004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71187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0484D59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110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C18FD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634ED75D" w14:textId="77777777" w:rsidTr="00845FCE">
        <w:trPr>
          <w:trHeight w:val="465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68F10409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34BDAB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F5CE7EA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Nemateriālie ieguldījumi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Intangible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assets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A39EEF4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0B7A4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9E206D7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120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D2E1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5A3887BC" w14:textId="77777777" w:rsidTr="00845FCE">
        <w:trPr>
          <w:trHeight w:val="465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62A8F9E7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787FB12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B7A773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FAC4F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Attīstības izmaksas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Development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costs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EA2421E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121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F5690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10740D0E" w14:textId="77777777" w:rsidTr="00845FCE">
        <w:trPr>
          <w:trHeight w:val="465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45BC24B1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D87BA2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0BCDD1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3AE3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Koncesijas, patenti, licences, preču zīmes un tamlīdzīgas tiesības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Concessions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, patents, licences,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trademarks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and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similar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rights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99EF494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122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9BCF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161D66ED" w14:textId="77777777" w:rsidTr="00845FCE">
        <w:trPr>
          <w:trHeight w:val="435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4F258F14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EEEC68F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44430D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D212A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Nemateriālā vērtība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Goodwill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A7E2120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123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98C6F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43395FBA" w14:textId="77777777" w:rsidTr="00845FCE">
        <w:trPr>
          <w:trHeight w:val="540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01025B7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7B444F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F87C5D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7F62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Pārējie nemateriālie ieguldījumi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Other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intangible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assets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23AB4AC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124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1EC0D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2A6DAE21" w14:textId="77777777" w:rsidTr="00845FCE">
        <w:trPr>
          <w:trHeight w:val="465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0B1A3478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75BA787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236A7E7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Pamatlīdzekļi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Fixed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assets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43C28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A14B24F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130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94A21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37D28F7D" w14:textId="77777777" w:rsidTr="00845FCE">
        <w:trPr>
          <w:trHeight w:val="495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4CBDEF2B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D8D33E4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0C818E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2E242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Nekustamie īpašumi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Land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and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buildings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C3E9DE5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131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C4292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1DFC623D" w14:textId="77777777" w:rsidTr="00845FCE">
        <w:trPr>
          <w:trHeight w:val="495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23D78DF2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6D4718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4D36D1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CB443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Avansa maksājumi par pamatlīdzekļiem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Advance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payments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for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fixed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assets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ADC3AFE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132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FF52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108A06C8" w14:textId="77777777" w:rsidTr="00845FCE">
        <w:trPr>
          <w:trHeight w:val="495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765170CF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D61AD50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429022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0396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Tehnoloģiskās iekārtas un ierīces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Technological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equipment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and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devices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0C7D29A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133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74D37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12F7A527" w14:textId="77777777" w:rsidTr="00845FCE">
        <w:trPr>
          <w:trHeight w:val="495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1A32EB4B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E795E69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27A489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FCCB2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Pārējie pamatlīdzekļi un inventārs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Other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fixed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assets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and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inventory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CBCB9F4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134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6C386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13FF6C69" w14:textId="77777777" w:rsidTr="00845FCE">
        <w:trPr>
          <w:trHeight w:val="495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418788DB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79A2289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14:paraId="3F2BA79A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Ilgtermiņa finanšu ieguldījumi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Long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-term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financial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investments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C9A3E1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0958D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D961F82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140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39D89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2342465C" w14:textId="77777777" w:rsidTr="00845FCE">
        <w:trPr>
          <w:trHeight w:val="495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48EEB13D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8125ABD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32FB583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34CEA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Līdzdalība radniecīgo un asociēto</w:t>
            </w: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sabiedrību kapitālā / </w:t>
            </w:r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Investments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in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related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and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associated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undertakings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EBA7D2E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141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1352F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0E9F23C5" w14:textId="77777777" w:rsidTr="00845FCE">
        <w:trPr>
          <w:trHeight w:val="495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4091FBAF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B712E42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00870F9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2AF83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Aizdevumi radniecīgām sabiedrībām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Loans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to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related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undertakings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9741121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142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1EC9D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7088E7B5" w14:textId="77777777" w:rsidTr="00845FCE">
        <w:trPr>
          <w:trHeight w:val="495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0A2C0327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81A6B0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9E49EA1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66786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Aizdevumi asociētām sabiedrībām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Loans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to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associated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undertakings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4DE3BC6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143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7E856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660ACF15" w14:textId="77777777" w:rsidTr="00845FCE">
        <w:trPr>
          <w:trHeight w:val="495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4F2DFAFF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202E660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44CAD4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FF2F9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Pārējie vērtspapīri un ieguldījumi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Other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securities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and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investments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F394287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144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A097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3837AF6C" w14:textId="77777777" w:rsidTr="00845FCE">
        <w:trPr>
          <w:trHeight w:val="495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47B74E57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454728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2C7A46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B835F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Pārējie aizdevumi un citi ilgtermiņa debitori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Other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loans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and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long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-term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debts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EEBBFEF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145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F074B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636B7F85" w14:textId="77777777" w:rsidTr="00845FCE">
        <w:trPr>
          <w:trHeight w:val="495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4B51A0A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8CAEB0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1165A1F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C3C57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Atliktā nodokļa aktīvi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Deferred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tax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assets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BF3B0B8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146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F57E4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D378D5" w14:paraId="03D21735" w14:textId="77777777" w:rsidTr="00845FCE">
        <w:trPr>
          <w:trHeight w:val="495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</w:tcPr>
          <w:p w14:paraId="2E080C46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5CBB60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3138AF3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C68D01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Termiņnoguldījumi kredītiestādēs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Long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-term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claims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at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credit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institutions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F1C3B9A" w14:textId="77777777" w:rsidR="00BB1A19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147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274D6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BB1A19" w:rsidRPr="00FD54B1" w14:paraId="62CE3D82" w14:textId="77777777" w:rsidTr="00845FCE">
        <w:trPr>
          <w:trHeight w:val="390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2DD1001B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hideMark/>
          </w:tcPr>
          <w:p w14:paraId="45FDD9F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Apgrozāmie līdzekļi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Current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assets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9F7727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AAE34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DD8837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9BF57A8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150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2B248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64FDB42A" w14:textId="77777777" w:rsidTr="00845FCE">
        <w:trPr>
          <w:trHeight w:val="465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1D1A9DC3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1230D2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C0CF9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Pārdošanai turēti ilgtermiņa ieguldījumi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Long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-term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investments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held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for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sale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14:paraId="414A7FB4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160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1EEA9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418E2E60" w14:textId="77777777" w:rsidTr="00845FCE">
        <w:trPr>
          <w:trHeight w:val="390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73F5A93D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26A7E46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A7B19A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Debitori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Debtors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F94B7F3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19E4D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702AC37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170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59551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1C435FC3" w14:textId="77777777" w:rsidTr="00845FCE">
        <w:trPr>
          <w:trHeight w:val="390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0695ECB9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0A73280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49224D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5E0F4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Pircēju un pasūtītāju parādi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Trade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receivables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D83C995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171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923E8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0A330EEC" w14:textId="77777777" w:rsidTr="00845FCE">
        <w:trPr>
          <w:trHeight w:val="390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5FBD8591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4BA01B1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DF99FF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3BC68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Radniecīgo sabiedrību parādi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Receivables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from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related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undertakings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CFFA37E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172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FFE13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0201283C" w14:textId="77777777" w:rsidTr="00845FCE">
        <w:trPr>
          <w:trHeight w:val="390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63D03C6A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6AA8FB1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57435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ED909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Asociēto sabiedrību parādi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Receivables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from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associated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undertakings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2992136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173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BE086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3B06C893" w14:textId="77777777" w:rsidTr="00845FCE">
        <w:trPr>
          <w:trHeight w:val="390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01713814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F81062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D6AB9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145A1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Nākamo periodu izmaksas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Deferred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expense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358E472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174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08A50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2C5331F4" w14:textId="77777777" w:rsidTr="00845FCE">
        <w:trPr>
          <w:trHeight w:val="390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0E497B02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400B9C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E37D5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BD34A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Uzkrātie ieņēmumi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Accrued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income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BF57436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175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7E32D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72D9A8A9" w14:textId="77777777" w:rsidTr="00845FCE">
        <w:trPr>
          <w:trHeight w:val="390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0EB03A1B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9B1D6D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8B659F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6601A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Citi debitori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Other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debtors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1618908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176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2CB9A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7ABD47FA" w14:textId="77777777" w:rsidTr="00845FCE">
        <w:trPr>
          <w:trHeight w:val="390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232853CE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D23DBC7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000000" w:fill="FFFFFF"/>
            <w:hideMark/>
          </w:tcPr>
          <w:p w14:paraId="43B3483F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Īstermiņa finanšu ieguldījumi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Short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-term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financial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investments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FE76264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B6776F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510C6C0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180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57D1B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6FAFFFD8" w14:textId="77777777" w:rsidTr="00845FCE">
        <w:trPr>
          <w:trHeight w:val="495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4A7F337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CE70B0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69E72AB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1D84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Līdzdalība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asociēto</w:t>
            </w: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sabiedrību kapitālā / </w:t>
            </w:r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Investments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in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associated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undertakings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6F2BA36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181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EA014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1541BCB4" w14:textId="77777777" w:rsidTr="00845FCE">
        <w:trPr>
          <w:trHeight w:val="390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4DF706D7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8CE4C3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D4F6360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441F4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Pašu akcijas vai daļas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Own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stocks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or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shares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D82EC95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182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AD9C9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6BD7450F" w14:textId="77777777" w:rsidTr="00845FCE">
        <w:trPr>
          <w:trHeight w:val="465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15F10036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9A1E1A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25A6277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3BCE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Pārējie vērtspapīri un līdzdalība kapitāl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ā</w:t>
            </w: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Other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securities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and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participation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283401A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183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EFF5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4BE29EB5" w14:textId="77777777" w:rsidTr="00845FCE">
        <w:trPr>
          <w:trHeight w:val="465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3C814C1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7509061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8BFAF67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8FE46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Atvasināti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e</w:t>
            </w: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finanšu instrumenti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Derivative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financial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instruments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FFFA703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184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6E100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D378D5" w14:paraId="2400D2F8" w14:textId="77777777" w:rsidTr="00845FCE">
        <w:trPr>
          <w:trHeight w:val="465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</w:tcPr>
          <w:p w14:paraId="4FEF5A33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C642534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8F40B18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5A4AF8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Īstermiņa prasības pret kredītiestādēm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Short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-term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claims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at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credit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institutions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3FAEF39" w14:textId="77777777" w:rsidR="00BB1A19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185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8437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BB1A19" w:rsidRPr="00FD54B1" w14:paraId="18BB2DBC" w14:textId="77777777" w:rsidTr="00845FCE">
        <w:trPr>
          <w:trHeight w:val="390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  <w:hideMark/>
          </w:tcPr>
          <w:p w14:paraId="4EAA4A69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5F58192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78BFAA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Nauda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Cash</w:t>
            </w:r>
            <w:proofErr w:type="spellEnd"/>
          </w:p>
          <w:p w14:paraId="415DBFE3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4974D38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190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A2A71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671D8780" w14:textId="77777777" w:rsidTr="00845FCE">
        <w:trPr>
          <w:trHeight w:val="390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</w:tcPr>
          <w:p w14:paraId="5FD6425D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9BCC50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9E04058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11216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Nauda kasē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Cash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on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hand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B3C0193" w14:textId="77777777" w:rsidR="00BB1A19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191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15605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BB1A19" w:rsidRPr="00FD54B1" w14:paraId="710E5009" w14:textId="77777777" w:rsidTr="00845FCE">
        <w:trPr>
          <w:trHeight w:val="390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</w:tcPr>
          <w:p w14:paraId="72E4259E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58422B9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934E4A8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34C583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Prasības uz pieprasījumu pret centrālajām bankām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Demand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deposits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at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central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banks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C8A338B" w14:textId="77777777" w:rsidR="00BB1A19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192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E82632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BB1A19" w:rsidRPr="00FD54B1" w14:paraId="6D13CF41" w14:textId="77777777" w:rsidTr="00845FCE">
        <w:trPr>
          <w:trHeight w:val="390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</w:tcPr>
          <w:p w14:paraId="4D215D7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40C2D66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236633E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B8A1C69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Prasības uz pieprasījumu pret kredītiestādēm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Demand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deposits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at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credit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institutions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C70CEA6" w14:textId="77777777" w:rsidR="00BB1A19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193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B47C5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BB1A19" w:rsidRPr="00FD54B1" w14:paraId="2DD86C49" w14:textId="77777777" w:rsidTr="00845FCE">
        <w:trPr>
          <w:trHeight w:val="390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FFFFB9"/>
            </w:tcBorders>
            <w:vAlign w:val="center"/>
          </w:tcPr>
          <w:p w14:paraId="2C02D7F1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22FE9D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E7A24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DF09E40" w14:textId="77777777" w:rsidR="00BB1A19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Citas prasības uz pieprasījumu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Other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demand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deposits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2F40206" w14:textId="77777777" w:rsidR="00BB1A19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194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FE74ED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BB1A19" w:rsidRPr="00FD54B1" w14:paraId="53E6F83B" w14:textId="77777777" w:rsidTr="00845FCE">
        <w:trPr>
          <w:trHeight w:val="390"/>
          <w:jc w:val="center"/>
        </w:trPr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BEEB3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37E9" w14:textId="77777777" w:rsidR="00BB1A19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Citi aktīvi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Other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assets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14:paraId="0094BAB1" w14:textId="77777777" w:rsidR="00BB1A19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197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CAD1FE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BB1A19" w:rsidRPr="00FD54B1" w14:paraId="11285B09" w14:textId="77777777" w:rsidTr="00845FCE">
        <w:trPr>
          <w:trHeight w:val="300"/>
          <w:jc w:val="center"/>
        </w:trPr>
        <w:tc>
          <w:tcPr>
            <w:tcW w:w="13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shd w:val="clear" w:color="000000" w:fill="FFFFFF"/>
            <w:hideMark/>
          </w:tcPr>
          <w:p w14:paraId="5ECDD782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C5423D"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  <w:t xml:space="preserve">KAPITĀLS, REZERVES UN SAISTĪBAS / </w:t>
            </w:r>
            <w:r w:rsidRPr="00C952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lv-LV" w:eastAsia="lv-LV"/>
              </w:rPr>
              <w:t>CAPITAL, RESERVES</w:t>
            </w:r>
            <w:r w:rsidRPr="00C5423D"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  <w:t xml:space="preserve"> </w:t>
            </w:r>
            <w:r w:rsidRPr="00C952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lv-LV" w:eastAsia="lv-LV"/>
              </w:rPr>
              <w:lastRenderedPageBreak/>
              <w:t>AND LIABILITIES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FFFFB9"/>
              <w:bottom w:val="single" w:sz="4" w:space="0" w:color="000000"/>
              <w:right w:val="single" w:sz="4" w:space="0" w:color="FFFFB9"/>
            </w:tcBorders>
            <w:shd w:val="clear" w:color="000000" w:fill="FFFFFF"/>
            <w:hideMark/>
          </w:tcPr>
          <w:p w14:paraId="19D17B88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lastRenderedPageBreak/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7CDA10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4C6607F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0A2F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796938D0" w14:textId="77777777" w:rsidTr="00845FCE">
        <w:trPr>
          <w:trHeight w:val="570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54392D6D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090A18A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Pašu kapitāls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Equity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791F709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5BEEE2E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C459B7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FB296D2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210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0F238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0827C721" w14:textId="77777777" w:rsidTr="00845FCE">
        <w:trPr>
          <w:trHeight w:val="375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54B58809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30A081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A4989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Akciju kapitāls (pamatkapitāls)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Stock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or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share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capital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333C9FC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211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8B1C0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452BD60A" w14:textId="77777777" w:rsidTr="00845FCE">
        <w:trPr>
          <w:trHeight w:val="375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790EEF30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CFAF91A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32D3D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Akciju (daļu) emisijas uzcenojums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Stock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(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share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)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premium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D5B7258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212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E9D77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3C6CDFC9" w14:textId="77777777" w:rsidTr="00845FCE">
        <w:trPr>
          <w:trHeight w:val="420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3DBF287B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980D14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93510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Ilgtermiņa finanšu ieguldījumu pārvērtēšanas rezerve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Long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-term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investment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revaluation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reserve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6A556FE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213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7203F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09F97DDD" w14:textId="77777777" w:rsidTr="00845FCE">
        <w:trPr>
          <w:trHeight w:val="420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37D20620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41C6E1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763A0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Finanšu instrumentu patiesās vērtības rezerve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Financial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instruments'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fair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value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reserve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435F2AE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214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BB2D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0055727D" w14:textId="77777777" w:rsidTr="00845FCE">
        <w:trPr>
          <w:trHeight w:val="375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435E35E4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04644E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EC41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Citas rezerves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Other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reserves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1455C3C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215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00DF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59878573" w14:textId="77777777" w:rsidTr="00845FCE">
        <w:trPr>
          <w:trHeight w:val="555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6915E09A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75660D2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D173B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Iepriekšējo gadu nesadalītā peļņa vai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ne</w:t>
            </w: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segtie zaudējumi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Retained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earnings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200FC17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216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3C709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3EDB6352" w14:textId="77777777" w:rsidTr="00845FCE">
        <w:trPr>
          <w:trHeight w:val="375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3F177D3F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2CA60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9AFE8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Pārskata gada peļņa vai zaudējumi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Profit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or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loss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for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the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current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year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A0E49ED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217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6D021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CB4781" w14:paraId="1E98DFFE" w14:textId="77777777" w:rsidTr="00845FCE">
        <w:trPr>
          <w:trHeight w:val="450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017E18C2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D888764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Uzkrājumi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Provisions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9BEFB04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EB0BF2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A19721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B2F98AB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220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09D21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CB4781" w14:paraId="77813DB3" w14:textId="77777777" w:rsidTr="00845FCE">
        <w:trPr>
          <w:trHeight w:val="300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69D5E76A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E1BCD09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Ilgtermiņa kreditori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Long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-term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liabilities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B95B1F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8D8B5C1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C19E5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AE3E7F6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230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6B458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57300E4C" w14:textId="77777777" w:rsidTr="00845FCE">
        <w:trPr>
          <w:trHeight w:val="300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342902E6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610999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9F678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Neizmaksātās dividendes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Unpaid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dividends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E3122CD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231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0D7B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30697E1E" w14:textId="77777777" w:rsidTr="00845FCE">
        <w:trPr>
          <w:trHeight w:val="300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69A167C0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163166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2118A" w14:textId="77777777" w:rsidR="00BB1A19" w:rsidRPr="00EE2C8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EE2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Nākamo periodu ieņēmumi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Deferred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income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9179BCC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232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0B19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4E4910F3" w14:textId="77777777" w:rsidTr="00845FCE">
        <w:trPr>
          <w:trHeight w:val="300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5A18085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049100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B8AF6" w14:textId="77777777" w:rsidR="00BB1A19" w:rsidRPr="00EE2C8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EE2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Parādi radniecīgajām sabiedrībām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Debts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to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related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undertakings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84ED0AA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233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7E6A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03F4C1CF" w14:textId="77777777" w:rsidTr="00845FCE">
        <w:trPr>
          <w:trHeight w:val="300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641C2A8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980DE7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A2BBD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Parādi asociēt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aj</w:t>
            </w: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ām sabiedrībām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Debts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to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associated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undertakings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14CBCD1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234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4588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336ACF8D" w14:textId="77777777" w:rsidTr="00845FCE">
        <w:trPr>
          <w:trHeight w:val="300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5FBBCD5B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20DE0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B20D8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Citi aizņēmumi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Other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borrowings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F47C979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235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8F9FA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4559BA23" w14:textId="77777777" w:rsidTr="00845FCE">
        <w:trPr>
          <w:trHeight w:val="300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23A924FF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FD1D22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37AAA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Pārējie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ilgtermiņa </w:t>
            </w: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kreditori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Other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long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-term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creditors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C95B960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236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58E1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52A8889D" w14:textId="77777777" w:rsidTr="00845FCE">
        <w:trPr>
          <w:trHeight w:val="450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1E46B532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9A208E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Īstermiņa kreditori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Short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-term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creditors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C08D6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BFD2B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9C252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D4AFEEB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240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279D3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3570145F" w14:textId="77777777" w:rsidTr="00845FCE">
        <w:trPr>
          <w:trHeight w:val="300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268DDDB5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7F2719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BA25A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Neizmaksātās dividendes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Unpaid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dividends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1604059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241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14E27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44CD469D" w14:textId="77777777" w:rsidTr="00845FCE">
        <w:trPr>
          <w:trHeight w:val="300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27CA5C87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4C5C9F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9EE5F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Nākamo periodu ieņēmumi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Deferred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income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38A653D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242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AADE0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5276668F" w14:textId="77777777" w:rsidTr="00845FCE">
        <w:trPr>
          <w:trHeight w:val="300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121ABF84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31F38F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98F2A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Parādi radniecīg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aj</w:t>
            </w: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ām sabiedrībām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Debts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to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related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undertakings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0D60C6A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243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6DCEE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0E1AAE25" w14:textId="77777777" w:rsidTr="00845FCE">
        <w:trPr>
          <w:trHeight w:val="300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234967F6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2608A8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6E907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Parādi asociēt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aj</w:t>
            </w: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ām sabiedrībām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Debts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to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associated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undertakings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7C67CC6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244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D797F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3BD7D239" w14:textId="77777777" w:rsidTr="00845FCE">
        <w:trPr>
          <w:trHeight w:val="300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30976CFA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3C7AC1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DFFF9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Atvasinātie finanšu instrumenti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Derivative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financial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instruments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091E6B3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245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C2298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5B84A888" w14:textId="77777777" w:rsidTr="00845FCE">
        <w:trPr>
          <w:trHeight w:val="300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61A8A69A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C503E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F1C62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Citi aizņēmumi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Other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loans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6A0CED8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246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BF5E2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BB1A19" w:rsidRPr="00FD54B1" w14:paraId="488185F4" w14:textId="77777777" w:rsidTr="00845FCE">
        <w:trPr>
          <w:trHeight w:val="300"/>
          <w:jc w:val="center"/>
        </w:trPr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0B42438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26190C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83E7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Pārējie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īstermiņa</w:t>
            </w:r>
            <w:r w:rsidRPr="00FD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kreditori /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Other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short</w:t>
            </w:r>
            <w:proofErr w:type="spellEnd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 xml:space="preserve">-term </w:t>
            </w:r>
            <w:proofErr w:type="spellStart"/>
            <w:r w:rsidRPr="00C952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lv-LV" w:eastAsia="lv-LV"/>
              </w:rPr>
              <w:t>creditors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12004A4" w14:textId="77777777" w:rsidR="00BB1A19" w:rsidRPr="00FD54B1" w:rsidRDefault="00BB1A19" w:rsidP="0084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247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EEB9D" w14:textId="77777777" w:rsidR="00BB1A19" w:rsidRPr="00FD54B1" w:rsidRDefault="00BB1A19" w:rsidP="0084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FD54B1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</w:tbl>
    <w:p w14:paraId="68556262" w14:textId="5C7FB8C5" w:rsidR="00BB1A19" w:rsidRDefault="00BB1A19" w:rsidP="00CD49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2AE03B01" w14:textId="77777777" w:rsidR="00BB1A19" w:rsidRDefault="00BB1A19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br w:type="page"/>
      </w:r>
    </w:p>
    <w:p w14:paraId="4BFDA3BF" w14:textId="77777777" w:rsidR="007B5854" w:rsidRPr="00F46617" w:rsidRDefault="007B5854" w:rsidP="00CD49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73DBF53A" w14:textId="77777777" w:rsidR="007B5854" w:rsidRPr="00F46617" w:rsidRDefault="007B5854" w:rsidP="007B5854">
      <w:pPr>
        <w:keepLine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noProof/>
          <w:szCs w:val="20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Cs w:val="20"/>
          <w:lang w:val="lv-LV"/>
        </w:rPr>
        <w:t>2. pielikums</w:t>
      </w:r>
    </w:p>
    <w:p w14:paraId="585BB139" w14:textId="77777777" w:rsidR="007B5854" w:rsidRPr="00F46617" w:rsidRDefault="007B5854" w:rsidP="007B5854">
      <w:pPr>
        <w:keepLine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noProof/>
          <w:szCs w:val="20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Cs w:val="20"/>
          <w:lang w:val="lv-LV"/>
        </w:rPr>
        <w:t xml:space="preserve">Finanšu un kapitāla tirgus komisijas </w:t>
      </w:r>
    </w:p>
    <w:p w14:paraId="40D4493D" w14:textId="40A82EEB" w:rsidR="007B5854" w:rsidRPr="00F46617" w:rsidRDefault="007B5854" w:rsidP="007B5854">
      <w:pPr>
        <w:pStyle w:val="Virsraksts4"/>
      </w:pPr>
      <w:r w:rsidRPr="00F46617">
        <w:t xml:space="preserve"> </w:t>
      </w:r>
      <w:r w:rsidR="00D17FE4" w:rsidRPr="00F46617">
        <w:t>21</w:t>
      </w:r>
      <w:r w:rsidR="00FE72F7" w:rsidRPr="00F46617">
        <w:t>.</w:t>
      </w:r>
      <w:r w:rsidR="00D17FE4" w:rsidRPr="00F46617">
        <w:t>12.</w:t>
      </w:r>
      <w:r w:rsidR="0034250E" w:rsidRPr="00F46617">
        <w:t>20</w:t>
      </w:r>
      <w:r w:rsidR="00FE72F7" w:rsidRPr="00F46617">
        <w:t>2</w:t>
      </w:r>
      <w:r w:rsidR="0034250E" w:rsidRPr="00F46617">
        <w:t xml:space="preserve">1. </w:t>
      </w:r>
      <w:r w:rsidRPr="00F46617">
        <w:t xml:space="preserve">normatīvajiem noteikumiem Nr. </w:t>
      </w:r>
      <w:r w:rsidR="00D17FE4" w:rsidRPr="00F46617">
        <w:t xml:space="preserve">168 </w:t>
      </w:r>
    </w:p>
    <w:p w14:paraId="5B9510FF" w14:textId="51521061" w:rsidR="00DB27EF" w:rsidRPr="00F46617" w:rsidRDefault="00DB27EF" w:rsidP="00DB27EF">
      <w:pPr>
        <w:pStyle w:val="Virsraksts4"/>
        <w:rPr>
          <w:szCs w:val="22"/>
        </w:rPr>
      </w:pPr>
      <w:r w:rsidRPr="00F46617">
        <w:rPr>
          <w:szCs w:val="22"/>
        </w:rPr>
        <w:t>Annex 2</w:t>
      </w:r>
    </w:p>
    <w:p w14:paraId="00BA008D" w14:textId="77777777" w:rsidR="00DB27EF" w:rsidRPr="00F46617" w:rsidRDefault="00DB27EF" w:rsidP="00DB27EF">
      <w:pPr>
        <w:pStyle w:val="Virsraksts4"/>
        <w:rPr>
          <w:szCs w:val="22"/>
        </w:rPr>
      </w:pPr>
      <w:r w:rsidRPr="00F46617">
        <w:rPr>
          <w:szCs w:val="22"/>
        </w:rPr>
        <w:t xml:space="preserve">to </w:t>
      </w:r>
      <w:r w:rsidRPr="00F46617">
        <w:rPr>
          <w:szCs w:val="22"/>
          <w:lang w:val="en-GB"/>
        </w:rPr>
        <w:t xml:space="preserve">Regulations No 168 of the Financial and Capital Market Commission of </w:t>
      </w:r>
      <w:r w:rsidRPr="00F46617">
        <w:rPr>
          <w:szCs w:val="22"/>
        </w:rPr>
        <w:t>21.12.2021</w:t>
      </w:r>
      <w:r w:rsidRPr="00F46617">
        <w:rPr>
          <w:szCs w:val="22"/>
          <w:lang w:val="en-GB"/>
        </w:rPr>
        <w:t xml:space="preserve"> </w:t>
      </w:r>
    </w:p>
    <w:p w14:paraId="0F1CB694" w14:textId="77777777" w:rsidR="00DB27EF" w:rsidRPr="00F46617" w:rsidRDefault="00DB27EF" w:rsidP="007B5854">
      <w:pPr>
        <w:pStyle w:val="Virsraksts4"/>
      </w:pPr>
    </w:p>
    <w:p w14:paraId="3EB9F1B0" w14:textId="7E79BD55" w:rsidR="00D17FE4" w:rsidRPr="00F46617" w:rsidRDefault="00D17FE4" w:rsidP="007B5854">
      <w:pPr>
        <w:pStyle w:val="Virsraksts4"/>
      </w:pPr>
    </w:p>
    <w:p w14:paraId="2B0A6E05" w14:textId="606A442F" w:rsidR="008F4AFC" w:rsidRPr="00F46617" w:rsidRDefault="00464E48" w:rsidP="008F4A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>Kapitāla prasīb</w:t>
      </w:r>
      <w:r w:rsidR="00D378D5" w:rsidRPr="00F46617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>u</w:t>
      </w:r>
      <w:r w:rsidR="008F4AFC" w:rsidRPr="00F46617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 xml:space="preserve"> pārskats</w:t>
      </w:r>
      <w:r w:rsidR="00745641" w:rsidRPr="00F46617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>/Capital Requirements Report</w:t>
      </w:r>
    </w:p>
    <w:p w14:paraId="4A2B8CE2" w14:textId="67D0EC1D" w:rsidR="008F4AFC" w:rsidRPr="00F46617" w:rsidRDefault="008F4AFC" w:rsidP="008F4A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 xml:space="preserve">____________. </w:t>
      </w:r>
      <w:r w:rsidR="00745641"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g</w:t>
      </w: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ada</w:t>
      </w:r>
      <w:r w:rsidR="00745641"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/year</w:t>
      </w: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 xml:space="preserve"> _________</w:t>
      </w:r>
    </w:p>
    <w:p w14:paraId="03C8967E" w14:textId="57D9F332" w:rsidR="008F4AFC" w:rsidRPr="00F46617" w:rsidRDefault="008F4AFC" w:rsidP="008F4A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(pārskata perioda pēdējais datums</w:t>
      </w:r>
      <w:r w:rsidR="00745641"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/ the last date of the reporting period</w:t>
      </w: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)</w:t>
      </w:r>
    </w:p>
    <w:p w14:paraId="414211D3" w14:textId="77777777" w:rsidR="00152C85" w:rsidRPr="00F46617" w:rsidRDefault="00152C85" w:rsidP="00CD493E">
      <w:pPr>
        <w:spacing w:after="0" w:line="240" w:lineRule="auto"/>
        <w:jc w:val="both"/>
        <w:rPr>
          <w:noProof/>
          <w:lang w:val="lv-LV"/>
        </w:rPr>
      </w:pPr>
    </w:p>
    <w:p w14:paraId="1EB2B262" w14:textId="77777777" w:rsidR="00152C85" w:rsidRPr="00F46617" w:rsidRDefault="00152C85" w:rsidP="00CD493E">
      <w:pPr>
        <w:spacing w:after="0" w:line="240" w:lineRule="auto"/>
        <w:jc w:val="both"/>
        <w:rPr>
          <w:noProof/>
          <w:lang w:val="lv-LV"/>
        </w:rPr>
      </w:pPr>
    </w:p>
    <w:tbl>
      <w:tblPr>
        <w:tblW w:w="8685" w:type="dxa"/>
        <w:jc w:val="center"/>
        <w:tblLook w:val="04A0" w:firstRow="1" w:lastRow="0" w:firstColumn="1" w:lastColumn="0" w:noHBand="0" w:noVBand="1"/>
      </w:tblPr>
      <w:tblGrid>
        <w:gridCol w:w="1560"/>
        <w:gridCol w:w="2376"/>
        <w:gridCol w:w="1026"/>
        <w:gridCol w:w="709"/>
        <w:gridCol w:w="843"/>
        <w:gridCol w:w="7"/>
        <w:gridCol w:w="2164"/>
      </w:tblGrid>
      <w:tr w:rsidR="00F46617" w:rsidRPr="00BB1A19" w14:paraId="0714C9F1" w14:textId="77777777" w:rsidTr="00DC7DEF">
        <w:trPr>
          <w:divId w:val="2057655963"/>
          <w:trHeight w:val="585"/>
          <w:jc w:val="center"/>
        </w:trPr>
        <w:tc>
          <w:tcPr>
            <w:tcW w:w="6521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20E33" w14:textId="77777777" w:rsidR="00DC7DEF" w:rsidRPr="00F46617" w:rsidRDefault="00DC7DEF" w:rsidP="00152C85">
            <w:pPr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A7FF" w14:textId="77777777" w:rsidR="00DC7DEF" w:rsidRPr="00F46617" w:rsidRDefault="00DC7DEF" w:rsidP="0015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Pārskata perioda beigās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As at the end of the reporting period</w:t>
            </w:r>
          </w:p>
        </w:tc>
      </w:tr>
      <w:tr w:rsidR="00F46617" w:rsidRPr="00BB1A19" w14:paraId="6622AC1D" w14:textId="77777777" w:rsidTr="00DC7DEF">
        <w:trPr>
          <w:divId w:val="2057655963"/>
          <w:trHeight w:val="585"/>
          <w:jc w:val="center"/>
        </w:trPr>
        <w:tc>
          <w:tcPr>
            <w:tcW w:w="652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3D008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0A690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</w:tr>
      <w:tr w:rsidR="00F46617" w:rsidRPr="00F46617" w14:paraId="1E3354F9" w14:textId="77777777" w:rsidTr="00DC7DEF">
        <w:trPr>
          <w:divId w:val="2057655963"/>
          <w:trHeight w:val="585"/>
          <w:jc w:val="center"/>
        </w:trPr>
        <w:tc>
          <w:tcPr>
            <w:tcW w:w="652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1D184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F8DE5" w14:textId="77777777" w:rsidR="00DC7DEF" w:rsidRPr="00F46617" w:rsidRDefault="004629DA" w:rsidP="0015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100</w:t>
            </w:r>
          </w:p>
        </w:tc>
      </w:tr>
      <w:tr w:rsidR="00F46617" w:rsidRPr="00F46617" w14:paraId="063F1811" w14:textId="77777777" w:rsidTr="00DC7DEF">
        <w:trPr>
          <w:divId w:val="2057655963"/>
          <w:trHeight w:val="585"/>
          <w:jc w:val="center"/>
        </w:trPr>
        <w:tc>
          <w:tcPr>
            <w:tcW w:w="5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61DAD2" w14:textId="77777777" w:rsidR="00C7105D" w:rsidRPr="00F46617" w:rsidRDefault="00C7105D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PAŠU KAPITĀLS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EQUITY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</w:t>
            </w:r>
          </w:p>
          <w:p w14:paraId="324F9293" w14:textId="7471B16E" w:rsidR="00DC7DEF" w:rsidRPr="00F46617" w:rsidRDefault="00C7105D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(Bilances pārskats, 1. pielikums, </w:t>
            </w:r>
            <w:r w:rsidR="00313802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rinda 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210</w:t>
            </w:r>
            <w:r w:rsidR="000870B8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</w:t>
            </w:r>
            <w:r w:rsidR="00D66B1D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/</w:t>
            </w:r>
            <w:r w:rsidR="000870B8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</w:t>
            </w:r>
            <w:r w:rsidR="00D66B1D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 xml:space="preserve">Balance Sheet, </w:t>
            </w:r>
            <w:r w:rsidR="0040580B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A</w:t>
            </w:r>
            <w:r w:rsidR="00D66B1D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 xml:space="preserve">nnex No 1, </w:t>
            </w:r>
            <w:r w:rsidR="00313802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row</w:t>
            </w:r>
            <w:r w:rsidR="00D66B1D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 xml:space="preserve"> 210</w:t>
            </w:r>
            <w:r w:rsidR="00D66B1D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1B6DB22" w14:textId="1CDA6FE8" w:rsidR="00DC7DEF" w:rsidRPr="00F46617" w:rsidRDefault="004629DA" w:rsidP="0015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</w:t>
            </w:r>
            <w:r w:rsidR="002716C7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0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17700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</w:tr>
      <w:tr w:rsidR="00F46617" w:rsidRPr="00F46617" w14:paraId="2417F4B9" w14:textId="77777777" w:rsidTr="00DC7DEF">
        <w:trPr>
          <w:divId w:val="2057655963"/>
          <w:trHeight w:val="585"/>
          <w:jc w:val="center"/>
        </w:trPr>
        <w:tc>
          <w:tcPr>
            <w:tcW w:w="5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C0CACA" w14:textId="32C3F192" w:rsidR="00C7105D" w:rsidRPr="00F46617" w:rsidRDefault="002716C7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Līdzekļi, kas nav investēti naudā vai augsti likvīdos aktīvos saskaņā ar ES Regulas Nr.</w:t>
            </w:r>
            <w:r w:rsidR="000870B8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 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909/2014 46.</w:t>
            </w:r>
            <w:r w:rsidR="000870B8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 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pan</w:t>
            </w:r>
            <w:r w:rsidR="00CC0526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ta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3</w:t>
            </w:r>
            <w:r w:rsidR="00303063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.</w:t>
            </w:r>
            <w:r w:rsidR="000870B8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 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punktu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Finan</w:t>
            </w:r>
            <w:r w:rsidR="00CC0526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c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ial resources that are not invested in cash or highly liquid financi</w:t>
            </w:r>
            <w:r w:rsidR="00CC0526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al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 xml:space="preserve"> instruments according t</w:t>
            </w:r>
            <w:r w:rsidR="00CC0526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o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 xml:space="preserve"> </w:t>
            </w:r>
            <w:r w:rsidR="00CC0526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EU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 xml:space="preserve"> Regulation No</w:t>
            </w:r>
            <w:r w:rsidR="000870B8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 xml:space="preserve">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909/2014 Article 46 point 3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930807A" w14:textId="3A68AC3C" w:rsidR="00C7105D" w:rsidRPr="00F46617" w:rsidRDefault="00C7105D" w:rsidP="0015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</w:t>
            </w:r>
            <w:r w:rsidR="002716C7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01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BD7AAB" w14:textId="77777777" w:rsidR="00C7105D" w:rsidRPr="00F46617" w:rsidRDefault="00C7105D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</w:p>
        </w:tc>
      </w:tr>
      <w:tr w:rsidR="00F46617" w:rsidRPr="00F46617" w14:paraId="053908E9" w14:textId="77777777" w:rsidTr="00DC7DEF">
        <w:trPr>
          <w:divId w:val="2057655963"/>
          <w:trHeight w:val="585"/>
          <w:jc w:val="center"/>
        </w:trPr>
        <w:tc>
          <w:tcPr>
            <w:tcW w:w="5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A7C578" w14:textId="45D72FFE" w:rsidR="00C7105D" w:rsidRPr="00F46617" w:rsidRDefault="00C7105D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KAPITĀLS</w:t>
            </w:r>
            <w:r w:rsidR="000870B8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,</w:t>
            </w:r>
            <w:r w:rsidR="002716C7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ņemot vērā līdzekļus, kas nav investēti naudā vai augsti likvīdos aktīvos (</w:t>
            </w:r>
            <w:r w:rsidR="00D210DB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rinda </w:t>
            </w:r>
            <w:r w:rsidR="002716C7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100 – </w:t>
            </w:r>
            <w:r w:rsidR="00D210DB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rinda </w:t>
            </w:r>
            <w:r w:rsidR="002716C7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101)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CAPITA</w:t>
            </w:r>
            <w:r w:rsidR="00A5069C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L</w:t>
            </w:r>
            <w:r w:rsidR="00303063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 xml:space="preserve"> taking into account finan</w:t>
            </w:r>
            <w:r w:rsidR="00977AFE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c</w:t>
            </w:r>
            <w:r w:rsidR="00303063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ial resources that are not invested in cash or highly liquid financi</w:t>
            </w:r>
            <w:r w:rsidR="00977AFE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al</w:t>
            </w:r>
            <w:r w:rsidR="00303063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 xml:space="preserve"> instruments</w:t>
            </w:r>
            <w:r w:rsidR="002716C7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 xml:space="preserve"> </w:t>
            </w:r>
            <w:r w:rsidR="00303063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(</w:t>
            </w:r>
            <w:r w:rsidR="00D210DB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 xml:space="preserve">row </w:t>
            </w:r>
            <w:r w:rsidR="00303063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100-</w:t>
            </w:r>
            <w:r w:rsidR="00D210DB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 xml:space="preserve"> row</w:t>
            </w:r>
            <w:r w:rsidR="000870B8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 </w:t>
            </w:r>
            <w:r w:rsidR="00303063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101)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84F7438" w14:textId="5D118BA7" w:rsidR="00C7105D" w:rsidRPr="00F46617" w:rsidRDefault="00C7105D" w:rsidP="0015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11</w:t>
            </w:r>
            <w:r w:rsidR="002716C7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2A6A33" w14:textId="77777777" w:rsidR="00C7105D" w:rsidRPr="00F46617" w:rsidRDefault="00C7105D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</w:p>
        </w:tc>
      </w:tr>
      <w:tr w:rsidR="00F46617" w:rsidRPr="00F46617" w14:paraId="5D1A07E2" w14:textId="77777777" w:rsidTr="00DC7DEF">
        <w:trPr>
          <w:divId w:val="2057655963"/>
          <w:trHeight w:val="585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shd w:val="clear" w:color="000000" w:fill="FFFFFF"/>
            <w:hideMark/>
          </w:tcPr>
          <w:p w14:paraId="3D8AE837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KAPITĀLA PRASĪBAS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CAPITAL REQUIREMENTS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B9"/>
            </w:tcBorders>
            <w:shd w:val="clear" w:color="000000" w:fill="FFFFFF"/>
            <w:hideMark/>
          </w:tcPr>
          <w:p w14:paraId="14FB6DFC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CB71486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69B0017" w14:textId="77777777" w:rsidR="00DC7DEF" w:rsidRPr="00F46617" w:rsidRDefault="00E51041" w:rsidP="0015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120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F6106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</w:tr>
      <w:tr w:rsidR="00F46617" w:rsidRPr="00F46617" w14:paraId="648FA3F0" w14:textId="77777777" w:rsidTr="00DC7DEF">
        <w:trPr>
          <w:divId w:val="2057655963"/>
          <w:trHeight w:val="58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4AAD47BC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A5E0F1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Operacionālie, juridiskie un glabāšanas riski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Operational, legal and custody risks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AB3821A" w14:textId="77777777" w:rsidR="00DC7DEF" w:rsidRPr="00F46617" w:rsidRDefault="00E51041" w:rsidP="0015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130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2DF5B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</w:tr>
      <w:tr w:rsidR="00F46617" w:rsidRPr="00F46617" w14:paraId="18D51069" w14:textId="77777777" w:rsidTr="00DC7DEF">
        <w:trPr>
          <w:divId w:val="2057655963"/>
          <w:trHeight w:val="58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75910E05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hideMark/>
          </w:tcPr>
          <w:p w14:paraId="58D3BBDE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Ieguldījumu risks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Investment risk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B1CC6" w14:textId="77777777" w:rsidR="00DC7DEF" w:rsidRPr="00F46617" w:rsidRDefault="00DC7DEF" w:rsidP="0015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9EBABB3" w14:textId="77777777" w:rsidR="00DC7DEF" w:rsidRPr="00F46617" w:rsidRDefault="00E51041" w:rsidP="0015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140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6CEB8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</w:tr>
      <w:tr w:rsidR="00F46617" w:rsidRPr="00F46617" w14:paraId="5C5C13B1" w14:textId="77777777" w:rsidTr="00DC7DEF">
        <w:trPr>
          <w:divId w:val="2057655963"/>
          <w:trHeight w:val="58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40E33C06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28EA4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708F6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Kredītrisks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Credit risk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A0FA7F8" w14:textId="77777777" w:rsidR="00DC7DEF" w:rsidRPr="00F46617" w:rsidRDefault="00E51041" w:rsidP="0015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141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BD6CB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</w:tr>
      <w:tr w:rsidR="00F46617" w:rsidRPr="00F46617" w14:paraId="499A652D" w14:textId="77777777" w:rsidTr="00DC7DEF">
        <w:trPr>
          <w:divId w:val="2057655963"/>
          <w:trHeight w:val="58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536C6782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BC9E3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CACE8" w14:textId="5035303B" w:rsidR="00DC7DEF" w:rsidRPr="00F46617" w:rsidRDefault="000870B8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t</w:t>
            </w:r>
            <w:r w:rsidR="00A5069C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.sk. d</w:t>
            </w:r>
            <w:r w:rsidR="00DC7DEF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arījumu partnera kredītrisks / </w:t>
            </w:r>
            <w:r w:rsidR="00A5069C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of which c</w:t>
            </w:r>
            <w:r w:rsidR="00DC7DEF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ounterparty credit risk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25216E6" w14:textId="77777777" w:rsidR="00DC7DEF" w:rsidRPr="00F46617" w:rsidRDefault="00E51041" w:rsidP="0015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142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559FF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</w:tr>
      <w:tr w:rsidR="00F46617" w:rsidRPr="00F46617" w14:paraId="5269108A" w14:textId="77777777" w:rsidTr="00DC7DEF">
        <w:trPr>
          <w:divId w:val="2057655963"/>
          <w:trHeight w:val="58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43284B82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5A419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5462C" w14:textId="27B7D138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Ārvalst</w:t>
            </w:r>
            <w:r w:rsidR="008D166B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u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valūtu risks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Foreign exchange risk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7F1DFD3" w14:textId="77777777" w:rsidR="00DC7DEF" w:rsidRPr="00F46617" w:rsidRDefault="00E51041" w:rsidP="0015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143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47353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</w:tr>
      <w:tr w:rsidR="00F46617" w:rsidRPr="00F46617" w14:paraId="6F5D901F" w14:textId="77777777" w:rsidTr="00DC7DEF">
        <w:trPr>
          <w:divId w:val="2057655963"/>
          <w:trHeight w:val="58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23AC72B9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9EEF6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11F58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Pozīcijas risks (parāda instrumenti)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Position risk (debt instruments)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4EC53D9" w14:textId="77777777" w:rsidR="00DC7DEF" w:rsidRPr="00F46617" w:rsidRDefault="00E51041" w:rsidP="0015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144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9A6B7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</w:tr>
      <w:tr w:rsidR="00F46617" w:rsidRPr="00F46617" w14:paraId="20D1C6B5" w14:textId="77777777" w:rsidTr="00DC7DEF">
        <w:trPr>
          <w:divId w:val="2057655963"/>
          <w:trHeight w:val="58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736EE6B3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56189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B65A9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Pozīcijas risks (kapitāla vērtspapīri)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Position risk (equity instruments)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F07FAA1" w14:textId="77777777" w:rsidR="00DC7DEF" w:rsidRPr="00F46617" w:rsidRDefault="00E51041" w:rsidP="0015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145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6EFFE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</w:tr>
      <w:tr w:rsidR="00F46617" w:rsidRPr="00F46617" w14:paraId="78CD66C0" w14:textId="77777777" w:rsidTr="00DC7DEF">
        <w:trPr>
          <w:divId w:val="2057655963"/>
          <w:trHeight w:val="58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2AC0C2BB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B4385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A1903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Preču risks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Commodities risk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C7E5DD0" w14:textId="77777777" w:rsidR="00DC7DEF" w:rsidRPr="00F46617" w:rsidRDefault="00E51041" w:rsidP="0015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146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1A03E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</w:tr>
      <w:tr w:rsidR="00F46617" w:rsidRPr="00F46617" w14:paraId="46BB3B40" w14:textId="77777777" w:rsidTr="00DC7DEF">
        <w:trPr>
          <w:divId w:val="2057655963"/>
          <w:trHeight w:val="58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7AEBDA18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ABEC8" w14:textId="41E77D83" w:rsidR="00DC7DEF" w:rsidRPr="00F46617" w:rsidRDefault="0052349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Biznesa </w:t>
            </w:r>
            <w:r w:rsidR="00DC7DEF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risk</w:t>
            </w:r>
            <w:r w:rsidR="00CB4781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s</w:t>
            </w:r>
            <w:r w:rsidR="00DC7DEF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/ </w:t>
            </w:r>
            <w:r w:rsidR="00DC7DEF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Business risk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E15E66F" w14:textId="77777777" w:rsidR="00DC7DEF" w:rsidRPr="00F46617" w:rsidRDefault="00E51041" w:rsidP="0015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150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5F9C2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</w:tr>
      <w:tr w:rsidR="00F46617" w:rsidRPr="00F46617" w14:paraId="7F6DC484" w14:textId="77777777" w:rsidTr="00C5423D">
        <w:trPr>
          <w:divId w:val="2057655963"/>
          <w:trHeight w:val="58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FFFFB9"/>
            </w:tcBorders>
            <w:vAlign w:val="center"/>
            <w:hideMark/>
          </w:tcPr>
          <w:p w14:paraId="17DCF3CC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81A205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Darbības izbeigšanas vai pārstrukturēšanas kapitāla prasības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Capital requirements for winding-down or restructuring activit</w:t>
            </w:r>
            <w:r w:rsidR="00467B2C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i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es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31432E" w14:textId="77777777" w:rsidR="00DC7DEF" w:rsidRPr="00F46617" w:rsidRDefault="00E51041" w:rsidP="0015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160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AF961" w14:textId="77777777" w:rsidR="00DC7DEF" w:rsidRPr="00F46617" w:rsidRDefault="00DC7DEF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</w:tr>
      <w:tr w:rsidR="00F46617" w:rsidRPr="00F46617" w14:paraId="6177C811" w14:textId="77777777" w:rsidTr="00186856">
        <w:trPr>
          <w:divId w:val="2057655963"/>
          <w:trHeight w:val="585"/>
          <w:jc w:val="center"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53F8" w14:textId="51E2172D" w:rsidR="00186856" w:rsidRPr="00F46617" w:rsidRDefault="00186856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K</w:t>
            </w:r>
            <w:r w:rsidR="00E23582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APITĀLA PĀRSNIEGUMS pār kapitāla prasībām (rinda 110 </w:t>
            </w:r>
            <w:r w:rsidR="000870B8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–</w:t>
            </w:r>
            <w:r w:rsidR="00E23582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rinda 120)</w:t>
            </w:r>
            <w:r w:rsidR="000870B8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</w:t>
            </w:r>
            <w:r w:rsidR="00E23582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/</w:t>
            </w:r>
          </w:p>
          <w:p w14:paraId="2EC0E040" w14:textId="2ABE79C7" w:rsidR="00E23582" w:rsidRPr="00F46617" w:rsidRDefault="00E23582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CAPITAL EXCESS above capital requirements (row 110 – row 120)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67C45A" w14:textId="700E3EAA" w:rsidR="00186856" w:rsidRPr="00F46617" w:rsidRDefault="00186856" w:rsidP="0018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170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251A89" w14:textId="0E7A9E73" w:rsidR="00186856" w:rsidRPr="00F46617" w:rsidRDefault="00186856" w:rsidP="00152C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</w:p>
        </w:tc>
      </w:tr>
    </w:tbl>
    <w:p w14:paraId="28BC0331" w14:textId="77777777" w:rsidR="005D1EDF" w:rsidRPr="00F46617" w:rsidRDefault="005D1EDF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F46617">
        <w:rPr>
          <w:rFonts w:ascii="Times New Roman" w:hAnsi="Times New Roman" w:cs="Times New Roman"/>
          <w:noProof/>
          <w:sz w:val="24"/>
          <w:szCs w:val="24"/>
          <w:lang w:val="lv-LV"/>
        </w:rPr>
        <w:br w:type="page"/>
      </w:r>
    </w:p>
    <w:p w14:paraId="4FD32EF0" w14:textId="77777777" w:rsidR="005D1EDF" w:rsidRPr="00F46617" w:rsidRDefault="00B634E7" w:rsidP="005D1EDF">
      <w:pPr>
        <w:keepLine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noProof/>
          <w:szCs w:val="20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Cs w:val="20"/>
          <w:lang w:val="lv-LV"/>
        </w:rPr>
        <w:lastRenderedPageBreak/>
        <w:t>3</w:t>
      </w:r>
      <w:r w:rsidR="005D1EDF" w:rsidRPr="00F46617">
        <w:rPr>
          <w:rFonts w:ascii="Times New Roman" w:eastAsia="Times New Roman" w:hAnsi="Times New Roman" w:cs="Times New Roman"/>
          <w:noProof/>
          <w:szCs w:val="20"/>
          <w:lang w:val="lv-LV"/>
        </w:rPr>
        <w:t>. pielikums</w:t>
      </w:r>
    </w:p>
    <w:p w14:paraId="73BC999B" w14:textId="77777777" w:rsidR="005D1EDF" w:rsidRPr="00F46617" w:rsidRDefault="005D1EDF" w:rsidP="005D1EDF">
      <w:pPr>
        <w:keepLine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noProof/>
          <w:szCs w:val="20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Cs w:val="20"/>
          <w:lang w:val="lv-LV"/>
        </w:rPr>
        <w:t xml:space="preserve">Finanšu un kapitāla tirgus komisijas </w:t>
      </w:r>
    </w:p>
    <w:p w14:paraId="255DC925" w14:textId="544B462F" w:rsidR="005D1EDF" w:rsidRPr="00F46617" w:rsidRDefault="00D17FE4" w:rsidP="005D1EDF">
      <w:pPr>
        <w:pStyle w:val="Virsraksts4"/>
      </w:pPr>
      <w:r w:rsidRPr="00F46617">
        <w:t>21</w:t>
      </w:r>
      <w:r w:rsidR="00FE72F7" w:rsidRPr="00F46617">
        <w:t>.</w:t>
      </w:r>
      <w:r w:rsidRPr="00F46617">
        <w:t>12</w:t>
      </w:r>
      <w:r w:rsidR="00FE72F7" w:rsidRPr="00F46617">
        <w:t>.2021</w:t>
      </w:r>
      <w:r w:rsidR="0034250E" w:rsidRPr="00F46617">
        <w:t xml:space="preserve">. </w:t>
      </w:r>
      <w:r w:rsidR="005D1EDF" w:rsidRPr="00F46617">
        <w:t>normatīvajiem noteikumiem Nr.</w:t>
      </w:r>
      <w:r w:rsidR="00FE72F7" w:rsidRPr="00F46617">
        <w:t xml:space="preserve"> </w:t>
      </w:r>
      <w:r w:rsidRPr="00F46617">
        <w:t>168</w:t>
      </w:r>
    </w:p>
    <w:p w14:paraId="61A4E5B2" w14:textId="09F193AB" w:rsidR="00DB27EF" w:rsidRPr="00F46617" w:rsidRDefault="00DB27EF" w:rsidP="00DB27EF">
      <w:pPr>
        <w:pStyle w:val="Virsraksts4"/>
        <w:rPr>
          <w:szCs w:val="22"/>
        </w:rPr>
      </w:pPr>
      <w:r w:rsidRPr="00F46617">
        <w:rPr>
          <w:szCs w:val="22"/>
        </w:rPr>
        <w:t xml:space="preserve">Annex 3 </w:t>
      </w:r>
    </w:p>
    <w:p w14:paraId="0E0CBEB3" w14:textId="77777777" w:rsidR="00DB27EF" w:rsidRPr="00F46617" w:rsidRDefault="00DB27EF" w:rsidP="00DB27EF">
      <w:pPr>
        <w:pStyle w:val="Virsraksts4"/>
        <w:rPr>
          <w:szCs w:val="22"/>
        </w:rPr>
      </w:pPr>
      <w:r w:rsidRPr="00F46617">
        <w:rPr>
          <w:szCs w:val="22"/>
        </w:rPr>
        <w:t xml:space="preserve">to </w:t>
      </w:r>
      <w:r w:rsidRPr="00F46617">
        <w:rPr>
          <w:szCs w:val="22"/>
          <w:lang w:val="en-GB"/>
        </w:rPr>
        <w:t xml:space="preserve">Regulations No 168 of the Financial and Capital Market Commission of </w:t>
      </w:r>
      <w:r w:rsidRPr="00F46617">
        <w:rPr>
          <w:szCs w:val="22"/>
        </w:rPr>
        <w:t>21.12.2021</w:t>
      </w:r>
      <w:r w:rsidRPr="00F46617">
        <w:rPr>
          <w:szCs w:val="22"/>
          <w:lang w:val="en-GB"/>
        </w:rPr>
        <w:t xml:space="preserve"> </w:t>
      </w:r>
    </w:p>
    <w:p w14:paraId="66D056F5" w14:textId="77777777" w:rsidR="00DB27EF" w:rsidRPr="00F46617" w:rsidRDefault="00DB27EF" w:rsidP="005D1EDF">
      <w:pPr>
        <w:pStyle w:val="Virsraksts4"/>
      </w:pPr>
    </w:p>
    <w:p w14:paraId="19FA5168" w14:textId="77777777" w:rsidR="005D1EDF" w:rsidRPr="00F46617" w:rsidRDefault="005D1EDF" w:rsidP="005D1EDF">
      <w:pPr>
        <w:pStyle w:val="Virsraksts4"/>
      </w:pPr>
    </w:p>
    <w:p w14:paraId="3311C8C4" w14:textId="72818D70" w:rsidR="005D1EDF" w:rsidRPr="00F46617" w:rsidRDefault="005D1EDF" w:rsidP="005D1E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>Biznesa riska kapitāla prasības pārskats</w:t>
      </w:r>
      <w:r w:rsidR="00745641" w:rsidRPr="00F46617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>/</w:t>
      </w:r>
      <w:r w:rsidR="00255583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 xml:space="preserve">Report on </w:t>
      </w:r>
      <w:r w:rsidR="00745641" w:rsidRPr="00F46617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 xml:space="preserve">Capital Requirement for Business Risk </w:t>
      </w:r>
    </w:p>
    <w:p w14:paraId="4C4FD3B4" w14:textId="43A9253B" w:rsidR="005D1EDF" w:rsidRPr="00F46617" w:rsidRDefault="005D1EDF" w:rsidP="005D1ED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 xml:space="preserve">____________. </w:t>
      </w:r>
      <w:r w:rsidR="00D36F1E"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g</w:t>
      </w: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ada</w:t>
      </w:r>
      <w:r w:rsidR="00D36F1E"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/year</w:t>
      </w: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 xml:space="preserve"> _________</w:t>
      </w:r>
    </w:p>
    <w:p w14:paraId="2D798BB0" w14:textId="5F539F73" w:rsidR="005D1EDF" w:rsidRPr="00F46617" w:rsidRDefault="005D1EDF" w:rsidP="005D1ED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(pārskata perioda pēdējais datums</w:t>
      </w:r>
      <w:r w:rsidR="00745641"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/ the last date of the reporting period</w:t>
      </w: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)</w:t>
      </w:r>
    </w:p>
    <w:p w14:paraId="2AF0BCF9" w14:textId="77777777" w:rsidR="00CD493E" w:rsidRPr="00F46617" w:rsidRDefault="00CD493E" w:rsidP="00CD49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tbl>
      <w:tblPr>
        <w:tblW w:w="8095" w:type="dxa"/>
        <w:jc w:val="center"/>
        <w:tblLook w:val="04A0" w:firstRow="1" w:lastRow="0" w:firstColumn="1" w:lastColumn="0" w:noHBand="0" w:noVBand="1"/>
      </w:tblPr>
      <w:tblGrid>
        <w:gridCol w:w="1860"/>
        <w:gridCol w:w="3980"/>
        <w:gridCol w:w="696"/>
        <w:gridCol w:w="1559"/>
      </w:tblGrid>
      <w:tr w:rsidR="00F46617" w:rsidRPr="00BB1A19" w14:paraId="15F2DAEB" w14:textId="77777777" w:rsidTr="00DC7DEF">
        <w:trPr>
          <w:trHeight w:val="450"/>
          <w:jc w:val="center"/>
        </w:trPr>
        <w:tc>
          <w:tcPr>
            <w:tcW w:w="653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E74B8" w14:textId="77777777" w:rsidR="00DC7DEF" w:rsidRPr="00F46617" w:rsidRDefault="00DC7DEF" w:rsidP="005D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0B600" w14:textId="77777777" w:rsidR="00DC7DEF" w:rsidRPr="00F46617" w:rsidRDefault="00DC7DEF" w:rsidP="005D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Pārskata perioda beigās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As at the end of the reporting period</w:t>
            </w:r>
          </w:p>
        </w:tc>
      </w:tr>
      <w:tr w:rsidR="00F46617" w:rsidRPr="00BB1A19" w14:paraId="76B01C87" w14:textId="77777777" w:rsidTr="00DC7DEF">
        <w:trPr>
          <w:trHeight w:val="681"/>
          <w:jc w:val="center"/>
        </w:trPr>
        <w:tc>
          <w:tcPr>
            <w:tcW w:w="653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536B3" w14:textId="77777777" w:rsidR="00DC7DEF" w:rsidRPr="00F46617" w:rsidRDefault="00DC7DEF" w:rsidP="005D1E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035E3" w14:textId="77777777" w:rsidR="00DC7DEF" w:rsidRPr="00F46617" w:rsidRDefault="00DC7DEF" w:rsidP="005D1E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</w:tr>
      <w:tr w:rsidR="00F46617" w:rsidRPr="00F46617" w14:paraId="3B58107E" w14:textId="77777777" w:rsidTr="00DC7DEF">
        <w:trPr>
          <w:trHeight w:val="300"/>
          <w:jc w:val="center"/>
        </w:trPr>
        <w:tc>
          <w:tcPr>
            <w:tcW w:w="653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369CB" w14:textId="77777777" w:rsidR="00DC7DEF" w:rsidRPr="00F46617" w:rsidRDefault="00DC7DEF" w:rsidP="005D1E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E693C" w14:textId="77777777" w:rsidR="00DC7DEF" w:rsidRPr="00F46617" w:rsidRDefault="004629DA" w:rsidP="005D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100</w:t>
            </w:r>
          </w:p>
        </w:tc>
      </w:tr>
      <w:tr w:rsidR="00F46617" w:rsidRPr="00F46617" w14:paraId="76FDCE1C" w14:textId="77777777" w:rsidTr="00DC7DEF">
        <w:trPr>
          <w:trHeight w:val="390"/>
          <w:jc w:val="center"/>
        </w:trPr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shd w:val="clear" w:color="000000" w:fill="FFFFFF"/>
            <w:hideMark/>
          </w:tcPr>
          <w:p w14:paraId="3C7D889E" w14:textId="653EB8A7" w:rsidR="00DC7DEF" w:rsidRPr="00F46617" w:rsidRDefault="00DC7DEF" w:rsidP="005D1E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BIZNESA RISKA KAPITĀLA PRASĪBA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CAPITAL REQUIREMENT FOR BUSINESS RISK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B9"/>
            </w:tcBorders>
            <w:shd w:val="clear" w:color="000000" w:fill="FFFFFF"/>
            <w:hideMark/>
          </w:tcPr>
          <w:p w14:paraId="36EEDCE2" w14:textId="77777777" w:rsidR="00DC7DEF" w:rsidRPr="00F46617" w:rsidRDefault="00DC7DEF" w:rsidP="005D1E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49C8885" w14:textId="77777777" w:rsidR="00DC7DEF" w:rsidRPr="00F46617" w:rsidRDefault="004629DA" w:rsidP="005D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E158F" w14:textId="77777777" w:rsidR="00DC7DEF" w:rsidRPr="00F46617" w:rsidRDefault="00DC7DEF" w:rsidP="005D1E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</w:tr>
      <w:tr w:rsidR="00F46617" w:rsidRPr="00F46617" w14:paraId="5C85BDE4" w14:textId="77777777" w:rsidTr="00DC7DEF">
        <w:trPr>
          <w:trHeight w:val="915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01D90D19" w14:textId="77777777" w:rsidR="00DC7DEF" w:rsidRPr="00F46617" w:rsidRDefault="00DC7DEF" w:rsidP="005D1E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shd w:val="clear" w:color="000000" w:fill="FFFFFF"/>
            <w:hideMark/>
          </w:tcPr>
          <w:p w14:paraId="7ED8348C" w14:textId="77777777" w:rsidR="00DC7DEF" w:rsidRPr="00F46617" w:rsidRDefault="00DC7DEF" w:rsidP="005D1E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Gada bruto darbības izmaksas * 25%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Annual operating expense (gross) * 25%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764CF1B" w14:textId="77777777" w:rsidR="00DC7DEF" w:rsidRPr="00F46617" w:rsidRDefault="004629DA" w:rsidP="005D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A0D1D" w14:textId="77777777" w:rsidR="00DC7DEF" w:rsidRPr="00F46617" w:rsidRDefault="00DC7DEF" w:rsidP="005D1E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</w:tr>
      <w:tr w:rsidR="00F46617" w:rsidRPr="00F46617" w14:paraId="0794A7C6" w14:textId="77777777" w:rsidTr="00DC7DEF">
        <w:trPr>
          <w:trHeight w:val="1020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11D2C20D" w14:textId="77777777" w:rsidR="00DC7DEF" w:rsidRPr="00F46617" w:rsidRDefault="00DC7DEF" w:rsidP="005D1E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B3314" w14:textId="77777777" w:rsidR="00DC7DEF" w:rsidRPr="00F46617" w:rsidRDefault="00DC7DEF" w:rsidP="005D1E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Nelabvēlīgā scenārijā nepieciešamais kapitāls zaudējumu segšanai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Necessary capital to cover losses under adverse scenario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493759B" w14:textId="77777777" w:rsidR="00DC7DEF" w:rsidRPr="00F46617" w:rsidRDefault="004629DA" w:rsidP="005D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3B85D" w14:textId="77777777" w:rsidR="00DC7DEF" w:rsidRPr="00F46617" w:rsidRDefault="00DC7DEF" w:rsidP="005D1E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</w:tr>
      <w:tr w:rsidR="00F46617" w:rsidRPr="00F46617" w14:paraId="226EEE5A" w14:textId="77777777" w:rsidTr="00DC7DEF">
        <w:trPr>
          <w:trHeight w:val="1080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6CF4FE31" w14:textId="77777777" w:rsidR="00DC7DEF" w:rsidRPr="00F46617" w:rsidRDefault="00DC7DEF" w:rsidP="005D1E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C87E89" w14:textId="082F39D1" w:rsidR="00DC7DEF" w:rsidRPr="00F46617" w:rsidRDefault="00DC7DEF" w:rsidP="00ED318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Pēdējā revidēt</w:t>
            </w:r>
            <w:r w:rsidR="00BA1045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aj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ā finanšu </w:t>
            </w:r>
            <w:r w:rsidR="00ED3187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pārskat</w:t>
            </w:r>
            <w:r w:rsidR="00F00A5C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ā </w:t>
            </w:r>
            <w:r w:rsidR="00ED3187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norādītie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neto ienākumi pēc nodokļu nomaksas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Net income after tax for the last audited financial year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FAB146D" w14:textId="77777777" w:rsidR="00DC7DEF" w:rsidRPr="00F46617" w:rsidRDefault="004629DA" w:rsidP="005D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B7E74" w14:textId="77777777" w:rsidR="00DC7DEF" w:rsidRPr="00F46617" w:rsidRDefault="00DC7DEF" w:rsidP="005D1E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</w:tr>
      <w:tr w:rsidR="00F46617" w:rsidRPr="00F46617" w14:paraId="3E86A4E3" w14:textId="77777777" w:rsidTr="00DC7DEF">
        <w:trPr>
          <w:trHeight w:val="1050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14BAADBE" w14:textId="77777777" w:rsidR="00DC7DEF" w:rsidRPr="00F46617" w:rsidRDefault="00DC7DEF" w:rsidP="005D1E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80A98" w14:textId="77777777" w:rsidR="00DC7DEF" w:rsidRPr="00F46617" w:rsidRDefault="00C36D1E" w:rsidP="00ED318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Kārtējā </w:t>
            </w:r>
            <w:r w:rsidR="00DC7DEF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finanšu gadā paredzamie neto ienākumi pēc nodokļu nomaksas / </w:t>
            </w:r>
            <w:r w:rsidR="00DC7DEF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Expected net income after tax for the current financial year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1AB4861" w14:textId="77777777" w:rsidR="00DC7DEF" w:rsidRPr="00F46617" w:rsidRDefault="004629DA" w:rsidP="005D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47EF0" w14:textId="77777777" w:rsidR="00DC7DEF" w:rsidRPr="00F46617" w:rsidRDefault="00DC7DEF" w:rsidP="005D1E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</w:tr>
      <w:tr w:rsidR="00F46617" w:rsidRPr="00F46617" w14:paraId="5687442D" w14:textId="77777777" w:rsidTr="00DC7DEF">
        <w:trPr>
          <w:trHeight w:val="1485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4E70814A" w14:textId="77777777" w:rsidR="00DC7DEF" w:rsidRPr="00F46617" w:rsidRDefault="00DC7DEF" w:rsidP="005D1E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1CD224" w14:textId="77777777" w:rsidR="00DC7DEF" w:rsidRPr="00F46617" w:rsidRDefault="00DC7DEF" w:rsidP="00467B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Paredzamie neto ienākumi pēc nodokļu nomaksas attiecībā uz </w:t>
            </w:r>
            <w:r w:rsidR="00F00A5C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pēdē</w:t>
            </w:r>
            <w:r w:rsidR="00F81DD7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jo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finanšu gadu, par kuru nav pieejami revidētie </w:t>
            </w:r>
            <w:r w:rsidR="00F81DD7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finanšu pārskati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Expected net income after tax for the most past financial year where audited results are not yet available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5B69C3F" w14:textId="77777777" w:rsidR="00DC7DEF" w:rsidRPr="00F46617" w:rsidRDefault="004629DA" w:rsidP="005D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0FAE" w14:textId="77777777" w:rsidR="00DC7DEF" w:rsidRPr="00F46617" w:rsidRDefault="00DC7DEF" w:rsidP="005D1E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</w:tr>
    </w:tbl>
    <w:p w14:paraId="1E4F5482" w14:textId="77777777" w:rsidR="005D1EDF" w:rsidRPr="00F46617" w:rsidRDefault="005D1EDF" w:rsidP="00CD49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6469B0C1" w14:textId="77777777" w:rsidR="005D1EDF" w:rsidRPr="00F46617" w:rsidRDefault="005D1EDF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F46617">
        <w:rPr>
          <w:rFonts w:ascii="Times New Roman" w:hAnsi="Times New Roman" w:cs="Times New Roman"/>
          <w:noProof/>
          <w:sz w:val="24"/>
          <w:szCs w:val="24"/>
          <w:lang w:val="lv-LV"/>
        </w:rPr>
        <w:br w:type="page"/>
      </w:r>
    </w:p>
    <w:p w14:paraId="45AEB86D" w14:textId="77777777" w:rsidR="005D1EDF" w:rsidRPr="00F46617" w:rsidRDefault="005D1EDF" w:rsidP="005D1EDF">
      <w:pPr>
        <w:keepLine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noProof/>
          <w:szCs w:val="20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Cs w:val="20"/>
          <w:lang w:val="lv-LV"/>
        </w:rPr>
        <w:lastRenderedPageBreak/>
        <w:t>4. pielikums</w:t>
      </w:r>
    </w:p>
    <w:p w14:paraId="5AE5FF0B" w14:textId="77777777" w:rsidR="005D1EDF" w:rsidRPr="00F46617" w:rsidRDefault="005D1EDF" w:rsidP="005D1EDF">
      <w:pPr>
        <w:keepLine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noProof/>
          <w:szCs w:val="20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Cs w:val="20"/>
          <w:lang w:val="lv-LV"/>
        </w:rPr>
        <w:t xml:space="preserve">Finanšu un kapitāla tirgus komisijas </w:t>
      </w:r>
    </w:p>
    <w:p w14:paraId="05AFC010" w14:textId="13BAAC97" w:rsidR="005D1EDF" w:rsidRPr="00F46617" w:rsidRDefault="00D17FE4" w:rsidP="005D1EDF">
      <w:pPr>
        <w:pStyle w:val="Virsraksts4"/>
      </w:pPr>
      <w:r w:rsidRPr="00F46617">
        <w:t>21</w:t>
      </w:r>
      <w:r w:rsidR="00FE72F7" w:rsidRPr="00F46617">
        <w:t>.</w:t>
      </w:r>
      <w:r w:rsidRPr="00F46617">
        <w:t>12</w:t>
      </w:r>
      <w:r w:rsidR="0034250E" w:rsidRPr="00F46617">
        <w:t>.20</w:t>
      </w:r>
      <w:r w:rsidR="00FE72F7" w:rsidRPr="00F46617">
        <w:t>2</w:t>
      </w:r>
      <w:r w:rsidR="0034250E" w:rsidRPr="00F46617">
        <w:t xml:space="preserve">1. </w:t>
      </w:r>
      <w:r w:rsidR="005D1EDF" w:rsidRPr="00F46617">
        <w:t xml:space="preserve">normatīvajiem noteikumiem Nr. </w:t>
      </w:r>
      <w:r w:rsidRPr="00F46617">
        <w:t>168</w:t>
      </w:r>
    </w:p>
    <w:p w14:paraId="56EBAA73" w14:textId="691B04ED" w:rsidR="00DB27EF" w:rsidRPr="00F46617" w:rsidRDefault="00DB27EF" w:rsidP="00DB27EF">
      <w:pPr>
        <w:pStyle w:val="Virsraksts4"/>
        <w:rPr>
          <w:szCs w:val="22"/>
        </w:rPr>
      </w:pPr>
      <w:r w:rsidRPr="00F46617">
        <w:rPr>
          <w:szCs w:val="22"/>
        </w:rPr>
        <w:t xml:space="preserve">Annex 4 </w:t>
      </w:r>
    </w:p>
    <w:p w14:paraId="29F6D2D3" w14:textId="77777777" w:rsidR="00DB27EF" w:rsidRPr="00F46617" w:rsidRDefault="00DB27EF" w:rsidP="00DB27EF">
      <w:pPr>
        <w:pStyle w:val="Virsraksts4"/>
        <w:rPr>
          <w:szCs w:val="22"/>
        </w:rPr>
      </w:pPr>
      <w:r w:rsidRPr="00F46617">
        <w:rPr>
          <w:szCs w:val="22"/>
        </w:rPr>
        <w:t xml:space="preserve">to </w:t>
      </w:r>
      <w:r w:rsidRPr="00F46617">
        <w:rPr>
          <w:szCs w:val="22"/>
          <w:lang w:val="en-GB"/>
        </w:rPr>
        <w:t xml:space="preserve">Regulations No 168 of the Financial and Capital Market Commission of </w:t>
      </w:r>
      <w:r w:rsidRPr="00F46617">
        <w:rPr>
          <w:szCs w:val="22"/>
        </w:rPr>
        <w:t>21.12.2021</w:t>
      </w:r>
      <w:r w:rsidRPr="00F46617">
        <w:rPr>
          <w:szCs w:val="22"/>
          <w:lang w:val="en-GB"/>
        </w:rPr>
        <w:t xml:space="preserve"> </w:t>
      </w:r>
    </w:p>
    <w:p w14:paraId="7B7BC96F" w14:textId="77777777" w:rsidR="00DB27EF" w:rsidRPr="00F46617" w:rsidRDefault="00DB27EF" w:rsidP="005D1EDF">
      <w:pPr>
        <w:pStyle w:val="Virsraksts4"/>
      </w:pPr>
    </w:p>
    <w:p w14:paraId="60AC58C3" w14:textId="77777777" w:rsidR="00D17FE4" w:rsidRPr="00F46617" w:rsidRDefault="00D17FE4" w:rsidP="005D1EDF">
      <w:pPr>
        <w:pStyle w:val="Virsraksts4"/>
      </w:pPr>
    </w:p>
    <w:p w14:paraId="5E546D92" w14:textId="5A665FA7" w:rsidR="00255583" w:rsidRPr="00F46617" w:rsidRDefault="00B634E7" w:rsidP="002555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>Darbīb</w:t>
      </w:r>
      <w:r w:rsidR="00831A44" w:rsidRPr="00F46617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>as</w:t>
      </w:r>
      <w:r w:rsidRPr="00F46617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 xml:space="preserve"> izbeigšanas vai pārstrukturēšanas kapitāla prasības pārskats</w:t>
      </w:r>
      <w:r w:rsidR="00745641" w:rsidRPr="00F46617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>/</w:t>
      </w:r>
      <w:r w:rsidR="00255583" w:rsidRPr="00255583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 xml:space="preserve"> </w:t>
      </w:r>
      <w:r w:rsidR="00255583" w:rsidRPr="00F46617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>Report</w:t>
      </w:r>
    </w:p>
    <w:p w14:paraId="4267CA14" w14:textId="0977C371" w:rsidR="005D1EDF" w:rsidRPr="00F46617" w:rsidRDefault="00255583" w:rsidP="005D1E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>on</w:t>
      </w:r>
      <w:r w:rsidR="00745641" w:rsidRPr="00F46617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 xml:space="preserve"> Capital Requirement for Winding-down or Restructuring </w:t>
      </w:r>
    </w:p>
    <w:p w14:paraId="22C037CF" w14:textId="78A0CBBB" w:rsidR="005D1EDF" w:rsidRPr="00F46617" w:rsidRDefault="005D1EDF" w:rsidP="005D1ED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____________. gada</w:t>
      </w:r>
      <w:r w:rsidR="00745641"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/year</w:t>
      </w: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 xml:space="preserve"> _________</w:t>
      </w:r>
    </w:p>
    <w:p w14:paraId="4329D22C" w14:textId="2618FA43" w:rsidR="005D1EDF" w:rsidRPr="00F46617" w:rsidRDefault="005D1EDF" w:rsidP="005D1ED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(pārskata perioda pēdējais datums</w:t>
      </w:r>
      <w:r w:rsidR="00745641"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/ the last date of the reporting period</w:t>
      </w: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)</w:t>
      </w:r>
    </w:p>
    <w:p w14:paraId="3670B0E3" w14:textId="77777777" w:rsidR="005D1EDF" w:rsidRPr="00F46617" w:rsidRDefault="005D1EDF" w:rsidP="00CD49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tbl>
      <w:tblPr>
        <w:tblW w:w="7600" w:type="dxa"/>
        <w:jc w:val="center"/>
        <w:tblLook w:val="04A0" w:firstRow="1" w:lastRow="0" w:firstColumn="1" w:lastColumn="0" w:noHBand="0" w:noVBand="1"/>
      </w:tblPr>
      <w:tblGrid>
        <w:gridCol w:w="1995"/>
        <w:gridCol w:w="2880"/>
        <w:gridCol w:w="885"/>
        <w:gridCol w:w="1840"/>
      </w:tblGrid>
      <w:tr w:rsidR="00F46617" w:rsidRPr="00BB1A19" w14:paraId="4A81011E" w14:textId="77777777" w:rsidTr="00DC7DEF">
        <w:trPr>
          <w:trHeight w:val="450"/>
          <w:jc w:val="center"/>
        </w:trPr>
        <w:tc>
          <w:tcPr>
            <w:tcW w:w="576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EB235" w14:textId="77777777" w:rsidR="00DC7DEF" w:rsidRPr="00F46617" w:rsidRDefault="00DC7DEF" w:rsidP="00B6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76882" w14:textId="77777777" w:rsidR="00DC7DEF" w:rsidRPr="00F46617" w:rsidRDefault="00DC7DEF" w:rsidP="00B6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Pārskata perioda beigās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As at the end of the reporting period</w:t>
            </w:r>
          </w:p>
        </w:tc>
      </w:tr>
      <w:tr w:rsidR="00F46617" w:rsidRPr="00BB1A19" w14:paraId="1C3A394E" w14:textId="77777777" w:rsidTr="00DC7DEF">
        <w:trPr>
          <w:trHeight w:val="965"/>
          <w:jc w:val="center"/>
        </w:trPr>
        <w:tc>
          <w:tcPr>
            <w:tcW w:w="57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4B716" w14:textId="77777777" w:rsidR="00DC7DEF" w:rsidRPr="00F46617" w:rsidRDefault="00DC7DEF" w:rsidP="00B634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0A300" w14:textId="77777777" w:rsidR="00DC7DEF" w:rsidRPr="00F46617" w:rsidRDefault="00DC7DEF" w:rsidP="00B634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</w:tr>
      <w:tr w:rsidR="00F46617" w:rsidRPr="00F46617" w14:paraId="18EC1F30" w14:textId="77777777" w:rsidTr="00DC7DEF">
        <w:trPr>
          <w:trHeight w:val="283"/>
          <w:jc w:val="center"/>
        </w:trPr>
        <w:tc>
          <w:tcPr>
            <w:tcW w:w="57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51405" w14:textId="77777777" w:rsidR="00DC7DEF" w:rsidRPr="00F46617" w:rsidRDefault="00DC7DEF" w:rsidP="00B634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DBD83" w14:textId="77777777" w:rsidR="00DC7DEF" w:rsidRPr="00F46617" w:rsidRDefault="004629DA" w:rsidP="00B6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100</w:t>
            </w:r>
          </w:p>
        </w:tc>
      </w:tr>
      <w:tr w:rsidR="00F46617" w:rsidRPr="00F46617" w14:paraId="35ABC2CB" w14:textId="77777777" w:rsidTr="00DC7DEF">
        <w:trPr>
          <w:trHeight w:val="660"/>
          <w:jc w:val="center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shd w:val="clear" w:color="000000" w:fill="FFFFFF"/>
            <w:hideMark/>
          </w:tcPr>
          <w:p w14:paraId="35753627" w14:textId="323ECFD0" w:rsidR="00DC7DEF" w:rsidRPr="00F46617" w:rsidRDefault="00DC7DEF" w:rsidP="00B634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DARBĪB</w:t>
            </w:r>
            <w:r w:rsidR="00831A44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AS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IZBEIGŠANAS VAI PĀRSTRUKTURĒŠANAS KAPITĀLA PRASĪBAS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CAPITAL REQUIREMENT FOR WINDING-DOWN OR RESTRUCTURING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B9"/>
            </w:tcBorders>
            <w:shd w:val="clear" w:color="000000" w:fill="FFFFFF"/>
            <w:hideMark/>
          </w:tcPr>
          <w:p w14:paraId="6CAB351B" w14:textId="77777777" w:rsidR="00DC7DEF" w:rsidRPr="00F46617" w:rsidRDefault="00DC7DEF" w:rsidP="00B634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F213CD3" w14:textId="77777777" w:rsidR="00DC7DEF" w:rsidRPr="00F46617" w:rsidRDefault="004629DA" w:rsidP="00B6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759C6" w14:textId="77777777" w:rsidR="00DC7DEF" w:rsidRPr="00F46617" w:rsidRDefault="00DC7DEF" w:rsidP="00B634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</w:tr>
      <w:tr w:rsidR="00F46617" w:rsidRPr="00F46617" w14:paraId="79308752" w14:textId="77777777" w:rsidTr="00DC7DEF">
        <w:trPr>
          <w:trHeight w:val="1440"/>
          <w:jc w:val="center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195CB2A0" w14:textId="77777777" w:rsidR="00DC7DEF" w:rsidRPr="00F46617" w:rsidRDefault="00DC7DEF" w:rsidP="00B634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shd w:val="clear" w:color="000000" w:fill="FFFFFF"/>
            <w:hideMark/>
          </w:tcPr>
          <w:p w14:paraId="143D658A" w14:textId="77777777" w:rsidR="00DC7DEF" w:rsidRPr="00F46617" w:rsidRDefault="00DC7DEF" w:rsidP="00B634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Mēneša bruto darbības izmaksas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Monthly operating expense (gross)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26D2891" w14:textId="77777777" w:rsidR="00DC7DEF" w:rsidRPr="00F46617" w:rsidRDefault="004629DA" w:rsidP="00B6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9F675" w14:textId="77777777" w:rsidR="00DC7DEF" w:rsidRPr="00F46617" w:rsidRDefault="00DC7DEF" w:rsidP="00B634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</w:tr>
      <w:tr w:rsidR="00F46617" w:rsidRPr="00F46617" w14:paraId="37C6521A" w14:textId="77777777" w:rsidTr="00DC7DEF">
        <w:trPr>
          <w:trHeight w:val="1410"/>
          <w:jc w:val="center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B9"/>
            </w:tcBorders>
            <w:vAlign w:val="center"/>
            <w:hideMark/>
          </w:tcPr>
          <w:p w14:paraId="55C4440F" w14:textId="77777777" w:rsidR="00DC7DEF" w:rsidRPr="00F46617" w:rsidRDefault="00DC7DEF" w:rsidP="00B634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73CEC9" w14:textId="7C7A2560" w:rsidR="00DC7DEF" w:rsidRPr="00F46617" w:rsidRDefault="00DC7DEF" w:rsidP="005D461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Novērtētais laika posms, kas nepieciešams darbīb</w:t>
            </w:r>
            <w:r w:rsidR="00831A44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as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izbeigšanai vai pārstrukturēšanai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Estimated time span necessary for winding</w:t>
            </w:r>
            <w:r w:rsidR="00C36D1E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-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down or restructuring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6D0DEF8" w14:textId="77777777" w:rsidR="00DC7DEF" w:rsidRPr="00F46617" w:rsidRDefault="004629DA" w:rsidP="00B6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120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6A3CA" w14:textId="77777777" w:rsidR="00DC7DEF" w:rsidRPr="00F46617" w:rsidRDefault="00DC7DEF" w:rsidP="00B634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 </w:t>
            </w:r>
          </w:p>
        </w:tc>
      </w:tr>
    </w:tbl>
    <w:p w14:paraId="4E48817E" w14:textId="77777777" w:rsidR="00566434" w:rsidRPr="00F46617" w:rsidRDefault="00566434" w:rsidP="00CD49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4E9C94A4" w14:textId="77777777" w:rsidR="00566434" w:rsidRPr="00F46617" w:rsidRDefault="00566434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F46617">
        <w:rPr>
          <w:rFonts w:ascii="Times New Roman" w:hAnsi="Times New Roman" w:cs="Times New Roman"/>
          <w:noProof/>
          <w:sz w:val="24"/>
          <w:szCs w:val="24"/>
          <w:lang w:val="lv-LV"/>
        </w:rPr>
        <w:br w:type="page"/>
      </w:r>
    </w:p>
    <w:p w14:paraId="67FF378F" w14:textId="77777777" w:rsidR="00566434" w:rsidRPr="00F46617" w:rsidRDefault="00566434" w:rsidP="00566434">
      <w:pPr>
        <w:keepLine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noProof/>
          <w:szCs w:val="20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Cs w:val="20"/>
          <w:lang w:val="lv-LV"/>
        </w:rPr>
        <w:lastRenderedPageBreak/>
        <w:t>5. pielikums</w:t>
      </w:r>
    </w:p>
    <w:p w14:paraId="45035CF0" w14:textId="77777777" w:rsidR="00566434" w:rsidRPr="00F46617" w:rsidRDefault="00566434" w:rsidP="00566434">
      <w:pPr>
        <w:keepLine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noProof/>
          <w:szCs w:val="20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Cs w:val="20"/>
          <w:lang w:val="lv-LV"/>
        </w:rPr>
        <w:t xml:space="preserve">Finanšu un kapitāla tirgus komisijas </w:t>
      </w:r>
    </w:p>
    <w:p w14:paraId="2D1143EC" w14:textId="4C98D4C9" w:rsidR="00566434" w:rsidRPr="00F46617" w:rsidRDefault="00D17FE4" w:rsidP="00566434">
      <w:pPr>
        <w:pStyle w:val="Virsraksts4"/>
      </w:pPr>
      <w:r w:rsidRPr="00F46617">
        <w:t>21</w:t>
      </w:r>
      <w:r w:rsidR="00FE72F7" w:rsidRPr="00F46617">
        <w:t>.</w:t>
      </w:r>
      <w:r w:rsidRPr="00F46617">
        <w:t>12</w:t>
      </w:r>
      <w:r w:rsidR="00FE72F7" w:rsidRPr="00F46617">
        <w:t>.2021</w:t>
      </w:r>
      <w:r w:rsidR="0034250E" w:rsidRPr="00F46617">
        <w:t xml:space="preserve">. </w:t>
      </w:r>
      <w:r w:rsidR="00566434" w:rsidRPr="00F46617">
        <w:t xml:space="preserve">normatīvajiem noteikumiem Nr. </w:t>
      </w:r>
      <w:r w:rsidRPr="00F46617">
        <w:t>168</w:t>
      </w:r>
    </w:p>
    <w:p w14:paraId="7D534A27" w14:textId="44A6C234" w:rsidR="00DB27EF" w:rsidRPr="00F46617" w:rsidRDefault="00DB27EF" w:rsidP="00DB27EF">
      <w:pPr>
        <w:pStyle w:val="Virsraksts4"/>
        <w:rPr>
          <w:szCs w:val="22"/>
        </w:rPr>
      </w:pPr>
      <w:r w:rsidRPr="00F46617">
        <w:rPr>
          <w:szCs w:val="22"/>
        </w:rPr>
        <w:t>Annex 5</w:t>
      </w:r>
    </w:p>
    <w:p w14:paraId="7F50BCFD" w14:textId="77777777" w:rsidR="00DB27EF" w:rsidRPr="00F46617" w:rsidRDefault="00DB27EF" w:rsidP="00DB27EF">
      <w:pPr>
        <w:pStyle w:val="Virsraksts4"/>
        <w:rPr>
          <w:szCs w:val="22"/>
        </w:rPr>
      </w:pPr>
      <w:r w:rsidRPr="00F46617">
        <w:rPr>
          <w:szCs w:val="22"/>
        </w:rPr>
        <w:t xml:space="preserve">to </w:t>
      </w:r>
      <w:r w:rsidRPr="00F46617">
        <w:rPr>
          <w:szCs w:val="22"/>
          <w:lang w:val="en-GB"/>
        </w:rPr>
        <w:t xml:space="preserve">Regulations No 168 of the Financial and Capital Market Commission of </w:t>
      </w:r>
      <w:r w:rsidRPr="00F46617">
        <w:rPr>
          <w:szCs w:val="22"/>
        </w:rPr>
        <w:t>21.12.2021</w:t>
      </w:r>
      <w:r w:rsidRPr="00F46617">
        <w:rPr>
          <w:szCs w:val="22"/>
          <w:lang w:val="en-GB"/>
        </w:rPr>
        <w:t xml:space="preserve"> </w:t>
      </w:r>
    </w:p>
    <w:p w14:paraId="1E27F0F3" w14:textId="77777777" w:rsidR="00DB27EF" w:rsidRPr="00F46617" w:rsidRDefault="00DB27EF" w:rsidP="00566434">
      <w:pPr>
        <w:pStyle w:val="Virsraksts4"/>
      </w:pPr>
    </w:p>
    <w:p w14:paraId="0A677B52" w14:textId="77777777" w:rsidR="00566434" w:rsidRPr="00F46617" w:rsidRDefault="00566434" w:rsidP="00566434">
      <w:pPr>
        <w:pStyle w:val="Virsraksts4"/>
      </w:pPr>
    </w:p>
    <w:p w14:paraId="3EF2B050" w14:textId="660D6131" w:rsidR="00566434" w:rsidRPr="00F46617" w:rsidRDefault="002C670A" w:rsidP="005664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>Incidenta ziņojums</w:t>
      </w:r>
      <w:r w:rsidR="00D36F1E" w:rsidRPr="00F46617">
        <w:rPr>
          <w:rFonts w:ascii="Times New Roman" w:eastAsia="Times New Roman" w:hAnsi="Times New Roman" w:cs="Times New Roman"/>
          <w:noProof/>
          <w:sz w:val="28"/>
          <w:szCs w:val="24"/>
          <w:lang w:val="lv-LV"/>
        </w:rPr>
        <w:t>/ Incident Report</w:t>
      </w:r>
    </w:p>
    <w:p w14:paraId="7F62B763" w14:textId="40E78B48" w:rsidR="00566434" w:rsidRPr="00F46617" w:rsidRDefault="00566434" w:rsidP="0056643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 xml:space="preserve">____________. </w:t>
      </w:r>
      <w:r w:rsidR="00745641"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g</w:t>
      </w: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ada</w:t>
      </w:r>
      <w:r w:rsidR="00745641"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/year</w:t>
      </w: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 xml:space="preserve"> _________</w:t>
      </w:r>
    </w:p>
    <w:p w14:paraId="0922585D" w14:textId="27459D01" w:rsidR="00566434" w:rsidRPr="00F46617" w:rsidRDefault="00566434" w:rsidP="0056643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</w:pP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(</w:t>
      </w:r>
      <w:r w:rsidR="006729BC"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 xml:space="preserve">ziņojuma sagatavošanas </w:t>
      </w: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datums</w:t>
      </w:r>
      <w:r w:rsidR="00745641"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/ the last date of the reporting period</w:t>
      </w:r>
      <w:r w:rsidRPr="00F46617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)</w:t>
      </w:r>
    </w:p>
    <w:p w14:paraId="05A4A3F5" w14:textId="77777777" w:rsidR="00B634E7" w:rsidRPr="00F46617" w:rsidRDefault="00B634E7" w:rsidP="00CD49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4720"/>
        <w:gridCol w:w="1249"/>
        <w:gridCol w:w="2126"/>
      </w:tblGrid>
      <w:tr w:rsidR="00F46617" w:rsidRPr="00BB1A19" w14:paraId="48F09C33" w14:textId="77777777" w:rsidTr="00AA7CE2">
        <w:trPr>
          <w:trHeight w:val="507"/>
        </w:trPr>
        <w:tc>
          <w:tcPr>
            <w:tcW w:w="596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329C03" w14:textId="77777777" w:rsidR="00AA7CE2" w:rsidRPr="00F46617" w:rsidRDefault="00AA7CE2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 </w:t>
            </w:r>
          </w:p>
          <w:p w14:paraId="6897E6CB" w14:textId="77777777" w:rsidR="00AA7CE2" w:rsidRPr="00F46617" w:rsidRDefault="00AA7CE2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F36E" w14:textId="77777777" w:rsidR="00AA7CE2" w:rsidRPr="00F46617" w:rsidRDefault="00AA7CE2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Informācija par incidentu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Incident information</w:t>
            </w:r>
          </w:p>
        </w:tc>
      </w:tr>
      <w:tr w:rsidR="00F46617" w:rsidRPr="00F46617" w14:paraId="7BF4F1FB" w14:textId="77777777" w:rsidTr="00AA7CE2">
        <w:trPr>
          <w:trHeight w:val="375"/>
        </w:trPr>
        <w:tc>
          <w:tcPr>
            <w:tcW w:w="59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372E" w14:textId="77777777" w:rsidR="00AA7CE2" w:rsidRPr="00F46617" w:rsidRDefault="00AA7CE2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B3B5" w14:textId="77777777" w:rsidR="00AA7CE2" w:rsidRPr="00F46617" w:rsidRDefault="004629DA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100</w:t>
            </w:r>
          </w:p>
        </w:tc>
      </w:tr>
      <w:tr w:rsidR="00F46617" w:rsidRPr="00F46617" w14:paraId="675C2FAC" w14:textId="77777777" w:rsidTr="00AA7CE2">
        <w:trPr>
          <w:trHeight w:val="49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121B" w14:textId="64DADD12" w:rsidR="00287315" w:rsidRPr="00F46617" w:rsidRDefault="00287315" w:rsidP="0028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Notikuma</w:t>
            </w:r>
            <w:r w:rsidR="00D210DB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datums un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laiks / </w:t>
            </w:r>
            <w:r w:rsidR="00D210DB"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 xml:space="preserve">Date and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Time of occurrence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939C" w14:textId="77777777" w:rsidR="00287315" w:rsidRPr="00F46617" w:rsidRDefault="004629DA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D349" w14:textId="77777777" w:rsidR="00D210DB" w:rsidRPr="00F46617" w:rsidRDefault="00D210DB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dd.mm.yyyy</w:t>
            </w:r>
          </w:p>
          <w:p w14:paraId="4496C6FA" w14:textId="0A73CC71" w:rsidR="00287315" w:rsidRPr="00F46617" w:rsidRDefault="00287315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00:00</w:t>
            </w:r>
          </w:p>
        </w:tc>
      </w:tr>
      <w:tr w:rsidR="00F46617" w:rsidRPr="00F46617" w14:paraId="73D133DE" w14:textId="77777777" w:rsidTr="00AA7CE2">
        <w:trPr>
          <w:trHeight w:val="49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C4EE" w14:textId="77777777" w:rsidR="00287315" w:rsidRPr="00F46617" w:rsidRDefault="00287315" w:rsidP="0028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Sagaidāmais novēršanas laiks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Estimated elimination time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CA6E" w14:textId="77777777" w:rsidR="00287315" w:rsidRPr="00F46617" w:rsidRDefault="004629DA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D458" w14:textId="77777777" w:rsidR="00287315" w:rsidRPr="00F46617" w:rsidRDefault="00287315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00:00</w:t>
            </w:r>
          </w:p>
        </w:tc>
      </w:tr>
      <w:tr w:rsidR="00F46617" w:rsidRPr="00F46617" w14:paraId="57A710ED" w14:textId="77777777" w:rsidTr="00AA7CE2">
        <w:trPr>
          <w:trHeight w:val="49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E2D" w14:textId="77777777" w:rsidR="00287315" w:rsidRPr="00F46617" w:rsidRDefault="00287315" w:rsidP="0028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Iemesls un apraksts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Reason and description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5802" w14:textId="77777777" w:rsidR="00287315" w:rsidRPr="00F46617" w:rsidRDefault="004629DA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1F65" w14:textId="77777777" w:rsidR="00287315" w:rsidRPr="00F46617" w:rsidRDefault="00287315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 </w:t>
            </w:r>
          </w:p>
        </w:tc>
      </w:tr>
      <w:tr w:rsidR="00F46617" w:rsidRPr="00BB1A19" w14:paraId="4121E772" w14:textId="77777777" w:rsidTr="00AA7CE2">
        <w:trPr>
          <w:trHeight w:val="49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F97B" w14:textId="7741767A" w:rsidR="00CB5F21" w:rsidRPr="00F46617" w:rsidRDefault="00CB5F21" w:rsidP="0028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Vai incidents ir saistīts ar kiberdrošību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The incident is related to cyber security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9DC0" w14:textId="5EE64425" w:rsidR="00CB5F21" w:rsidRPr="00F46617" w:rsidRDefault="00CB5F21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</w:t>
            </w:r>
            <w:r w:rsidR="00E91B23"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3D17" w14:textId="77777777" w:rsidR="00D210DB" w:rsidRPr="00F46617" w:rsidRDefault="00D210DB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Jā/Nē/Tiks noskaidrots</w:t>
            </w:r>
          </w:p>
          <w:p w14:paraId="1FCAC630" w14:textId="0103A875" w:rsidR="00CB5F21" w:rsidRPr="00F46617" w:rsidRDefault="00D210DB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Yes/No/To be determined</w:t>
            </w:r>
          </w:p>
        </w:tc>
      </w:tr>
      <w:tr w:rsidR="00F46617" w:rsidRPr="00F46617" w14:paraId="54A39D36" w14:textId="77777777" w:rsidTr="00AA7CE2">
        <w:trPr>
          <w:trHeight w:val="49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2685" w14:textId="77777777" w:rsidR="00287315" w:rsidRPr="00F46617" w:rsidRDefault="00287315" w:rsidP="0028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Novēršanas laiks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Time of elimination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8EAA" w14:textId="42D12F76" w:rsidR="00287315" w:rsidRPr="00F46617" w:rsidRDefault="004629DA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DB22" w14:textId="77777777" w:rsidR="00287315" w:rsidRPr="00F46617" w:rsidRDefault="00287315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00:00</w:t>
            </w:r>
          </w:p>
        </w:tc>
      </w:tr>
      <w:tr w:rsidR="00F46617" w:rsidRPr="00F46617" w14:paraId="0BB272FD" w14:textId="77777777" w:rsidTr="00AA7CE2">
        <w:trPr>
          <w:trHeight w:val="49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162F" w14:textId="77777777" w:rsidR="00287315" w:rsidRPr="00F46617" w:rsidRDefault="00287315" w:rsidP="0028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Papildu apraksts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Additional description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BC53" w14:textId="6E168A8C" w:rsidR="00287315" w:rsidRPr="00F46617" w:rsidRDefault="004629DA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9F48" w14:textId="77777777" w:rsidR="00287315" w:rsidRPr="00F46617" w:rsidRDefault="00287315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  </w:t>
            </w:r>
          </w:p>
        </w:tc>
      </w:tr>
      <w:tr w:rsidR="00F46617" w:rsidRPr="00F46617" w14:paraId="605198EB" w14:textId="77777777" w:rsidTr="00AA7CE2">
        <w:trPr>
          <w:trHeight w:val="49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019E" w14:textId="77777777" w:rsidR="00287315" w:rsidRPr="00F46617" w:rsidRDefault="00287315" w:rsidP="0028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Novēršanas procesa apraksts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Description of elimination process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DC97" w14:textId="71CDFE0A" w:rsidR="00287315" w:rsidRPr="00F46617" w:rsidRDefault="004629DA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9706" w14:textId="77777777" w:rsidR="00287315" w:rsidRPr="00F46617" w:rsidRDefault="00287315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  </w:t>
            </w:r>
          </w:p>
        </w:tc>
      </w:tr>
      <w:tr w:rsidR="00F46617" w:rsidRPr="00F46617" w14:paraId="39DB5273" w14:textId="77777777" w:rsidTr="00AA7CE2">
        <w:trPr>
          <w:trHeight w:val="49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641C" w14:textId="77777777" w:rsidR="00287315" w:rsidRPr="00F46617" w:rsidRDefault="00287315" w:rsidP="0028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Ietekme un sekas (t.sk. finansiālās)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Impact and consequences (incl., financial)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5FDC" w14:textId="0697B61B" w:rsidR="00287315" w:rsidRPr="00F46617" w:rsidRDefault="004629DA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6506" w14:textId="77777777" w:rsidR="00287315" w:rsidRPr="00F46617" w:rsidRDefault="00287315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  </w:t>
            </w:r>
          </w:p>
        </w:tc>
      </w:tr>
      <w:tr w:rsidR="00287315" w:rsidRPr="00F46617" w14:paraId="31BD583B" w14:textId="77777777" w:rsidTr="00AA7CE2">
        <w:trPr>
          <w:trHeight w:val="49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D341" w14:textId="77777777" w:rsidR="00287315" w:rsidRPr="00F46617" w:rsidRDefault="00287315" w:rsidP="0028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Paredzamās darbības nākotnes incidentu novēršanai / </w:t>
            </w:r>
            <w:r w:rsidRPr="00F46617">
              <w:rPr>
                <w:rFonts w:ascii="Times New Roman" w:eastAsia="Times New Roman" w:hAnsi="Times New Roman" w:cs="Times New Roman"/>
                <w:i/>
                <w:iCs/>
                <w:noProof/>
                <w:sz w:val="16"/>
                <w:szCs w:val="16"/>
                <w:lang w:val="lv-LV" w:eastAsia="lv-LV"/>
              </w:rPr>
              <w:t>Future actions to prevent such incidents</w:t>
            </w: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3768" w14:textId="0531CFA7" w:rsidR="00287315" w:rsidRPr="00F46617" w:rsidRDefault="004629DA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85F9" w14:textId="77777777" w:rsidR="00287315" w:rsidRPr="00F46617" w:rsidRDefault="00287315" w:rsidP="002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F4661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 xml:space="preserve">  </w:t>
            </w:r>
          </w:p>
        </w:tc>
      </w:tr>
    </w:tbl>
    <w:p w14:paraId="47EEA0CE" w14:textId="77777777" w:rsidR="002C670A" w:rsidRPr="00F46617" w:rsidRDefault="002C670A" w:rsidP="00CD49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sectPr w:rsidR="002C670A" w:rsidRPr="00F46617" w:rsidSect="00C90EE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40" w:right="1418" w:bottom="1701" w:left="1418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4D67" w14:textId="77777777" w:rsidR="00266436" w:rsidRDefault="00266436" w:rsidP="00575E7D">
      <w:pPr>
        <w:spacing w:after="0" w:line="240" w:lineRule="auto"/>
      </w:pPr>
      <w:r>
        <w:separator/>
      </w:r>
    </w:p>
  </w:endnote>
  <w:endnote w:type="continuationSeparator" w:id="0">
    <w:p w14:paraId="757DCDD6" w14:textId="77777777" w:rsidR="00266436" w:rsidRDefault="00266436" w:rsidP="0057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ft LT Pro Extra 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A48B" w14:textId="77777777" w:rsidR="00BE2C2A" w:rsidRDefault="00BE2C2A">
    <w:pPr>
      <w:pStyle w:val="Kjene"/>
      <w:jc w:val="right"/>
    </w:pPr>
  </w:p>
  <w:p w14:paraId="7C2C21AA" w14:textId="77777777" w:rsidR="00BE2C2A" w:rsidRDefault="00BE2C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ADE9" w14:textId="77777777" w:rsidR="00BE2C2A" w:rsidRPr="00626CC1" w:rsidRDefault="00BE2C2A" w:rsidP="00C022BD">
    <w:pPr>
      <w:pStyle w:val="Kjene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982E" w14:textId="77777777" w:rsidR="00266436" w:rsidRDefault="00266436" w:rsidP="00575E7D">
      <w:pPr>
        <w:spacing w:after="0" w:line="240" w:lineRule="auto"/>
      </w:pPr>
      <w:r>
        <w:separator/>
      </w:r>
    </w:p>
  </w:footnote>
  <w:footnote w:type="continuationSeparator" w:id="0">
    <w:p w14:paraId="64AA53F1" w14:textId="77777777" w:rsidR="00266436" w:rsidRDefault="00266436" w:rsidP="00575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8D0A" w14:textId="77777777" w:rsidR="00BE2C2A" w:rsidRPr="00866CF2" w:rsidRDefault="00BE2C2A" w:rsidP="00866CF2">
    <w:pPr>
      <w:pStyle w:val="Galvene"/>
      <w:jc w:val="right"/>
      <w:rPr>
        <w:rFonts w:ascii="Times New Roman" w:hAnsi="Times New Roman" w:cs="Times New Roman"/>
        <w:sz w:val="24"/>
        <w:szCs w:val="24"/>
      </w:rPr>
    </w:pPr>
    <w:r w:rsidRPr="00866CF2">
      <w:rPr>
        <w:rFonts w:ascii="Times New Roman" w:hAnsi="Times New Roman" w:cs="Times New Roman"/>
        <w:sz w:val="24"/>
        <w:szCs w:val="24"/>
      </w:rPr>
      <w:fldChar w:fldCharType="begin"/>
    </w:r>
    <w:r w:rsidRPr="00866CF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66CF2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9</w:t>
    </w:r>
    <w:r w:rsidRPr="00866CF2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C837" w14:textId="77777777" w:rsidR="00BE2C2A" w:rsidRDefault="00BE2C2A" w:rsidP="00626CC1">
    <w:pPr>
      <w:pStyle w:val="Galvene"/>
      <w:tabs>
        <w:tab w:val="clear" w:pos="4677"/>
        <w:tab w:val="clear" w:pos="9355"/>
        <w:tab w:val="right" w:pos="9639"/>
      </w:tabs>
      <w:jc w:val="center"/>
    </w:pPr>
    <w:r>
      <w:rPr>
        <w:noProof/>
        <w:lang w:val="lv-LV" w:eastAsia="lv-LV"/>
      </w:rPr>
      <w:drawing>
        <wp:inline distT="0" distB="0" distL="0" distR="0" wp14:anchorId="61B7BA9A" wp14:editId="607E99EF">
          <wp:extent cx="5768047" cy="1783084"/>
          <wp:effectExtent l="0" t="0" r="4445" b="7620"/>
          <wp:docPr id="2" name="Рисунок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KTK_veidlapa_2018_FINAL (example) wi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8047" cy="178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CCDE9D" w14:textId="77777777" w:rsidR="00BE2C2A" w:rsidRDefault="00BE2C2A" w:rsidP="00626CC1">
    <w:pPr>
      <w:pStyle w:val="Galvene"/>
      <w:tabs>
        <w:tab w:val="clear" w:pos="9355"/>
        <w:tab w:val="right" w:pos="9639"/>
      </w:tabs>
      <w:jc w:val="center"/>
    </w:pPr>
  </w:p>
  <w:p w14:paraId="678517CE" w14:textId="77777777" w:rsidR="00BE2C2A" w:rsidRDefault="00BE2C2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7D"/>
    <w:rsid w:val="000052D6"/>
    <w:rsid w:val="000079CC"/>
    <w:rsid w:val="00007B24"/>
    <w:rsid w:val="00012A85"/>
    <w:rsid w:val="0002434D"/>
    <w:rsid w:val="00030453"/>
    <w:rsid w:val="0003134A"/>
    <w:rsid w:val="00032F60"/>
    <w:rsid w:val="00033E90"/>
    <w:rsid w:val="000379B9"/>
    <w:rsid w:val="000407CF"/>
    <w:rsid w:val="000430BE"/>
    <w:rsid w:val="00051B0B"/>
    <w:rsid w:val="00053B2E"/>
    <w:rsid w:val="000546F9"/>
    <w:rsid w:val="00055A4E"/>
    <w:rsid w:val="00064C62"/>
    <w:rsid w:val="000679C1"/>
    <w:rsid w:val="000819C4"/>
    <w:rsid w:val="00083429"/>
    <w:rsid w:val="000870B8"/>
    <w:rsid w:val="000914EE"/>
    <w:rsid w:val="00097FC2"/>
    <w:rsid w:val="000A5FD2"/>
    <w:rsid w:val="000B4284"/>
    <w:rsid w:val="000D2F52"/>
    <w:rsid w:val="000E2B04"/>
    <w:rsid w:val="001218CA"/>
    <w:rsid w:val="00124B2E"/>
    <w:rsid w:val="00127F43"/>
    <w:rsid w:val="00136580"/>
    <w:rsid w:val="00152C85"/>
    <w:rsid w:val="0016096C"/>
    <w:rsid w:val="00165AA6"/>
    <w:rsid w:val="00173184"/>
    <w:rsid w:val="00175C74"/>
    <w:rsid w:val="001765EF"/>
    <w:rsid w:val="00186856"/>
    <w:rsid w:val="00187424"/>
    <w:rsid w:val="001A0F25"/>
    <w:rsid w:val="001A1170"/>
    <w:rsid w:val="001A3664"/>
    <w:rsid w:val="001A61BE"/>
    <w:rsid w:val="001B5979"/>
    <w:rsid w:val="001D1C88"/>
    <w:rsid w:val="001E1338"/>
    <w:rsid w:val="001F6714"/>
    <w:rsid w:val="001F69B0"/>
    <w:rsid w:val="001F7925"/>
    <w:rsid w:val="002026CC"/>
    <w:rsid w:val="00217432"/>
    <w:rsid w:val="0023156E"/>
    <w:rsid w:val="002341FA"/>
    <w:rsid w:val="0024125E"/>
    <w:rsid w:val="0024284E"/>
    <w:rsid w:val="0024387E"/>
    <w:rsid w:val="002478EE"/>
    <w:rsid w:val="00251AD4"/>
    <w:rsid w:val="002554A3"/>
    <w:rsid w:val="00255583"/>
    <w:rsid w:val="00260089"/>
    <w:rsid w:val="002611CC"/>
    <w:rsid w:val="0026307E"/>
    <w:rsid w:val="002649C0"/>
    <w:rsid w:val="0026550E"/>
    <w:rsid w:val="00266436"/>
    <w:rsid w:val="002716C7"/>
    <w:rsid w:val="0027520B"/>
    <w:rsid w:val="0027614D"/>
    <w:rsid w:val="002771C6"/>
    <w:rsid w:val="002800B1"/>
    <w:rsid w:val="002803DD"/>
    <w:rsid w:val="00287315"/>
    <w:rsid w:val="0029046D"/>
    <w:rsid w:val="00291897"/>
    <w:rsid w:val="002A3A98"/>
    <w:rsid w:val="002B30D9"/>
    <w:rsid w:val="002C670A"/>
    <w:rsid w:val="002D36F7"/>
    <w:rsid w:val="002D75B2"/>
    <w:rsid w:val="002E2870"/>
    <w:rsid w:val="002F1566"/>
    <w:rsid w:val="002F156C"/>
    <w:rsid w:val="0030080A"/>
    <w:rsid w:val="00303063"/>
    <w:rsid w:val="00313802"/>
    <w:rsid w:val="00314282"/>
    <w:rsid w:val="00322F6D"/>
    <w:rsid w:val="00324FEB"/>
    <w:rsid w:val="00325FE5"/>
    <w:rsid w:val="00327E50"/>
    <w:rsid w:val="00330D9B"/>
    <w:rsid w:val="00332479"/>
    <w:rsid w:val="00340F92"/>
    <w:rsid w:val="0034250E"/>
    <w:rsid w:val="00343E68"/>
    <w:rsid w:val="00355DF0"/>
    <w:rsid w:val="0036214D"/>
    <w:rsid w:val="003621ED"/>
    <w:rsid w:val="003644F2"/>
    <w:rsid w:val="00380656"/>
    <w:rsid w:val="00384144"/>
    <w:rsid w:val="00385F10"/>
    <w:rsid w:val="0039331B"/>
    <w:rsid w:val="003A2C48"/>
    <w:rsid w:val="003C6D86"/>
    <w:rsid w:val="003D00B8"/>
    <w:rsid w:val="003D0C02"/>
    <w:rsid w:val="003D252C"/>
    <w:rsid w:val="003E510B"/>
    <w:rsid w:val="003E6BA3"/>
    <w:rsid w:val="003E76AE"/>
    <w:rsid w:val="003F6447"/>
    <w:rsid w:val="0040580B"/>
    <w:rsid w:val="004066A3"/>
    <w:rsid w:val="00410ABF"/>
    <w:rsid w:val="0041199E"/>
    <w:rsid w:val="00412687"/>
    <w:rsid w:val="00417FD2"/>
    <w:rsid w:val="00424162"/>
    <w:rsid w:val="0042615F"/>
    <w:rsid w:val="00432A19"/>
    <w:rsid w:val="0044238F"/>
    <w:rsid w:val="00444A93"/>
    <w:rsid w:val="0044539C"/>
    <w:rsid w:val="0045159C"/>
    <w:rsid w:val="00451638"/>
    <w:rsid w:val="00451F8F"/>
    <w:rsid w:val="00460CD4"/>
    <w:rsid w:val="004629DA"/>
    <w:rsid w:val="00464E48"/>
    <w:rsid w:val="00467B2C"/>
    <w:rsid w:val="004A5693"/>
    <w:rsid w:val="004A6C11"/>
    <w:rsid w:val="004A6E92"/>
    <w:rsid w:val="004C6476"/>
    <w:rsid w:val="004E03DA"/>
    <w:rsid w:val="004E2A36"/>
    <w:rsid w:val="004E500F"/>
    <w:rsid w:val="005109E9"/>
    <w:rsid w:val="00512FED"/>
    <w:rsid w:val="00523491"/>
    <w:rsid w:val="00530622"/>
    <w:rsid w:val="00530856"/>
    <w:rsid w:val="00531177"/>
    <w:rsid w:val="00532899"/>
    <w:rsid w:val="0053612D"/>
    <w:rsid w:val="00543B6E"/>
    <w:rsid w:val="005560EF"/>
    <w:rsid w:val="00566434"/>
    <w:rsid w:val="00575E7D"/>
    <w:rsid w:val="005774AD"/>
    <w:rsid w:val="00577A28"/>
    <w:rsid w:val="00577BF7"/>
    <w:rsid w:val="00585418"/>
    <w:rsid w:val="00591706"/>
    <w:rsid w:val="00591C8B"/>
    <w:rsid w:val="00597DE8"/>
    <w:rsid w:val="005A5BE8"/>
    <w:rsid w:val="005B53C5"/>
    <w:rsid w:val="005C34E6"/>
    <w:rsid w:val="005C7108"/>
    <w:rsid w:val="005D1EDF"/>
    <w:rsid w:val="005D4619"/>
    <w:rsid w:val="005E2F4F"/>
    <w:rsid w:val="006001F0"/>
    <w:rsid w:val="006070F2"/>
    <w:rsid w:val="00614396"/>
    <w:rsid w:val="006200EA"/>
    <w:rsid w:val="00622682"/>
    <w:rsid w:val="00622893"/>
    <w:rsid w:val="00626CC1"/>
    <w:rsid w:val="00635810"/>
    <w:rsid w:val="00635911"/>
    <w:rsid w:val="00637978"/>
    <w:rsid w:val="006415D2"/>
    <w:rsid w:val="006436E1"/>
    <w:rsid w:val="00650243"/>
    <w:rsid w:val="00652D42"/>
    <w:rsid w:val="00653AC4"/>
    <w:rsid w:val="0066327E"/>
    <w:rsid w:val="006662FE"/>
    <w:rsid w:val="006674B7"/>
    <w:rsid w:val="006722B0"/>
    <w:rsid w:val="006729BC"/>
    <w:rsid w:val="006757C8"/>
    <w:rsid w:val="00684875"/>
    <w:rsid w:val="00686D43"/>
    <w:rsid w:val="00695C70"/>
    <w:rsid w:val="006D1D63"/>
    <w:rsid w:val="006D3346"/>
    <w:rsid w:val="006D68B9"/>
    <w:rsid w:val="006D7680"/>
    <w:rsid w:val="006E1BC1"/>
    <w:rsid w:val="006E642F"/>
    <w:rsid w:val="006F652B"/>
    <w:rsid w:val="0070524E"/>
    <w:rsid w:val="0070660F"/>
    <w:rsid w:val="00711C67"/>
    <w:rsid w:val="00720418"/>
    <w:rsid w:val="00722622"/>
    <w:rsid w:val="00725762"/>
    <w:rsid w:val="00727A7E"/>
    <w:rsid w:val="007367B9"/>
    <w:rsid w:val="0074226C"/>
    <w:rsid w:val="00744739"/>
    <w:rsid w:val="00744871"/>
    <w:rsid w:val="00745641"/>
    <w:rsid w:val="0074593A"/>
    <w:rsid w:val="00765077"/>
    <w:rsid w:val="007663AE"/>
    <w:rsid w:val="00767EA0"/>
    <w:rsid w:val="00775E62"/>
    <w:rsid w:val="0078732D"/>
    <w:rsid w:val="00791E00"/>
    <w:rsid w:val="007A0587"/>
    <w:rsid w:val="007B5854"/>
    <w:rsid w:val="007B7C02"/>
    <w:rsid w:val="007D3021"/>
    <w:rsid w:val="007E3785"/>
    <w:rsid w:val="007F2744"/>
    <w:rsid w:val="00803283"/>
    <w:rsid w:val="00805861"/>
    <w:rsid w:val="00811CFE"/>
    <w:rsid w:val="00821CF8"/>
    <w:rsid w:val="00830B95"/>
    <w:rsid w:val="00831A44"/>
    <w:rsid w:val="00832C91"/>
    <w:rsid w:val="00835728"/>
    <w:rsid w:val="008358BA"/>
    <w:rsid w:val="008372A7"/>
    <w:rsid w:val="008408D3"/>
    <w:rsid w:val="00842D6D"/>
    <w:rsid w:val="00850E77"/>
    <w:rsid w:val="008630A4"/>
    <w:rsid w:val="00865093"/>
    <w:rsid w:val="00866CF2"/>
    <w:rsid w:val="00870BCE"/>
    <w:rsid w:val="00874705"/>
    <w:rsid w:val="0087729E"/>
    <w:rsid w:val="00877740"/>
    <w:rsid w:val="008816E4"/>
    <w:rsid w:val="00881F99"/>
    <w:rsid w:val="00883F29"/>
    <w:rsid w:val="00890ECE"/>
    <w:rsid w:val="0089221E"/>
    <w:rsid w:val="008A524E"/>
    <w:rsid w:val="008B02D5"/>
    <w:rsid w:val="008B7D37"/>
    <w:rsid w:val="008D0ED1"/>
    <w:rsid w:val="008D14A3"/>
    <w:rsid w:val="008D166B"/>
    <w:rsid w:val="008D3412"/>
    <w:rsid w:val="008D5FEB"/>
    <w:rsid w:val="008F308D"/>
    <w:rsid w:val="008F3735"/>
    <w:rsid w:val="008F4AFC"/>
    <w:rsid w:val="00901C00"/>
    <w:rsid w:val="00914B82"/>
    <w:rsid w:val="009165E5"/>
    <w:rsid w:val="00920BEC"/>
    <w:rsid w:val="00924742"/>
    <w:rsid w:val="00924E08"/>
    <w:rsid w:val="009275D2"/>
    <w:rsid w:val="009307B9"/>
    <w:rsid w:val="0093464E"/>
    <w:rsid w:val="00941040"/>
    <w:rsid w:val="009429CE"/>
    <w:rsid w:val="00945CDF"/>
    <w:rsid w:val="00956F4B"/>
    <w:rsid w:val="0096423B"/>
    <w:rsid w:val="00965AA8"/>
    <w:rsid w:val="00973FF8"/>
    <w:rsid w:val="00977AFE"/>
    <w:rsid w:val="0098263C"/>
    <w:rsid w:val="00991B2B"/>
    <w:rsid w:val="009927EF"/>
    <w:rsid w:val="0099430C"/>
    <w:rsid w:val="009A082B"/>
    <w:rsid w:val="009A0914"/>
    <w:rsid w:val="009A1100"/>
    <w:rsid w:val="009A22D1"/>
    <w:rsid w:val="009A402A"/>
    <w:rsid w:val="009A65F0"/>
    <w:rsid w:val="009B2DF0"/>
    <w:rsid w:val="009B7F03"/>
    <w:rsid w:val="009C251E"/>
    <w:rsid w:val="009E6A34"/>
    <w:rsid w:val="009E7C40"/>
    <w:rsid w:val="009F400D"/>
    <w:rsid w:val="009F622D"/>
    <w:rsid w:val="009F7921"/>
    <w:rsid w:val="00A11BB9"/>
    <w:rsid w:val="00A2361D"/>
    <w:rsid w:val="00A24998"/>
    <w:rsid w:val="00A265F6"/>
    <w:rsid w:val="00A32F6A"/>
    <w:rsid w:val="00A33AEE"/>
    <w:rsid w:val="00A34365"/>
    <w:rsid w:val="00A4546B"/>
    <w:rsid w:val="00A46BC3"/>
    <w:rsid w:val="00A5069C"/>
    <w:rsid w:val="00A557F1"/>
    <w:rsid w:val="00A6206F"/>
    <w:rsid w:val="00A75F38"/>
    <w:rsid w:val="00A76F86"/>
    <w:rsid w:val="00A7705C"/>
    <w:rsid w:val="00A85896"/>
    <w:rsid w:val="00A9556C"/>
    <w:rsid w:val="00AA0A7A"/>
    <w:rsid w:val="00AA5086"/>
    <w:rsid w:val="00AA53CA"/>
    <w:rsid w:val="00AA7CE2"/>
    <w:rsid w:val="00AB7B8B"/>
    <w:rsid w:val="00AC37F0"/>
    <w:rsid w:val="00AC50AB"/>
    <w:rsid w:val="00AD4441"/>
    <w:rsid w:val="00AE125E"/>
    <w:rsid w:val="00AE3C48"/>
    <w:rsid w:val="00AF2CD2"/>
    <w:rsid w:val="00B00B8A"/>
    <w:rsid w:val="00B06F36"/>
    <w:rsid w:val="00B15361"/>
    <w:rsid w:val="00B15604"/>
    <w:rsid w:val="00B16605"/>
    <w:rsid w:val="00B378DC"/>
    <w:rsid w:val="00B4532C"/>
    <w:rsid w:val="00B47816"/>
    <w:rsid w:val="00B55FE7"/>
    <w:rsid w:val="00B634E7"/>
    <w:rsid w:val="00B7180B"/>
    <w:rsid w:val="00B80032"/>
    <w:rsid w:val="00B80A72"/>
    <w:rsid w:val="00B85D6B"/>
    <w:rsid w:val="00B909A3"/>
    <w:rsid w:val="00B91600"/>
    <w:rsid w:val="00BA1045"/>
    <w:rsid w:val="00BB1A19"/>
    <w:rsid w:val="00BC1564"/>
    <w:rsid w:val="00BE2C2A"/>
    <w:rsid w:val="00BE5195"/>
    <w:rsid w:val="00BE5213"/>
    <w:rsid w:val="00BF214E"/>
    <w:rsid w:val="00BF7B00"/>
    <w:rsid w:val="00C022BD"/>
    <w:rsid w:val="00C06F05"/>
    <w:rsid w:val="00C20668"/>
    <w:rsid w:val="00C22880"/>
    <w:rsid w:val="00C24247"/>
    <w:rsid w:val="00C24CA1"/>
    <w:rsid w:val="00C25EE1"/>
    <w:rsid w:val="00C26DAB"/>
    <w:rsid w:val="00C27BD1"/>
    <w:rsid w:val="00C31843"/>
    <w:rsid w:val="00C36D1E"/>
    <w:rsid w:val="00C433A9"/>
    <w:rsid w:val="00C472DF"/>
    <w:rsid w:val="00C5423D"/>
    <w:rsid w:val="00C675B2"/>
    <w:rsid w:val="00C7105D"/>
    <w:rsid w:val="00C741E9"/>
    <w:rsid w:val="00C83CCF"/>
    <w:rsid w:val="00C858D9"/>
    <w:rsid w:val="00C90EEB"/>
    <w:rsid w:val="00C95213"/>
    <w:rsid w:val="00CA0FAB"/>
    <w:rsid w:val="00CA50E0"/>
    <w:rsid w:val="00CA5774"/>
    <w:rsid w:val="00CB3F05"/>
    <w:rsid w:val="00CB4781"/>
    <w:rsid w:val="00CB5F21"/>
    <w:rsid w:val="00CB63CE"/>
    <w:rsid w:val="00CB71C9"/>
    <w:rsid w:val="00CC0526"/>
    <w:rsid w:val="00CC0782"/>
    <w:rsid w:val="00CD493E"/>
    <w:rsid w:val="00CD691F"/>
    <w:rsid w:val="00CE5C66"/>
    <w:rsid w:val="00CE7312"/>
    <w:rsid w:val="00CF42EC"/>
    <w:rsid w:val="00CF5D6B"/>
    <w:rsid w:val="00D01A6F"/>
    <w:rsid w:val="00D033D3"/>
    <w:rsid w:val="00D037ED"/>
    <w:rsid w:val="00D07E4D"/>
    <w:rsid w:val="00D17FE4"/>
    <w:rsid w:val="00D210DB"/>
    <w:rsid w:val="00D22B1E"/>
    <w:rsid w:val="00D269B8"/>
    <w:rsid w:val="00D305BC"/>
    <w:rsid w:val="00D33D93"/>
    <w:rsid w:val="00D36F1E"/>
    <w:rsid w:val="00D378D5"/>
    <w:rsid w:val="00D410AF"/>
    <w:rsid w:val="00D45F71"/>
    <w:rsid w:val="00D543CF"/>
    <w:rsid w:val="00D656BC"/>
    <w:rsid w:val="00D66B1D"/>
    <w:rsid w:val="00D75A9D"/>
    <w:rsid w:val="00D82288"/>
    <w:rsid w:val="00D86303"/>
    <w:rsid w:val="00D87BA9"/>
    <w:rsid w:val="00D9204F"/>
    <w:rsid w:val="00D97C65"/>
    <w:rsid w:val="00DB27EF"/>
    <w:rsid w:val="00DB3A00"/>
    <w:rsid w:val="00DC2262"/>
    <w:rsid w:val="00DC2807"/>
    <w:rsid w:val="00DC7DEF"/>
    <w:rsid w:val="00DE6BED"/>
    <w:rsid w:val="00DE6FA7"/>
    <w:rsid w:val="00DE731E"/>
    <w:rsid w:val="00DE7418"/>
    <w:rsid w:val="00DE75D0"/>
    <w:rsid w:val="00DF3FF3"/>
    <w:rsid w:val="00E01A5B"/>
    <w:rsid w:val="00E2023E"/>
    <w:rsid w:val="00E23042"/>
    <w:rsid w:val="00E23582"/>
    <w:rsid w:val="00E26594"/>
    <w:rsid w:val="00E27C0A"/>
    <w:rsid w:val="00E360D9"/>
    <w:rsid w:val="00E375B2"/>
    <w:rsid w:val="00E45A54"/>
    <w:rsid w:val="00E51041"/>
    <w:rsid w:val="00E54C81"/>
    <w:rsid w:val="00E5768C"/>
    <w:rsid w:val="00E869FA"/>
    <w:rsid w:val="00E91B23"/>
    <w:rsid w:val="00EA3DE2"/>
    <w:rsid w:val="00EA3F40"/>
    <w:rsid w:val="00EB40FD"/>
    <w:rsid w:val="00EC2E11"/>
    <w:rsid w:val="00ED3187"/>
    <w:rsid w:val="00ED51EA"/>
    <w:rsid w:val="00ED5951"/>
    <w:rsid w:val="00EE0EDD"/>
    <w:rsid w:val="00EE2C81"/>
    <w:rsid w:val="00EE3600"/>
    <w:rsid w:val="00EE3CE6"/>
    <w:rsid w:val="00F00A5C"/>
    <w:rsid w:val="00F10B2B"/>
    <w:rsid w:val="00F11167"/>
    <w:rsid w:val="00F135D6"/>
    <w:rsid w:val="00F23FD0"/>
    <w:rsid w:val="00F33B9F"/>
    <w:rsid w:val="00F42A9D"/>
    <w:rsid w:val="00F46617"/>
    <w:rsid w:val="00F50908"/>
    <w:rsid w:val="00F700D5"/>
    <w:rsid w:val="00F77342"/>
    <w:rsid w:val="00F81DD7"/>
    <w:rsid w:val="00F90A13"/>
    <w:rsid w:val="00F92D8D"/>
    <w:rsid w:val="00F9512E"/>
    <w:rsid w:val="00FA05FB"/>
    <w:rsid w:val="00FA3637"/>
    <w:rsid w:val="00FA37E4"/>
    <w:rsid w:val="00FA5E90"/>
    <w:rsid w:val="00FB65AA"/>
    <w:rsid w:val="00FC0F35"/>
    <w:rsid w:val="00FD54B1"/>
    <w:rsid w:val="00FD72CB"/>
    <w:rsid w:val="00FD7565"/>
    <w:rsid w:val="00FE72F7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73A289"/>
  <w15:docId w15:val="{FF3923F1-0E99-4181-8FC6-8CEB992A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autoRedefine/>
    <w:qFormat/>
    <w:rsid w:val="00684875"/>
    <w:pPr>
      <w:keepLine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Cs/>
      <w:noProof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75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75E7D"/>
  </w:style>
  <w:style w:type="paragraph" w:styleId="Kjene">
    <w:name w:val="footer"/>
    <w:basedOn w:val="Parasts"/>
    <w:link w:val="KjeneRakstz"/>
    <w:uiPriority w:val="99"/>
    <w:unhideWhenUsed/>
    <w:rsid w:val="00575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75E7D"/>
  </w:style>
  <w:style w:type="paragraph" w:styleId="Balonteksts">
    <w:name w:val="Balloon Text"/>
    <w:basedOn w:val="Parasts"/>
    <w:link w:val="BalontekstsRakstz"/>
    <w:uiPriority w:val="99"/>
    <w:semiHidden/>
    <w:unhideWhenUsed/>
    <w:rsid w:val="00DF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3FF3"/>
    <w:rPr>
      <w:rFonts w:ascii="Tahoma" w:hAnsi="Tahoma" w:cs="Tahoma"/>
      <w:sz w:val="16"/>
      <w:szCs w:val="16"/>
    </w:rPr>
  </w:style>
  <w:style w:type="character" w:customStyle="1" w:styleId="Virsraksts4Rakstz">
    <w:name w:val="Virsraksts 4 Rakstz."/>
    <w:basedOn w:val="Noklusjumarindkopasfonts"/>
    <w:link w:val="Virsraksts4"/>
    <w:rsid w:val="00684875"/>
    <w:rPr>
      <w:rFonts w:ascii="Times New Roman" w:eastAsia="Times New Roman" w:hAnsi="Times New Roman" w:cs="Times New Roman"/>
      <w:bCs/>
      <w:noProof/>
      <w:szCs w:val="20"/>
      <w:lang w:val="lv-LV"/>
    </w:rPr>
  </w:style>
  <w:style w:type="paragraph" w:customStyle="1" w:styleId="Teksts1">
    <w:name w:val="Teksts1"/>
    <w:basedOn w:val="Parasts"/>
    <w:rsid w:val="001E1338"/>
    <w:pPr>
      <w:spacing w:after="3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paragraph" w:customStyle="1" w:styleId="Teksts2">
    <w:name w:val="Teksts2"/>
    <w:basedOn w:val="Parasts"/>
    <w:rsid w:val="001E13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paragraph" w:customStyle="1" w:styleId="Datums1">
    <w:name w:val="Datums1"/>
    <w:basedOn w:val="Parasts"/>
    <w:next w:val="Parasts"/>
    <w:rsid w:val="001E1338"/>
    <w:pPr>
      <w:spacing w:before="1700"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drese">
    <w:name w:val="Adrese"/>
    <w:basedOn w:val="Parasts"/>
    <w:rsid w:val="001E13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Uzruna1">
    <w:name w:val="Uzruna1"/>
    <w:basedOn w:val="Parasts"/>
    <w:next w:val="Teksts1"/>
    <w:rsid w:val="001E1338"/>
    <w:pPr>
      <w:spacing w:before="320" w:after="3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obeigums">
    <w:name w:val="Nobeigums"/>
    <w:basedOn w:val="Parasts"/>
    <w:rsid w:val="001E13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utors">
    <w:name w:val="Autors"/>
    <w:basedOn w:val="Parasts"/>
    <w:next w:val="Parasts"/>
    <w:rsid w:val="001E1338"/>
    <w:pPr>
      <w:tabs>
        <w:tab w:val="right" w:pos="9072"/>
      </w:tabs>
      <w:spacing w:before="1440"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Valsts">
    <w:name w:val="Valsts"/>
    <w:basedOn w:val="Parasts"/>
    <w:rsid w:val="001E1338"/>
    <w:pPr>
      <w:spacing w:after="0" w:line="240" w:lineRule="auto"/>
    </w:pPr>
    <w:rPr>
      <w:rFonts w:ascii="Times New Roman" w:eastAsia="Times New Roman" w:hAnsi="Times New Roman" w:cs="Times New Roman"/>
      <w:caps/>
      <w:sz w:val="24"/>
      <w:szCs w:val="20"/>
      <w:lang w:val="en-US"/>
    </w:rPr>
  </w:style>
  <w:style w:type="paragraph" w:customStyle="1" w:styleId="Registrnum">
    <w:name w:val="Registr. num"/>
    <w:basedOn w:val="Parasts"/>
    <w:next w:val="Adrese"/>
    <w:rsid w:val="001E1338"/>
    <w:pPr>
      <w:spacing w:after="3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osaukums1">
    <w:name w:val="Nosaukums1"/>
    <w:basedOn w:val="Parasts"/>
    <w:next w:val="Parasts"/>
    <w:rsid w:val="001E1338"/>
    <w:pPr>
      <w:spacing w:before="640" w:after="0" w:line="240" w:lineRule="auto"/>
      <w:ind w:right="2268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Pamatteksts">
    <w:name w:val="Body Text"/>
    <w:basedOn w:val="Parasts"/>
    <w:link w:val="PamattekstsRakstz"/>
    <w:semiHidden/>
    <w:rsid w:val="00B378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B378DC"/>
    <w:rPr>
      <w:rFonts w:ascii="Times New Roman" w:eastAsia="Times New Roman" w:hAnsi="Times New Roman" w:cs="Times New Roman"/>
      <w:b/>
      <w:sz w:val="40"/>
      <w:szCs w:val="20"/>
      <w:lang w:val="lv-LV"/>
    </w:rPr>
  </w:style>
  <w:style w:type="paragraph" w:styleId="Paraststmeklis">
    <w:name w:val="Normal (Web)"/>
    <w:basedOn w:val="Parasts"/>
    <w:semiHidden/>
    <w:rsid w:val="00B378DC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val="en-GB"/>
    </w:rPr>
  </w:style>
  <w:style w:type="paragraph" w:styleId="Sarakstarindkopa">
    <w:name w:val="List Paragraph"/>
    <w:basedOn w:val="Parasts"/>
    <w:uiPriority w:val="34"/>
    <w:qFormat/>
    <w:rsid w:val="00695C70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8732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8732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8732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732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732D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835728"/>
    <w:rPr>
      <w:color w:val="0563C1" w:themeColor="hyperlink"/>
      <w:u w:val="single"/>
    </w:rPr>
  </w:style>
  <w:style w:type="paragraph" w:customStyle="1" w:styleId="nparabold">
    <w:name w:val="npara_bold"/>
    <w:rsid w:val="00D22B1E"/>
    <w:pPr>
      <w:suppressAutoHyphens/>
      <w:autoSpaceDE w:val="0"/>
      <w:autoSpaceDN w:val="0"/>
      <w:adjustRightInd w:val="0"/>
      <w:spacing w:after="120" w:line="220" w:lineRule="atLeast"/>
      <w:jc w:val="both"/>
    </w:pPr>
    <w:rPr>
      <w:rFonts w:ascii="Swift LT Pro Extra Bold" w:eastAsia="Times New Roman" w:hAnsi="Swift LT Pro Extra Bold" w:cs="Swift LT Pro Extra Bold"/>
      <w:snapToGrid w:val="0"/>
      <w:color w:val="000000"/>
      <w:w w:val="0"/>
      <w:sz w:val="16"/>
      <w:szCs w:val="16"/>
      <w:lang w:val="en-GB" w:eastAsia="en-GB"/>
    </w:rPr>
  </w:style>
  <w:style w:type="paragraph" w:styleId="Prskatjums">
    <w:name w:val="Revision"/>
    <w:hidden/>
    <w:uiPriority w:val="99"/>
    <w:semiHidden/>
    <w:rsid w:val="00811CFE"/>
    <w:pPr>
      <w:spacing w:after="0" w:line="240" w:lineRule="auto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C472DF"/>
    <w:rPr>
      <w:color w:val="605E5C"/>
      <w:shd w:val="clear" w:color="auto" w:fill="E1DFDD"/>
    </w:rPr>
  </w:style>
  <w:style w:type="paragraph" w:customStyle="1" w:styleId="oj-doc-ti">
    <w:name w:val="oj-doc-ti"/>
    <w:basedOn w:val="Parasts"/>
    <w:rsid w:val="00C2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ezatstarpm">
    <w:name w:val="No Spacing"/>
    <w:uiPriority w:val="1"/>
    <w:qFormat/>
    <w:rsid w:val="00994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EEB3-617D-47D9-984B-AA50FFE3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11299</Words>
  <Characters>6441</Characters>
  <Application>Microsoft Office Word</Application>
  <DocSecurity>0</DocSecurity>
  <Lines>53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FKTK veidlapa</vt:lpstr>
      <vt:lpstr>FKTK veidlapa</vt:lpstr>
      <vt:lpstr/>
    </vt:vector>
  </TitlesOfParts>
  <Company>Microsoft</Company>
  <LinksUpToDate>false</LinksUpToDate>
  <CharactersWithSpaces>17705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FKTK veidlapa</dc:title>
  <dc:creator>FKTK veidlapa</dc:creator>
  <cp:lastModifiedBy>Airisa Adamsone</cp:lastModifiedBy>
  <cp:revision>2</cp:revision>
  <cp:lastPrinted>2018-08-27T13:13:00Z</cp:lastPrinted>
  <dcterms:created xsi:type="dcterms:W3CDTF">2022-01-17T08:08:00Z</dcterms:created>
  <dcterms:modified xsi:type="dcterms:W3CDTF">2022-01-17T08:08:00Z</dcterms:modified>
</cp:coreProperties>
</file>